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35"/>
          <w:tab w:val="center" w:pos="4153"/>
        </w:tabs>
        <w:spacing w:line="60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南方报业印务基地纸张运输服务合同</w:t>
      </w:r>
    </w:p>
    <w:p>
      <w:pPr>
        <w:spacing w:line="440" w:lineRule="exact"/>
        <w:ind w:right="420"/>
        <w:jc w:val="left"/>
        <w:rPr>
          <w:rFonts w:hint="eastAsia"/>
        </w:rPr>
      </w:pPr>
      <w:bookmarkStart w:id="0" w:name="OLE_LINK2"/>
      <w:r>
        <w:t xml:space="preserve">                                                                 </w:t>
      </w:r>
    </w:p>
    <w:p>
      <w:pPr>
        <w:wordWrap w:val="0"/>
        <w:spacing w:line="400" w:lineRule="exact"/>
        <w:jc w:val="right"/>
        <w:rPr>
          <w:rFonts w:ascii="宋体" w:hAnsi="宋体"/>
          <w:b/>
          <w:szCs w:val="32"/>
        </w:rPr>
      </w:pPr>
      <w:r>
        <w:t xml:space="preserve">                                               </w:t>
      </w:r>
    </w:p>
    <w:bookmarkEnd w:id="0"/>
    <w:p>
      <w:pPr>
        <w:spacing w:line="360" w:lineRule="auto"/>
        <w:rPr>
          <w:rFonts w:hint="eastAsia" w:ascii="宋体" w:hAnsi="宋体"/>
          <w:szCs w:val="30"/>
        </w:rPr>
      </w:pPr>
      <w:r>
        <w:rPr>
          <w:rFonts w:hint="eastAsia" w:ascii="宋体" w:hAnsi="宋体"/>
          <w:b/>
          <w:szCs w:val="32"/>
        </w:rPr>
        <w:t>甲方 ：</w:t>
      </w:r>
      <w:r>
        <w:rPr>
          <w:rFonts w:hint="eastAsia" w:ascii="宋体" w:hAnsi="宋体"/>
          <w:b/>
          <w:szCs w:val="32"/>
          <w:lang w:val="en-US" w:eastAsia="zh-CN"/>
        </w:rPr>
        <w:t>南方报业传媒基地（佛山）有限公司</w:t>
      </w:r>
      <w:r>
        <w:rPr>
          <w:rFonts w:hint="eastAsia" w:ascii="宋体" w:hAnsi="宋体"/>
          <w:szCs w:val="30"/>
        </w:rPr>
        <w:t xml:space="preserve">       </w:t>
      </w:r>
    </w:p>
    <w:p>
      <w:pPr>
        <w:spacing w:line="360" w:lineRule="auto"/>
        <w:rPr>
          <w:rFonts w:hint="eastAsia" w:ascii="宋体" w:hAnsi="宋体"/>
          <w:szCs w:val="30"/>
        </w:rPr>
      </w:pPr>
      <w:r>
        <w:rPr>
          <w:rFonts w:hint="eastAsia" w:ascii="宋体" w:hAnsi="宋体"/>
          <w:szCs w:val="30"/>
        </w:rPr>
        <w:t xml:space="preserve">地址：                                   </w:t>
      </w:r>
    </w:p>
    <w:p>
      <w:pPr>
        <w:spacing w:line="360" w:lineRule="auto"/>
        <w:rPr>
          <w:rFonts w:hint="eastAsia" w:ascii="宋体" w:hAnsi="宋体"/>
          <w:bCs/>
          <w:szCs w:val="32"/>
        </w:rPr>
      </w:pPr>
      <w:r>
        <w:rPr>
          <w:rFonts w:hint="eastAsia" w:ascii="宋体" w:hAnsi="宋体"/>
          <w:bCs/>
          <w:szCs w:val="32"/>
          <w:lang w:val="en-US" w:eastAsia="zh-CN"/>
        </w:rPr>
        <w:t>联系人</w:t>
      </w:r>
      <w:r>
        <w:rPr>
          <w:rFonts w:hint="eastAsia" w:ascii="宋体" w:hAnsi="宋体"/>
          <w:bCs/>
          <w:szCs w:val="32"/>
        </w:rPr>
        <w:t xml:space="preserve">：              联系电话：               </w:t>
      </w:r>
    </w:p>
    <w:p>
      <w:pPr>
        <w:spacing w:line="360" w:lineRule="auto"/>
        <w:rPr>
          <w:rFonts w:hint="eastAsia" w:ascii="宋体" w:hAnsi="宋体"/>
          <w:b/>
          <w:szCs w:val="32"/>
        </w:rPr>
      </w:pPr>
    </w:p>
    <w:p>
      <w:pPr>
        <w:spacing w:line="360" w:lineRule="auto"/>
        <w:rPr>
          <w:rFonts w:hint="eastAsia" w:ascii="宋体" w:hAnsi="宋体"/>
          <w:b/>
          <w:szCs w:val="32"/>
        </w:rPr>
      </w:pPr>
      <w:r>
        <w:rPr>
          <w:rFonts w:hint="eastAsia" w:ascii="宋体" w:hAnsi="宋体"/>
          <w:b/>
          <w:szCs w:val="32"/>
        </w:rPr>
        <w:t xml:space="preserve">乙方 ：          </w:t>
      </w:r>
    </w:p>
    <w:p>
      <w:pPr>
        <w:spacing w:line="360" w:lineRule="auto"/>
        <w:rPr>
          <w:rFonts w:hint="eastAsia" w:ascii="宋体" w:hAnsi="宋体"/>
        </w:rPr>
      </w:pPr>
      <w:r>
        <w:rPr>
          <w:rFonts w:hint="eastAsia" w:ascii="宋体" w:hAnsi="宋体"/>
          <w:szCs w:val="30"/>
        </w:rPr>
        <w:t xml:space="preserve">地址：                      </w:t>
      </w:r>
      <w:r>
        <w:rPr>
          <w:rFonts w:hint="eastAsia" w:ascii="宋体" w:hAnsi="宋体"/>
        </w:rPr>
        <w:t xml:space="preserve">                                  </w:t>
      </w:r>
    </w:p>
    <w:p>
      <w:pPr>
        <w:spacing w:line="360" w:lineRule="auto"/>
        <w:rPr>
          <w:rFonts w:hint="eastAsia"/>
          <w:szCs w:val="28"/>
        </w:rPr>
      </w:pPr>
      <w:r>
        <w:rPr>
          <w:rFonts w:hint="eastAsia" w:ascii="宋体" w:hAnsi="宋体"/>
          <w:bCs/>
          <w:szCs w:val="32"/>
          <w:lang w:val="en-US" w:eastAsia="zh-CN"/>
        </w:rPr>
        <w:t>联系人</w:t>
      </w:r>
      <w:r>
        <w:rPr>
          <w:rFonts w:hint="eastAsia" w:ascii="宋体" w:hAnsi="宋体"/>
          <w:bCs/>
          <w:szCs w:val="32"/>
        </w:rPr>
        <w:t xml:space="preserve">：             联系电话：             </w:t>
      </w:r>
    </w:p>
    <w:p>
      <w:pPr>
        <w:spacing w:line="560" w:lineRule="exact"/>
        <w:ind w:firstLine="480" w:firstLineChars="200"/>
        <w:rPr>
          <w:rFonts w:ascii="宋体" w:hAnsi="宋体"/>
          <w:szCs w:val="28"/>
        </w:rPr>
      </w:pPr>
    </w:p>
    <w:p>
      <w:pPr>
        <w:spacing w:line="360" w:lineRule="auto"/>
        <w:ind w:firstLine="480" w:firstLineChars="200"/>
        <w:rPr>
          <w:rFonts w:hint="eastAsia" w:ascii="宋体" w:hAnsi="宋体"/>
          <w:sz w:val="24"/>
          <w:szCs w:val="24"/>
        </w:rPr>
      </w:pPr>
      <w:r>
        <w:rPr>
          <w:rFonts w:hint="eastAsia" w:ascii="宋体" w:hAnsi="宋体"/>
          <w:color w:val="auto"/>
          <w:sz w:val="24"/>
          <w:szCs w:val="24"/>
        </w:rPr>
        <w:t>甲乙双方根据《中华人民共和国</w:t>
      </w:r>
      <w:r>
        <w:rPr>
          <w:rFonts w:hint="eastAsia" w:ascii="宋体" w:hAnsi="宋体"/>
          <w:color w:val="auto"/>
          <w:sz w:val="24"/>
          <w:szCs w:val="24"/>
          <w:lang w:eastAsia="zh-CN"/>
        </w:rPr>
        <w:t>民法典</w:t>
      </w:r>
      <w:r>
        <w:rPr>
          <w:rFonts w:hint="eastAsia" w:ascii="宋体" w:hAnsi="宋体"/>
          <w:color w:val="auto"/>
          <w:sz w:val="24"/>
          <w:szCs w:val="24"/>
        </w:rPr>
        <w:t>》及其它相关法律，经公开</w:t>
      </w:r>
      <w:r>
        <w:rPr>
          <w:rFonts w:hint="eastAsia" w:ascii="宋体" w:hAnsi="宋体"/>
          <w:color w:val="auto"/>
          <w:sz w:val="24"/>
          <w:szCs w:val="24"/>
          <w:lang w:val="en-US" w:eastAsia="zh-CN"/>
        </w:rPr>
        <w:t>询价</w:t>
      </w:r>
      <w:r>
        <w:rPr>
          <w:rFonts w:hint="eastAsia" w:ascii="宋体" w:hAnsi="宋体"/>
          <w:color w:val="auto"/>
          <w:sz w:val="24"/>
          <w:szCs w:val="24"/>
        </w:rPr>
        <w:t>、友好协商，</w:t>
      </w:r>
      <w:r>
        <w:rPr>
          <w:rFonts w:hint="eastAsia" w:ascii="宋体" w:hAnsi="宋体"/>
          <w:sz w:val="24"/>
          <w:szCs w:val="24"/>
        </w:rPr>
        <w:t>对</w:t>
      </w:r>
      <w:r>
        <w:rPr>
          <w:rFonts w:hint="eastAsia" w:ascii="宋体" w:hAnsi="宋体"/>
          <w:sz w:val="24"/>
          <w:szCs w:val="24"/>
          <w:lang w:val="en-US" w:eastAsia="zh-CN"/>
        </w:rPr>
        <w:t>南方报业传媒基地（佛山）有</w:t>
      </w:r>
      <w:bookmarkStart w:id="1" w:name="_GoBack"/>
      <w:bookmarkEnd w:id="1"/>
      <w:r>
        <w:rPr>
          <w:rFonts w:hint="eastAsia" w:ascii="宋体" w:hAnsi="宋体"/>
          <w:sz w:val="24"/>
          <w:szCs w:val="24"/>
          <w:lang w:val="en-US" w:eastAsia="zh-CN"/>
        </w:rPr>
        <w:t>限公司</w:t>
      </w:r>
      <w:r>
        <w:rPr>
          <w:rFonts w:hint="eastAsia" w:ascii="宋体" w:hAnsi="宋体"/>
          <w:sz w:val="24"/>
          <w:szCs w:val="24"/>
        </w:rPr>
        <w:t>的</w:t>
      </w:r>
      <w:r>
        <w:rPr>
          <w:rFonts w:hint="eastAsia" w:ascii="宋体" w:hAnsi="宋体"/>
          <w:sz w:val="24"/>
          <w:szCs w:val="24"/>
          <w:lang w:val="en-US" w:eastAsia="zh-CN"/>
        </w:rPr>
        <w:t>纸张</w:t>
      </w:r>
      <w:r>
        <w:rPr>
          <w:rFonts w:hint="eastAsia" w:ascii="宋体" w:hAnsi="宋体"/>
          <w:sz w:val="24"/>
          <w:szCs w:val="24"/>
        </w:rPr>
        <w:t>运输达成如下共识，以供双方共同遵守执行。</w:t>
      </w:r>
    </w:p>
    <w:p>
      <w:pPr>
        <w:pStyle w:val="14"/>
        <w:numPr>
          <w:ilvl w:val="0"/>
          <w:numId w:val="0"/>
        </w:numPr>
        <w:spacing w:line="360" w:lineRule="auto"/>
        <w:ind w:left="283" w:leftChars="0" w:firstLine="241" w:firstLineChars="100"/>
        <w:rPr>
          <w:rFonts w:hint="eastAsia" w:ascii="宋体" w:hAnsi="宋体"/>
          <w:b/>
          <w:sz w:val="24"/>
          <w:szCs w:val="24"/>
        </w:rPr>
      </w:pPr>
      <w:r>
        <w:rPr>
          <w:rFonts w:hint="eastAsia" w:ascii="宋体" w:hAnsi="宋体"/>
          <w:b/>
          <w:sz w:val="24"/>
          <w:szCs w:val="24"/>
          <w:lang w:val="en-US" w:eastAsia="zh-CN"/>
        </w:rPr>
        <w:t>一、</w:t>
      </w:r>
      <w:r>
        <w:rPr>
          <w:rFonts w:hint="eastAsia" w:ascii="宋体" w:hAnsi="宋体"/>
          <w:b/>
          <w:sz w:val="24"/>
          <w:szCs w:val="24"/>
        </w:rPr>
        <w:t>合同执行期限</w:t>
      </w:r>
    </w:p>
    <w:p>
      <w:pPr>
        <w:spacing w:line="360" w:lineRule="auto"/>
        <w:ind w:firstLine="570"/>
        <w:rPr>
          <w:rFonts w:hint="eastAsia" w:ascii="宋体" w:hAnsi="宋体"/>
          <w:sz w:val="24"/>
          <w:szCs w:val="24"/>
          <w:u w:val="single"/>
        </w:rPr>
      </w:pPr>
      <w:r>
        <w:rPr>
          <w:rFonts w:hint="eastAsia" w:ascii="宋体" w:hAnsi="宋体"/>
          <w:sz w:val="24"/>
          <w:szCs w:val="24"/>
        </w:rPr>
        <w:t xml:space="preserve">从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日止。</w:t>
      </w:r>
    </w:p>
    <w:p>
      <w:pPr>
        <w:spacing w:line="360" w:lineRule="auto"/>
        <w:ind w:firstLine="482" w:firstLineChars="200"/>
        <w:rPr>
          <w:rFonts w:hint="eastAsia" w:ascii="宋体" w:hAnsi="宋体"/>
          <w:sz w:val="24"/>
          <w:szCs w:val="24"/>
        </w:rPr>
      </w:pPr>
      <w:r>
        <w:rPr>
          <w:rFonts w:hint="eastAsia" w:ascii="宋体" w:hAnsi="宋体"/>
          <w:b/>
          <w:sz w:val="24"/>
          <w:szCs w:val="24"/>
        </w:rPr>
        <w:t>二、结算标准（均为含税、含保险费价格</w:t>
      </w:r>
      <w:r>
        <w:rPr>
          <w:rFonts w:hint="eastAsia" w:ascii="宋体" w:hAnsi="宋体"/>
          <w:b/>
          <w:sz w:val="24"/>
          <w:szCs w:val="24"/>
          <w:lang w:eastAsia="zh-CN"/>
        </w:rPr>
        <w:t>，</w:t>
      </w:r>
      <w:r>
        <w:rPr>
          <w:rFonts w:hint="eastAsia" w:ascii="宋体" w:hAnsi="宋体"/>
          <w:b/>
          <w:sz w:val="24"/>
          <w:szCs w:val="24"/>
          <w:lang w:val="en-US" w:eastAsia="zh-CN"/>
        </w:rPr>
        <w:t>运输数量为预计数，以实际发生运输数量为准结算</w:t>
      </w:r>
      <w:r>
        <w:rPr>
          <w:rFonts w:hint="eastAsia" w:ascii="宋体" w:hAnsi="宋体"/>
          <w:b/>
          <w:sz w:val="24"/>
          <w:szCs w:val="24"/>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4"/>
        <w:gridCol w:w="1686"/>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pPr>
              <w:spacing w:line="360" w:lineRule="auto"/>
              <w:jc w:val="center"/>
              <w:rPr>
                <w:rFonts w:hint="eastAsia" w:ascii="宋体" w:hAnsi="宋体" w:eastAsia="宋体"/>
                <w:sz w:val="24"/>
                <w:szCs w:val="24"/>
                <w:vertAlign w:val="baseline"/>
                <w:lang w:val="en-US" w:eastAsia="zh-CN"/>
              </w:rPr>
            </w:pPr>
            <w:r>
              <w:rPr>
                <w:rFonts w:hint="eastAsia" w:ascii="宋体" w:hAnsi="宋体"/>
                <w:sz w:val="24"/>
                <w:szCs w:val="24"/>
                <w:vertAlign w:val="baseline"/>
                <w:lang w:val="en-US" w:eastAsia="zh-CN"/>
              </w:rPr>
              <w:t>项目</w:t>
            </w:r>
          </w:p>
        </w:tc>
        <w:tc>
          <w:tcPr>
            <w:tcW w:w="1686" w:type="dxa"/>
          </w:tcPr>
          <w:p>
            <w:pPr>
              <w:spacing w:line="360" w:lineRule="auto"/>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预计数量</w:t>
            </w:r>
          </w:p>
        </w:tc>
        <w:tc>
          <w:tcPr>
            <w:tcW w:w="2131" w:type="dxa"/>
          </w:tcPr>
          <w:p>
            <w:pPr>
              <w:spacing w:line="360" w:lineRule="auto"/>
              <w:jc w:val="center"/>
              <w:rPr>
                <w:rFonts w:hint="eastAsia" w:ascii="宋体" w:hAnsi="宋体" w:eastAsia="宋体"/>
                <w:sz w:val="24"/>
                <w:szCs w:val="24"/>
                <w:vertAlign w:val="baseline"/>
                <w:lang w:val="en-US" w:eastAsia="zh-CN"/>
              </w:rPr>
            </w:pPr>
            <w:r>
              <w:rPr>
                <w:rFonts w:hint="eastAsia" w:ascii="宋体" w:hAnsi="宋体"/>
                <w:sz w:val="24"/>
                <w:szCs w:val="24"/>
                <w:vertAlign w:val="baseline"/>
                <w:lang w:val="en-US" w:eastAsia="zh-CN"/>
              </w:rPr>
              <w:t>单价</w:t>
            </w:r>
          </w:p>
        </w:tc>
        <w:tc>
          <w:tcPr>
            <w:tcW w:w="2131" w:type="dxa"/>
          </w:tcPr>
          <w:p>
            <w:pPr>
              <w:spacing w:line="360" w:lineRule="auto"/>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单项合计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pPr>
              <w:spacing w:line="360" w:lineRule="auto"/>
              <w:jc w:val="center"/>
              <w:rPr>
                <w:rFonts w:hint="eastAsia" w:ascii="宋体" w:hAnsi="宋体"/>
                <w:b w:val="0"/>
                <w:bCs w:val="0"/>
                <w:color w:val="auto"/>
                <w:sz w:val="24"/>
                <w:szCs w:val="24"/>
                <w:vertAlign w:val="baseline"/>
              </w:rPr>
            </w:pPr>
            <w:r>
              <w:rPr>
                <w:rFonts w:hint="eastAsia" w:ascii="宋体" w:hAnsi="宋体" w:eastAsia="宋体" w:cs="宋体"/>
                <w:b w:val="0"/>
                <w:bCs w:val="0"/>
                <w:color w:val="auto"/>
                <w:sz w:val="24"/>
                <w:szCs w:val="24"/>
              </w:rPr>
              <w:t>25吨（含）以上</w:t>
            </w:r>
          </w:p>
        </w:tc>
        <w:tc>
          <w:tcPr>
            <w:tcW w:w="1686" w:type="dxa"/>
          </w:tcPr>
          <w:p>
            <w:pPr>
              <w:spacing w:line="360" w:lineRule="auto"/>
              <w:jc w:val="center"/>
              <w:rPr>
                <w:rFonts w:hint="eastAsia" w:ascii="宋体" w:hAnsi="宋体" w:eastAsia="宋体"/>
                <w:color w:val="auto"/>
                <w:sz w:val="24"/>
                <w:szCs w:val="24"/>
                <w:vertAlign w:val="baseline"/>
                <w:lang w:val="en-US" w:eastAsia="zh-CN"/>
              </w:rPr>
            </w:pPr>
            <w:r>
              <w:rPr>
                <w:rFonts w:hint="eastAsia" w:ascii="宋体" w:hAnsi="宋体"/>
                <w:color w:val="auto"/>
                <w:sz w:val="24"/>
                <w:szCs w:val="24"/>
                <w:u w:val="none"/>
                <w:vertAlign w:val="baseline"/>
                <w:lang w:val="en-US" w:eastAsia="zh-CN"/>
              </w:rPr>
              <w:t>10500</w:t>
            </w:r>
            <w:r>
              <w:rPr>
                <w:rFonts w:hint="eastAsia" w:ascii="宋体" w:hAnsi="宋体"/>
                <w:color w:val="auto"/>
                <w:sz w:val="24"/>
                <w:szCs w:val="24"/>
                <w:vertAlign w:val="baseline"/>
                <w:lang w:val="en-US" w:eastAsia="zh-CN"/>
              </w:rPr>
              <w:t>吨</w:t>
            </w:r>
          </w:p>
        </w:tc>
        <w:tc>
          <w:tcPr>
            <w:tcW w:w="2131" w:type="dxa"/>
          </w:tcPr>
          <w:p>
            <w:pPr>
              <w:spacing w:line="360" w:lineRule="auto"/>
              <w:jc w:val="center"/>
              <w:rPr>
                <w:rFonts w:hint="default" w:ascii="宋体" w:hAnsi="宋体" w:eastAsia="宋体"/>
                <w:color w:val="auto"/>
                <w:sz w:val="24"/>
                <w:szCs w:val="24"/>
                <w:vertAlign w:val="baseline"/>
                <w:lang w:val="en-US" w:eastAsia="zh-CN"/>
              </w:rPr>
            </w:pPr>
            <w:r>
              <w:rPr>
                <w:rFonts w:hint="eastAsia" w:ascii="宋体" w:hAnsi="宋体"/>
                <w:color w:val="auto"/>
                <w:sz w:val="24"/>
                <w:szCs w:val="24"/>
                <w:u w:val="single"/>
                <w:vertAlign w:val="baseline"/>
                <w:lang w:val="en-US" w:eastAsia="zh-CN"/>
              </w:rPr>
              <w:t xml:space="preserve">   </w:t>
            </w:r>
            <w:r>
              <w:rPr>
                <w:rFonts w:hint="eastAsia" w:ascii="宋体" w:hAnsi="宋体"/>
                <w:color w:val="auto"/>
                <w:sz w:val="24"/>
                <w:szCs w:val="24"/>
                <w:vertAlign w:val="baseline"/>
                <w:lang w:val="en-US" w:eastAsia="zh-CN"/>
              </w:rPr>
              <w:t>元/吨</w:t>
            </w:r>
          </w:p>
        </w:tc>
        <w:tc>
          <w:tcPr>
            <w:tcW w:w="2131" w:type="dxa"/>
          </w:tcPr>
          <w:p>
            <w:pPr>
              <w:spacing w:line="360" w:lineRule="auto"/>
              <w:jc w:val="center"/>
              <w:rPr>
                <w:rFonts w:hint="eastAsia" w:ascii="宋体" w:hAnsi="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pPr>
              <w:spacing w:line="360" w:lineRule="auto"/>
              <w:jc w:val="center"/>
              <w:rPr>
                <w:rFonts w:hint="eastAsia" w:ascii="宋体" w:hAnsi="宋体"/>
                <w:b w:val="0"/>
                <w:bCs w:val="0"/>
                <w:color w:val="auto"/>
                <w:sz w:val="24"/>
                <w:szCs w:val="24"/>
                <w:vertAlign w:val="baseline"/>
              </w:rPr>
            </w:pPr>
            <w:r>
              <w:rPr>
                <w:rFonts w:hint="eastAsia" w:ascii="宋体" w:hAnsi="宋体" w:eastAsia="宋体" w:cs="宋体"/>
                <w:b w:val="0"/>
                <w:bCs w:val="0"/>
                <w:color w:val="auto"/>
                <w:sz w:val="24"/>
                <w:szCs w:val="24"/>
              </w:rPr>
              <w:t>10吨（含）-25吨以下</w:t>
            </w:r>
          </w:p>
        </w:tc>
        <w:tc>
          <w:tcPr>
            <w:tcW w:w="1686" w:type="dxa"/>
          </w:tcPr>
          <w:p>
            <w:pPr>
              <w:spacing w:line="360" w:lineRule="auto"/>
              <w:jc w:val="center"/>
              <w:rPr>
                <w:rFonts w:hint="eastAsia" w:ascii="宋体" w:hAnsi="宋体" w:eastAsia="宋体"/>
                <w:color w:val="auto"/>
                <w:sz w:val="24"/>
                <w:szCs w:val="24"/>
                <w:vertAlign w:val="baseline"/>
                <w:lang w:val="en-US" w:eastAsia="zh-CN"/>
              </w:rPr>
            </w:pPr>
            <w:r>
              <w:rPr>
                <w:rFonts w:hint="eastAsia" w:ascii="宋体" w:hAnsi="宋体"/>
                <w:color w:val="auto"/>
                <w:sz w:val="24"/>
                <w:szCs w:val="24"/>
                <w:vertAlign w:val="baseline"/>
                <w:lang w:val="en-US" w:eastAsia="zh-CN"/>
              </w:rPr>
              <w:t>300吨</w:t>
            </w:r>
          </w:p>
        </w:tc>
        <w:tc>
          <w:tcPr>
            <w:tcW w:w="2131" w:type="dxa"/>
          </w:tcPr>
          <w:p>
            <w:pPr>
              <w:spacing w:line="360" w:lineRule="auto"/>
              <w:jc w:val="center"/>
              <w:rPr>
                <w:rFonts w:hint="eastAsia" w:ascii="宋体" w:hAnsi="宋体"/>
                <w:color w:val="auto"/>
                <w:sz w:val="24"/>
                <w:szCs w:val="24"/>
                <w:vertAlign w:val="baseline"/>
              </w:rPr>
            </w:pPr>
            <w:r>
              <w:rPr>
                <w:rFonts w:hint="eastAsia" w:ascii="宋体" w:hAnsi="宋体"/>
                <w:color w:val="auto"/>
                <w:sz w:val="24"/>
                <w:szCs w:val="24"/>
                <w:u w:val="single"/>
                <w:vertAlign w:val="baseline"/>
                <w:lang w:val="en-US" w:eastAsia="zh-CN"/>
              </w:rPr>
              <w:t xml:space="preserve">   </w:t>
            </w:r>
            <w:r>
              <w:rPr>
                <w:rFonts w:hint="eastAsia" w:ascii="宋体" w:hAnsi="宋体"/>
                <w:color w:val="auto"/>
                <w:sz w:val="24"/>
                <w:szCs w:val="24"/>
                <w:vertAlign w:val="baseline"/>
                <w:lang w:val="en-US" w:eastAsia="zh-CN"/>
              </w:rPr>
              <w:t>元/吨</w:t>
            </w:r>
          </w:p>
        </w:tc>
        <w:tc>
          <w:tcPr>
            <w:tcW w:w="2131" w:type="dxa"/>
          </w:tcPr>
          <w:p>
            <w:pPr>
              <w:spacing w:line="360" w:lineRule="auto"/>
              <w:jc w:val="center"/>
              <w:rPr>
                <w:rFonts w:hint="eastAsia" w:ascii="宋体" w:hAnsi="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pPr>
              <w:spacing w:line="360" w:lineRule="auto"/>
              <w:jc w:val="center"/>
              <w:rPr>
                <w:rFonts w:hint="eastAsia" w:ascii="宋体" w:hAnsi="宋体"/>
                <w:b w:val="0"/>
                <w:bCs w:val="0"/>
                <w:color w:val="auto"/>
                <w:sz w:val="24"/>
                <w:szCs w:val="24"/>
                <w:vertAlign w:val="baseline"/>
              </w:rPr>
            </w:pPr>
            <w:r>
              <w:rPr>
                <w:rFonts w:hint="eastAsia" w:ascii="宋体" w:hAnsi="宋体" w:eastAsia="宋体" w:cs="宋体"/>
                <w:b w:val="0"/>
                <w:bCs w:val="0"/>
                <w:color w:val="auto"/>
                <w:sz w:val="24"/>
                <w:szCs w:val="24"/>
              </w:rPr>
              <w:t>10吨以下</w:t>
            </w:r>
          </w:p>
        </w:tc>
        <w:tc>
          <w:tcPr>
            <w:tcW w:w="1686" w:type="dxa"/>
          </w:tcPr>
          <w:p>
            <w:pPr>
              <w:spacing w:line="360" w:lineRule="auto"/>
              <w:jc w:val="center"/>
              <w:rPr>
                <w:rFonts w:hint="eastAsia" w:ascii="宋体" w:hAnsi="宋体" w:eastAsia="宋体"/>
                <w:color w:val="auto"/>
                <w:sz w:val="24"/>
                <w:szCs w:val="24"/>
                <w:vertAlign w:val="baseline"/>
                <w:lang w:val="en-US" w:eastAsia="zh-CN"/>
              </w:rPr>
            </w:pPr>
            <w:r>
              <w:rPr>
                <w:rFonts w:hint="eastAsia" w:ascii="宋体" w:hAnsi="宋体"/>
                <w:color w:val="auto"/>
                <w:sz w:val="24"/>
                <w:szCs w:val="24"/>
                <w:vertAlign w:val="baseline"/>
                <w:lang w:val="en-US" w:eastAsia="zh-CN"/>
              </w:rPr>
              <w:t>10车</w:t>
            </w:r>
          </w:p>
        </w:tc>
        <w:tc>
          <w:tcPr>
            <w:tcW w:w="2131" w:type="dxa"/>
          </w:tcPr>
          <w:p>
            <w:pPr>
              <w:spacing w:line="360" w:lineRule="auto"/>
              <w:jc w:val="center"/>
              <w:rPr>
                <w:rFonts w:hint="eastAsia" w:ascii="宋体" w:hAnsi="宋体"/>
                <w:color w:val="auto"/>
                <w:sz w:val="24"/>
                <w:szCs w:val="24"/>
                <w:vertAlign w:val="baseline"/>
              </w:rPr>
            </w:pPr>
            <w:r>
              <w:rPr>
                <w:rFonts w:hint="eastAsia" w:ascii="宋体" w:hAnsi="宋体"/>
                <w:color w:val="auto"/>
                <w:sz w:val="24"/>
                <w:szCs w:val="24"/>
                <w:u w:val="single"/>
                <w:vertAlign w:val="baseline"/>
                <w:lang w:val="en-US" w:eastAsia="zh-CN"/>
              </w:rPr>
              <w:t xml:space="preserve">    </w:t>
            </w:r>
            <w:r>
              <w:rPr>
                <w:rFonts w:hint="eastAsia" w:ascii="宋体" w:hAnsi="宋体"/>
                <w:color w:val="auto"/>
                <w:sz w:val="24"/>
                <w:szCs w:val="24"/>
                <w:vertAlign w:val="baseline"/>
                <w:lang w:val="en-US" w:eastAsia="zh-CN"/>
              </w:rPr>
              <w:t>元/车</w:t>
            </w:r>
          </w:p>
        </w:tc>
        <w:tc>
          <w:tcPr>
            <w:tcW w:w="2131" w:type="dxa"/>
          </w:tcPr>
          <w:p>
            <w:pPr>
              <w:spacing w:line="360" w:lineRule="auto"/>
              <w:jc w:val="center"/>
              <w:rPr>
                <w:rFonts w:hint="eastAsia" w:ascii="宋体" w:hAnsi="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spacing w:line="360" w:lineRule="auto"/>
              <w:jc w:val="center"/>
              <w:rPr>
                <w:rFonts w:hint="default" w:ascii="宋体" w:hAnsi="宋体" w:eastAsia="宋体"/>
                <w:sz w:val="24"/>
                <w:szCs w:val="24"/>
                <w:u w:val="single"/>
                <w:vertAlign w:val="baseline"/>
                <w:lang w:val="en-US" w:eastAsia="zh-CN"/>
              </w:rPr>
            </w:pPr>
            <w:r>
              <w:rPr>
                <w:rFonts w:hint="eastAsia" w:ascii="宋体" w:hAnsi="宋体"/>
                <w:sz w:val="24"/>
                <w:szCs w:val="24"/>
                <w:vertAlign w:val="baseline"/>
                <w:lang w:val="en-US" w:eastAsia="zh-CN"/>
              </w:rPr>
              <w:t>总价：</w:t>
            </w:r>
            <w:r>
              <w:rPr>
                <w:rFonts w:hint="eastAsia" w:ascii="宋体" w:hAnsi="宋体"/>
                <w:sz w:val="24"/>
                <w:szCs w:val="24"/>
                <w:u w:val="single"/>
                <w:vertAlign w:val="baseline"/>
                <w:lang w:val="en-US" w:eastAsia="zh-CN"/>
              </w:rPr>
              <w:t xml:space="preserve">                  </w:t>
            </w:r>
            <w:r>
              <w:rPr>
                <w:rFonts w:hint="eastAsia" w:ascii="宋体" w:hAnsi="宋体"/>
                <w:sz w:val="24"/>
                <w:szCs w:val="24"/>
                <w:u w:val="none"/>
                <w:vertAlign w:val="baseline"/>
                <w:lang w:val="en-US" w:eastAsia="zh-CN"/>
              </w:rPr>
              <w:t>元（大写</w:t>
            </w:r>
            <w:r>
              <w:rPr>
                <w:rFonts w:hint="eastAsia" w:ascii="宋体" w:hAnsi="宋体"/>
                <w:sz w:val="24"/>
                <w:szCs w:val="24"/>
                <w:u w:val="single"/>
                <w:vertAlign w:val="baseline"/>
                <w:lang w:val="en-US" w:eastAsia="zh-CN"/>
              </w:rPr>
              <w:t xml:space="preserve">：          </w:t>
            </w:r>
            <w:r>
              <w:rPr>
                <w:rFonts w:hint="eastAsia" w:ascii="宋体" w:hAnsi="宋体"/>
                <w:sz w:val="24"/>
                <w:szCs w:val="24"/>
                <w:u w:val="none"/>
                <w:vertAlign w:val="baseline"/>
                <w:lang w:val="en-US" w:eastAsia="zh-CN"/>
              </w:rPr>
              <w:t>元整）</w:t>
            </w:r>
          </w:p>
        </w:tc>
      </w:tr>
    </w:tbl>
    <w:p>
      <w:pPr>
        <w:spacing w:line="360" w:lineRule="auto"/>
        <w:ind w:firstLine="482" w:firstLineChars="200"/>
        <w:rPr>
          <w:rFonts w:hint="eastAsia" w:ascii="宋体" w:hAnsi="宋体"/>
          <w:b/>
          <w:sz w:val="24"/>
          <w:szCs w:val="24"/>
        </w:rPr>
      </w:pPr>
      <w:r>
        <w:rPr>
          <w:rFonts w:hint="eastAsia" w:ascii="宋体" w:hAnsi="宋体"/>
          <w:b/>
          <w:sz w:val="24"/>
          <w:szCs w:val="24"/>
        </w:rPr>
        <w:t>三、结算时间及方式</w:t>
      </w:r>
    </w:p>
    <w:p>
      <w:pPr>
        <w:spacing w:line="360" w:lineRule="auto"/>
        <w:ind w:firstLine="480" w:firstLineChars="200"/>
        <w:rPr>
          <w:rFonts w:hint="eastAsia" w:ascii="宋体" w:hAnsi="宋体"/>
          <w:sz w:val="24"/>
          <w:szCs w:val="24"/>
        </w:rPr>
      </w:pPr>
      <w:r>
        <w:rPr>
          <w:rFonts w:hint="eastAsia" w:ascii="宋体" w:hAnsi="宋体"/>
          <w:sz w:val="24"/>
          <w:szCs w:val="24"/>
        </w:rPr>
        <w:t>1、甲、乙双方应在每月10日前完成上月运输费用结算表的对帐、核算。</w:t>
      </w:r>
    </w:p>
    <w:p>
      <w:pPr>
        <w:spacing w:line="360" w:lineRule="auto"/>
        <w:ind w:firstLine="480" w:firstLineChars="200"/>
        <w:rPr>
          <w:rFonts w:hint="eastAsia" w:ascii="宋体" w:hAnsi="宋体"/>
          <w:sz w:val="24"/>
          <w:szCs w:val="24"/>
        </w:rPr>
      </w:pPr>
      <w:r>
        <w:rPr>
          <w:rFonts w:hint="eastAsia" w:ascii="宋体" w:hAnsi="宋体"/>
          <w:sz w:val="24"/>
          <w:szCs w:val="24"/>
        </w:rPr>
        <w:t>2、乙方按运输费用结算表的结算额向甲方开具相应金额的相关业务的可抵扣国内专用增值税发票。</w:t>
      </w:r>
    </w:p>
    <w:p>
      <w:pPr>
        <w:spacing w:line="360" w:lineRule="auto"/>
        <w:ind w:firstLine="480" w:firstLineChars="200"/>
        <w:rPr>
          <w:rFonts w:hint="eastAsia" w:ascii="宋体" w:hAnsi="宋体"/>
          <w:sz w:val="24"/>
          <w:szCs w:val="24"/>
        </w:rPr>
      </w:pPr>
      <w:r>
        <w:rPr>
          <w:rFonts w:hint="eastAsia" w:ascii="宋体" w:hAnsi="宋体"/>
          <w:sz w:val="24"/>
          <w:szCs w:val="24"/>
        </w:rPr>
        <w:t>3、甲方在收到乙方上月运输发票后30天内，应向乙方以支票或银行转帐方式一次性结算上月运输费用。乙方结算时必须在运输费发票随付签收码单原件。</w:t>
      </w:r>
    </w:p>
    <w:p>
      <w:pPr>
        <w:spacing w:line="360" w:lineRule="auto"/>
        <w:ind w:left="-2" w:leftChars="-1" w:firstLine="482" w:firstLineChars="200"/>
        <w:rPr>
          <w:rFonts w:hint="eastAsia" w:ascii="宋体" w:hAnsi="宋体"/>
          <w:b/>
          <w:sz w:val="24"/>
          <w:szCs w:val="24"/>
          <w:lang w:val="en-US" w:eastAsia="zh-CN"/>
        </w:rPr>
      </w:pPr>
      <w:r>
        <w:rPr>
          <w:rFonts w:hint="eastAsia" w:ascii="宋体" w:hAnsi="宋体"/>
          <w:b/>
          <w:sz w:val="24"/>
          <w:szCs w:val="24"/>
          <w:lang w:val="en-US" w:eastAsia="zh-CN"/>
        </w:rPr>
        <w:t>四、甲乙双方结算资料</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1、</w:t>
      </w:r>
      <w:r>
        <w:rPr>
          <w:rFonts w:hint="eastAsia" w:ascii="宋体" w:hAnsi="宋体" w:eastAsia="宋体" w:cs="宋体"/>
          <w:sz w:val="24"/>
          <w:szCs w:val="24"/>
          <w:shd w:val="clear" w:color="auto" w:fill="FFFFFF"/>
        </w:rPr>
        <w:t>甲方增值税开票及资金往来结算资料如下：</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单位名称：南方报业传媒基地（佛山）有限公司</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纳税人识别号：914406007750753584</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地址： 佛山市南海区里和北路8号</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电话： 0757-85126061</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开户行：中国农业银行佛山南海南宝支行</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账号： 44522101040007804</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2、</w:t>
      </w:r>
      <w:r>
        <w:rPr>
          <w:rFonts w:hint="eastAsia" w:ascii="宋体" w:hAnsi="宋体" w:eastAsia="宋体" w:cs="宋体"/>
          <w:sz w:val="24"/>
          <w:szCs w:val="24"/>
          <w:shd w:val="clear" w:color="auto" w:fill="FFFFFF"/>
        </w:rPr>
        <w:t>乙方增值税开票及资金往来结算资料如下：</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单位名称：</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纳税人识别号：</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地址：</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电话：</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开户行：</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宋体" w:hAnsi="宋体" w:eastAsia="宋体" w:cs="宋体"/>
          <w:sz w:val="24"/>
          <w:szCs w:val="24"/>
          <w:shd w:val="clear" w:color="auto" w:fill="FFFFFF"/>
        </w:rPr>
        <w:t>账号：</w:t>
      </w:r>
    </w:p>
    <w:p>
      <w:pPr>
        <w:spacing w:line="360" w:lineRule="auto"/>
        <w:ind w:left="-2" w:leftChars="-1" w:firstLine="482" w:firstLineChars="200"/>
        <w:rPr>
          <w:rFonts w:hint="eastAsia" w:ascii="宋体" w:hAnsi="宋体"/>
          <w:b/>
          <w:sz w:val="24"/>
          <w:szCs w:val="24"/>
        </w:rPr>
      </w:pPr>
      <w:r>
        <w:rPr>
          <w:rFonts w:hint="eastAsia" w:ascii="宋体" w:hAnsi="宋体"/>
          <w:b/>
          <w:sz w:val="24"/>
          <w:szCs w:val="24"/>
          <w:lang w:val="en-US" w:eastAsia="zh-CN"/>
        </w:rPr>
        <w:t>五</w:t>
      </w:r>
      <w:r>
        <w:rPr>
          <w:rFonts w:hint="eastAsia" w:ascii="宋体" w:hAnsi="宋体"/>
          <w:b/>
          <w:sz w:val="24"/>
          <w:szCs w:val="24"/>
        </w:rPr>
        <w:t>、甲方权利与义务</w:t>
      </w:r>
    </w:p>
    <w:p>
      <w:pPr>
        <w:spacing w:line="360" w:lineRule="auto"/>
        <w:ind w:firstLine="480" w:firstLineChars="200"/>
        <w:rPr>
          <w:rFonts w:hint="eastAsia" w:ascii="宋体" w:hAnsi="宋体"/>
          <w:sz w:val="24"/>
          <w:szCs w:val="24"/>
        </w:rPr>
      </w:pPr>
      <w:r>
        <w:rPr>
          <w:rFonts w:hint="eastAsia" w:ascii="宋体" w:hAnsi="宋体"/>
          <w:sz w:val="24"/>
          <w:szCs w:val="24"/>
        </w:rPr>
        <w:t>1、甲方需要变更到货地点，或者取消托运时，有权向乙方提出变更合同或解除合同，但必须在货物未装运之前通知乙方，如需发生其他线路的运输业务，其运输价格由甲、乙双方另行协商,并应按有关规定付给承运方所需的费用。</w:t>
      </w:r>
    </w:p>
    <w:p>
      <w:pPr>
        <w:spacing w:line="360" w:lineRule="auto"/>
        <w:ind w:firstLine="480" w:firstLineChars="200"/>
        <w:rPr>
          <w:rFonts w:hint="eastAsia" w:ascii="宋体" w:hAnsi="宋体"/>
          <w:sz w:val="24"/>
          <w:szCs w:val="24"/>
        </w:rPr>
      </w:pPr>
      <w:r>
        <w:rPr>
          <w:rFonts w:hint="eastAsia" w:ascii="宋体" w:hAnsi="宋体"/>
          <w:sz w:val="24"/>
          <w:szCs w:val="24"/>
        </w:rPr>
        <w:t>2、甲方在发货前二十四小时应以指定微信或QQ方式向乙方提供发货单，发货单内容要明确：货物名称、规格、数量、等级、发货仓库、交货地点、交货时间、联系人、装车要求等。</w:t>
      </w:r>
    </w:p>
    <w:p>
      <w:pPr>
        <w:spacing w:line="360" w:lineRule="auto"/>
        <w:ind w:firstLine="480" w:firstLineChars="200"/>
        <w:rPr>
          <w:rFonts w:hint="eastAsia" w:ascii="宋体" w:hAnsi="宋体"/>
          <w:sz w:val="24"/>
          <w:szCs w:val="24"/>
        </w:rPr>
      </w:pPr>
      <w:r>
        <w:rPr>
          <w:rFonts w:hint="eastAsia" w:ascii="宋体" w:hAnsi="宋体"/>
          <w:sz w:val="24"/>
          <w:szCs w:val="24"/>
        </w:rPr>
        <w:t>3、甲方应提供操作过程相关文件供乙方参考，并提前向乙方提供发货及配送计划。指派专人与乙方业务联系，向乙方提供便利条件进行运作。甲方应与收货方紧密联系，协调乙方运送车辆到达指定地点后的货物验收、卸车等工作。</w:t>
      </w:r>
    </w:p>
    <w:p>
      <w:pPr>
        <w:spacing w:line="360" w:lineRule="auto"/>
        <w:ind w:left="-2" w:leftChars="-1" w:firstLine="480" w:firstLineChars="200"/>
        <w:rPr>
          <w:rFonts w:hint="eastAsia" w:ascii="宋体" w:hAnsi="宋体"/>
          <w:bCs/>
          <w:sz w:val="24"/>
          <w:szCs w:val="24"/>
        </w:rPr>
      </w:pPr>
      <w:r>
        <w:rPr>
          <w:rFonts w:hint="eastAsia" w:ascii="宋体" w:hAnsi="宋体"/>
          <w:bCs/>
          <w:sz w:val="24"/>
          <w:szCs w:val="24"/>
        </w:rPr>
        <w:t>4、在乙方单方出现违约或出现重大责任事故而未及时妥善处理，甲方有权解除合同。</w:t>
      </w:r>
    </w:p>
    <w:p>
      <w:pPr>
        <w:spacing w:line="360" w:lineRule="auto"/>
        <w:ind w:left="-2" w:leftChars="-1" w:firstLine="480" w:firstLineChars="200"/>
        <w:rPr>
          <w:rFonts w:hint="eastAsia" w:ascii="宋体" w:hAnsi="宋体"/>
          <w:bCs/>
          <w:sz w:val="24"/>
          <w:szCs w:val="24"/>
        </w:rPr>
      </w:pPr>
      <w:r>
        <w:rPr>
          <w:rFonts w:hint="eastAsia" w:ascii="宋体" w:hAnsi="宋体"/>
          <w:bCs/>
          <w:sz w:val="24"/>
          <w:szCs w:val="24"/>
        </w:rPr>
        <w:t>5、乙方因违反合同约定或法律规定，造成甲方损失未能及时赔偿的，甲方有权从应付给乙方的运输费中直接扣除，不足部分甲方有权继续向乙方追偿。</w:t>
      </w:r>
    </w:p>
    <w:p>
      <w:pPr>
        <w:spacing w:line="360" w:lineRule="auto"/>
        <w:ind w:left="-2" w:leftChars="-1" w:firstLine="482" w:firstLineChars="200"/>
        <w:rPr>
          <w:rFonts w:hint="eastAsia" w:ascii="宋体" w:hAnsi="宋体"/>
          <w:b/>
          <w:sz w:val="24"/>
          <w:szCs w:val="24"/>
        </w:rPr>
      </w:pPr>
      <w:r>
        <w:rPr>
          <w:rFonts w:hint="eastAsia" w:ascii="宋体" w:hAnsi="宋体"/>
          <w:b/>
          <w:sz w:val="24"/>
          <w:szCs w:val="24"/>
          <w:lang w:val="en-US" w:eastAsia="zh-CN"/>
        </w:rPr>
        <w:t>六</w:t>
      </w:r>
      <w:r>
        <w:rPr>
          <w:rFonts w:hint="eastAsia" w:ascii="宋体" w:hAnsi="宋体"/>
          <w:b/>
          <w:sz w:val="24"/>
          <w:szCs w:val="24"/>
        </w:rPr>
        <w:t>、乙方权利与义务</w:t>
      </w:r>
    </w:p>
    <w:p>
      <w:pPr>
        <w:tabs>
          <w:tab w:val="left" w:pos="0"/>
        </w:tabs>
        <w:spacing w:line="360" w:lineRule="auto"/>
        <w:ind w:firstLine="480" w:firstLineChars="200"/>
        <w:rPr>
          <w:rFonts w:hint="eastAsia" w:ascii="宋体" w:hAnsi="宋体"/>
          <w:sz w:val="24"/>
          <w:szCs w:val="24"/>
        </w:rPr>
      </w:pPr>
      <w:r>
        <w:rPr>
          <w:rFonts w:hint="eastAsia" w:ascii="宋体" w:hAnsi="宋体"/>
          <w:sz w:val="24"/>
          <w:szCs w:val="24"/>
        </w:rPr>
        <w:t>1、甲方下达的发货计划后，乙方必须在24小时内回复甲方并安排车辆到甲方指定仓库装货，同时按照甲方托运时指定的时间、地点，安排牌照齐全有效，技术状况良好的车辆把货物安全、准时地运输到目的地，在装车后约定</w:t>
      </w:r>
      <w:r>
        <w:rPr>
          <w:rFonts w:hint="eastAsia" w:ascii="宋体" w:hAnsi="宋体"/>
          <w:sz w:val="24"/>
          <w:szCs w:val="24"/>
          <w:lang w:val="en-US" w:eastAsia="zh-CN"/>
        </w:rPr>
        <w:t>时间</w:t>
      </w:r>
      <w:r>
        <w:rPr>
          <w:rFonts w:hint="eastAsia" w:ascii="宋体" w:hAnsi="宋体"/>
          <w:sz w:val="24"/>
          <w:szCs w:val="24"/>
        </w:rPr>
        <w:t>内送达目的地。如车辆运力紧张时，乙方应优先保证甲方需求。若发现运输车辆未能满足甲方要求，甲方有权拒装，由此而产生的所有损失由乙方负责。</w:t>
      </w:r>
    </w:p>
    <w:p>
      <w:pPr>
        <w:tabs>
          <w:tab w:val="left" w:pos="0"/>
        </w:tabs>
        <w:spacing w:line="360" w:lineRule="auto"/>
        <w:ind w:firstLine="480" w:firstLineChars="200"/>
        <w:rPr>
          <w:rFonts w:hint="eastAsia" w:ascii="宋体" w:hAnsi="宋体"/>
          <w:sz w:val="24"/>
          <w:szCs w:val="24"/>
        </w:rPr>
      </w:pPr>
      <w:r>
        <w:rPr>
          <w:rFonts w:hint="eastAsia" w:ascii="宋体" w:hAnsi="宋体"/>
          <w:sz w:val="24"/>
          <w:szCs w:val="24"/>
        </w:rPr>
        <w:t>2、乙方必须在合同规定的期限内，将货物安全运到甲方指定地点，按时向收货人发出货物到达的通知，并保证收货方顺利签收货物，同时48小时内将收货确认通知甲方。</w:t>
      </w:r>
    </w:p>
    <w:p>
      <w:pPr>
        <w:tabs>
          <w:tab w:val="left" w:pos="0"/>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bCs/>
          <w:sz w:val="24"/>
          <w:szCs w:val="24"/>
        </w:rPr>
        <w:t>乙方应保证所聘用司机无犯罪记录。</w:t>
      </w:r>
      <w:r>
        <w:rPr>
          <w:rFonts w:hint="eastAsia" w:ascii="宋体" w:hAnsi="宋体"/>
          <w:sz w:val="24"/>
          <w:szCs w:val="24"/>
        </w:rPr>
        <w:t>乙方委派的司机应在货物装车时做好监装工作，若无发现异常后签名确认。一旦在发货码单上签名确认货物包装完好并离开甲方厂区的，在运送过程中如发生货物灭失、短少、水湿、调包、污染、破损等意外或人为事故，由乙方按照当前</w:t>
      </w:r>
      <w:r>
        <w:rPr>
          <w:rFonts w:hint="eastAsia" w:ascii="宋体" w:hAnsi="宋体"/>
          <w:sz w:val="24"/>
          <w:szCs w:val="24"/>
          <w:lang w:val="en-US" w:eastAsia="zh-CN"/>
        </w:rPr>
        <w:t>纸张价格</w:t>
      </w:r>
      <w:r>
        <w:rPr>
          <w:rFonts w:hint="eastAsia" w:ascii="宋体" w:hAnsi="宋体"/>
          <w:sz w:val="24"/>
          <w:szCs w:val="24"/>
        </w:rPr>
        <w:t>的1.2倍负责赔偿甲方的损失。</w:t>
      </w:r>
    </w:p>
    <w:p>
      <w:pPr>
        <w:spacing w:line="360" w:lineRule="auto"/>
        <w:ind w:left="-2" w:leftChars="-1" w:firstLine="480" w:firstLineChars="200"/>
        <w:rPr>
          <w:rFonts w:hint="eastAsia" w:ascii="宋体" w:hAnsi="宋体"/>
          <w:bCs/>
          <w:sz w:val="24"/>
          <w:szCs w:val="24"/>
        </w:rPr>
      </w:pPr>
      <w:r>
        <w:rPr>
          <w:rFonts w:hint="eastAsia" w:ascii="宋体" w:hAnsi="宋体"/>
          <w:bCs/>
          <w:sz w:val="24"/>
          <w:szCs w:val="24"/>
        </w:rPr>
        <w:t>5、乙方应主动为甲方货物购买保险，理赔范围涵盖因自然灾害造成不可抗力致使甲方的货物发生灭失、短少、水湿、调包、污染、破损等意外事故，乙方负责向保险公司办理理赔手续并</w:t>
      </w:r>
      <w:r>
        <w:rPr>
          <w:rFonts w:hint="eastAsia" w:ascii="宋体" w:hAnsi="宋体"/>
          <w:sz w:val="24"/>
          <w:szCs w:val="24"/>
        </w:rPr>
        <w:t>按照当前销售价</w:t>
      </w:r>
      <w:r>
        <w:rPr>
          <w:rFonts w:hint="eastAsia" w:ascii="宋体" w:hAnsi="宋体"/>
          <w:bCs/>
          <w:sz w:val="24"/>
          <w:szCs w:val="24"/>
        </w:rPr>
        <w:t>直接赔偿甲方损失。</w:t>
      </w:r>
    </w:p>
    <w:p>
      <w:pPr>
        <w:spacing w:line="360" w:lineRule="auto"/>
        <w:ind w:left="-2" w:leftChars="-1" w:firstLine="480" w:firstLineChars="200"/>
        <w:rPr>
          <w:rFonts w:hint="eastAsia" w:ascii="宋体" w:hAnsi="宋体"/>
          <w:bCs/>
          <w:sz w:val="24"/>
          <w:szCs w:val="24"/>
        </w:rPr>
      </w:pPr>
      <w:r>
        <w:rPr>
          <w:rFonts w:hint="eastAsia" w:ascii="宋体" w:hAnsi="宋体"/>
          <w:bCs/>
          <w:sz w:val="24"/>
          <w:szCs w:val="24"/>
        </w:rPr>
        <w:t>6、乙方须购买安全生产责任保险，要严格按照有关的安全规定进行作业，在装卸、运输过程中发生的一切安全责任，均由乙方负责。</w:t>
      </w:r>
    </w:p>
    <w:p>
      <w:pPr>
        <w:spacing w:line="360" w:lineRule="auto"/>
        <w:ind w:right="79" w:rightChars="33" w:firstLine="472" w:firstLineChars="196"/>
        <w:rPr>
          <w:rFonts w:hint="eastAsia" w:ascii="宋体" w:hAnsi="宋体"/>
          <w:b/>
          <w:bCs/>
          <w:sz w:val="24"/>
          <w:szCs w:val="24"/>
        </w:rPr>
      </w:pPr>
      <w:r>
        <w:rPr>
          <w:rFonts w:hint="eastAsia" w:ascii="宋体" w:hAnsi="宋体"/>
          <w:b/>
          <w:bCs/>
          <w:sz w:val="24"/>
          <w:szCs w:val="24"/>
          <w:lang w:val="en-US" w:eastAsia="zh-CN"/>
        </w:rPr>
        <w:t>七</w:t>
      </w:r>
      <w:r>
        <w:rPr>
          <w:rFonts w:hint="eastAsia" w:ascii="宋体" w:hAnsi="宋体"/>
          <w:b/>
          <w:bCs/>
          <w:sz w:val="24"/>
          <w:szCs w:val="24"/>
        </w:rPr>
        <w:t>、合同保证金</w:t>
      </w:r>
    </w:p>
    <w:p>
      <w:pPr>
        <w:spacing w:line="360" w:lineRule="auto"/>
        <w:ind w:left="-2" w:leftChars="-1" w:firstLine="480" w:firstLineChars="200"/>
        <w:rPr>
          <w:rFonts w:hint="eastAsia" w:ascii="宋体" w:hAnsi="宋体"/>
          <w:bCs/>
          <w:sz w:val="24"/>
          <w:szCs w:val="24"/>
        </w:rPr>
      </w:pPr>
      <w:r>
        <w:rPr>
          <w:rFonts w:hint="eastAsia" w:ascii="宋体" w:hAnsi="宋体"/>
          <w:bCs/>
          <w:sz w:val="24"/>
          <w:szCs w:val="24"/>
        </w:rPr>
        <w:t>1、合同签订后</w:t>
      </w:r>
      <w:r>
        <w:rPr>
          <w:rFonts w:hint="eastAsia" w:ascii="宋体" w:hAnsi="宋体"/>
          <w:bCs/>
          <w:sz w:val="24"/>
          <w:szCs w:val="24"/>
          <w:lang w:val="en-US" w:eastAsia="zh-CN"/>
        </w:rPr>
        <w:t>五</w:t>
      </w:r>
      <w:r>
        <w:rPr>
          <w:rFonts w:hint="eastAsia" w:ascii="宋体" w:hAnsi="宋体"/>
          <w:bCs/>
          <w:sz w:val="24"/>
          <w:szCs w:val="24"/>
        </w:rPr>
        <w:t>日内</w:t>
      </w:r>
      <w:r>
        <w:rPr>
          <w:rFonts w:hint="eastAsia" w:ascii="宋体" w:hAnsi="宋体"/>
          <w:sz w:val="24"/>
          <w:szCs w:val="24"/>
        </w:rPr>
        <w:t>，</w:t>
      </w:r>
      <w:r>
        <w:rPr>
          <w:rFonts w:hint="eastAsia" w:ascii="宋体" w:hAnsi="宋体"/>
          <w:bCs/>
          <w:sz w:val="24"/>
          <w:szCs w:val="24"/>
        </w:rPr>
        <w:t>乙方向甲方交纳</w:t>
      </w:r>
      <w:r>
        <w:rPr>
          <w:rFonts w:hint="eastAsia" w:ascii="宋体" w:hAnsi="宋体"/>
          <w:bCs/>
          <w:sz w:val="24"/>
          <w:szCs w:val="24"/>
          <w:u w:val="single"/>
        </w:rPr>
        <w:t xml:space="preserve"> </w:t>
      </w:r>
      <w:r>
        <w:rPr>
          <w:rFonts w:hint="eastAsia" w:ascii="宋体" w:hAnsi="宋体"/>
          <w:bCs/>
          <w:sz w:val="24"/>
          <w:szCs w:val="24"/>
          <w:u w:val="single"/>
          <w:lang w:val="en-US" w:eastAsia="zh-CN"/>
        </w:rPr>
        <w:t>壹</w:t>
      </w:r>
      <w:r>
        <w:rPr>
          <w:rFonts w:hint="eastAsia" w:ascii="宋体" w:hAnsi="宋体"/>
          <w:bCs/>
          <w:sz w:val="24"/>
          <w:szCs w:val="24"/>
          <w:u w:val="single"/>
        </w:rPr>
        <w:t xml:space="preserve"> </w:t>
      </w:r>
      <w:r>
        <w:rPr>
          <w:rFonts w:hint="eastAsia" w:ascii="宋体" w:hAnsi="宋体"/>
          <w:bCs/>
          <w:sz w:val="24"/>
          <w:szCs w:val="24"/>
        </w:rPr>
        <w:t>万元保证金。整个合同期内，如无出现违反合同规定行为，在合同期结束后，保证金作无息全额返还乙方。若乙方在合同期间有违约行为，经限期纠正无效，甲方有权解除合同，没收全部保证金，并可要求乙方赔偿甲方的一切损失。</w:t>
      </w:r>
    </w:p>
    <w:p>
      <w:pPr>
        <w:spacing w:line="360" w:lineRule="auto"/>
        <w:ind w:left="-2" w:leftChars="-1" w:firstLine="480" w:firstLineChars="200"/>
        <w:rPr>
          <w:rFonts w:hint="eastAsia" w:ascii="宋体" w:hAnsi="宋体"/>
          <w:bCs/>
          <w:sz w:val="24"/>
          <w:szCs w:val="24"/>
        </w:rPr>
      </w:pPr>
      <w:r>
        <w:rPr>
          <w:rFonts w:hint="eastAsia" w:ascii="宋体" w:hAnsi="宋体"/>
          <w:bCs/>
          <w:sz w:val="24"/>
          <w:szCs w:val="24"/>
        </w:rPr>
        <w:t>2、合同期内乙方收到甲方发货计划后 24 小时内未能回复并安排车辆装运，或者未按期送达目的地，累计超过五次（含五次）以上， 经甲方限期纠正无效的， 甲方有权解除合同并没收全部保证金，同时取消下一年度的响应资格。</w:t>
      </w:r>
    </w:p>
    <w:p>
      <w:pPr>
        <w:spacing w:line="360" w:lineRule="auto"/>
        <w:ind w:left="-2" w:leftChars="-1" w:firstLine="480" w:firstLineChars="200"/>
        <w:rPr>
          <w:rFonts w:hint="eastAsia" w:ascii="宋体" w:hAnsi="宋体"/>
          <w:bCs/>
          <w:sz w:val="24"/>
          <w:szCs w:val="24"/>
        </w:rPr>
      </w:pPr>
      <w:r>
        <w:rPr>
          <w:rFonts w:hint="eastAsia" w:ascii="宋体" w:hAnsi="宋体"/>
          <w:bCs/>
          <w:sz w:val="24"/>
          <w:szCs w:val="24"/>
        </w:rPr>
        <w:t>3、如出现乙方拖欠运输过程中发生破损的赔付款，导致超期（三个月）的情况，将取消乙方后续的计划，直到乙方补交全部赔付款为止。</w:t>
      </w:r>
    </w:p>
    <w:p>
      <w:pPr>
        <w:spacing w:line="360" w:lineRule="auto"/>
        <w:ind w:left="-2" w:leftChars="-1" w:firstLine="482" w:firstLineChars="200"/>
        <w:rPr>
          <w:rFonts w:hint="eastAsia" w:ascii="宋体" w:hAnsi="宋体"/>
          <w:b/>
          <w:sz w:val="24"/>
          <w:szCs w:val="24"/>
        </w:rPr>
      </w:pPr>
      <w:r>
        <w:rPr>
          <w:rFonts w:hint="eastAsia" w:ascii="宋体" w:hAnsi="宋体"/>
          <w:b/>
          <w:sz w:val="24"/>
          <w:szCs w:val="24"/>
          <w:lang w:val="en-US" w:eastAsia="zh-CN"/>
        </w:rPr>
        <w:t>八</w:t>
      </w:r>
      <w:r>
        <w:rPr>
          <w:rFonts w:hint="eastAsia" w:ascii="宋体" w:hAnsi="宋体"/>
          <w:b/>
          <w:sz w:val="24"/>
          <w:szCs w:val="24"/>
        </w:rPr>
        <w:t>、保密条款</w:t>
      </w:r>
    </w:p>
    <w:p>
      <w:pPr>
        <w:spacing w:line="360" w:lineRule="auto"/>
        <w:ind w:left="-2" w:leftChars="-1" w:firstLine="480" w:firstLineChars="200"/>
        <w:rPr>
          <w:rFonts w:hint="eastAsia" w:ascii="宋体" w:hAnsi="宋体"/>
          <w:bCs/>
          <w:sz w:val="24"/>
          <w:szCs w:val="24"/>
        </w:rPr>
      </w:pPr>
      <w:r>
        <w:rPr>
          <w:rFonts w:hint="eastAsia" w:ascii="宋体" w:hAnsi="宋体"/>
          <w:bCs/>
          <w:sz w:val="24"/>
          <w:szCs w:val="24"/>
        </w:rPr>
        <w:t>本合同履行期间及合同期满终止后，任何一方不得将在合同履行过程中所涉及的秘密信息以任何方式泄露给任何第三方，也不得以任何方式向公众、媒体公布本合同的签订和履行等情况。如违反上述保密义务，违约方应承担相关的责任，并向对方赔偿由此造成的损失。发生以下情况，任何一方均不被视为披露或泄露秘密信息：</w:t>
      </w:r>
    </w:p>
    <w:p>
      <w:pPr>
        <w:spacing w:line="360" w:lineRule="auto"/>
        <w:ind w:left="-2" w:leftChars="-1" w:firstLine="480" w:firstLineChars="200"/>
        <w:rPr>
          <w:rFonts w:hint="eastAsia" w:ascii="宋体" w:hAnsi="宋体"/>
          <w:bCs/>
          <w:sz w:val="24"/>
          <w:szCs w:val="24"/>
        </w:rPr>
      </w:pPr>
      <w:r>
        <w:rPr>
          <w:rFonts w:hint="eastAsia" w:ascii="宋体" w:hAnsi="宋体"/>
          <w:bCs/>
          <w:sz w:val="24"/>
          <w:szCs w:val="24"/>
        </w:rPr>
        <w:t>1、所泄露的秘密信息在泄露之前已为公众所知。</w:t>
      </w:r>
    </w:p>
    <w:p>
      <w:pPr>
        <w:spacing w:line="360" w:lineRule="auto"/>
        <w:ind w:left="-2" w:leftChars="-1" w:firstLine="480" w:firstLineChars="200"/>
        <w:rPr>
          <w:rFonts w:hint="eastAsia" w:ascii="宋体" w:hAnsi="宋体"/>
          <w:bCs/>
          <w:sz w:val="24"/>
          <w:szCs w:val="24"/>
        </w:rPr>
      </w:pPr>
      <w:r>
        <w:rPr>
          <w:rFonts w:hint="eastAsia" w:ascii="宋体" w:hAnsi="宋体"/>
          <w:bCs/>
          <w:sz w:val="24"/>
          <w:szCs w:val="24"/>
        </w:rPr>
        <w:t>2、经合同各方事先书面同意。</w:t>
      </w:r>
    </w:p>
    <w:p>
      <w:pPr>
        <w:spacing w:line="360" w:lineRule="auto"/>
        <w:ind w:left="-2" w:leftChars="-1" w:firstLine="480" w:firstLineChars="200"/>
        <w:rPr>
          <w:rFonts w:hint="eastAsia" w:ascii="宋体" w:hAnsi="宋体"/>
          <w:bCs/>
          <w:sz w:val="24"/>
          <w:szCs w:val="24"/>
        </w:rPr>
      </w:pPr>
      <w:r>
        <w:rPr>
          <w:rFonts w:hint="eastAsia" w:ascii="宋体" w:hAnsi="宋体"/>
          <w:bCs/>
          <w:sz w:val="24"/>
          <w:szCs w:val="24"/>
        </w:rPr>
        <w:t>3、将秘密信息披露给各自的专业顾问，并要求其承担保密责任。</w:t>
      </w:r>
    </w:p>
    <w:p>
      <w:pPr>
        <w:spacing w:line="360" w:lineRule="auto"/>
        <w:ind w:left="-2" w:leftChars="-1" w:firstLine="480" w:firstLineChars="200"/>
        <w:rPr>
          <w:rFonts w:hint="eastAsia" w:ascii="宋体" w:hAnsi="宋体"/>
          <w:bCs/>
          <w:sz w:val="24"/>
          <w:szCs w:val="24"/>
        </w:rPr>
      </w:pPr>
      <w:r>
        <w:rPr>
          <w:rFonts w:hint="eastAsia" w:ascii="宋体" w:hAnsi="宋体"/>
          <w:bCs/>
          <w:sz w:val="24"/>
          <w:szCs w:val="24"/>
        </w:rPr>
        <w:t>4、</w:t>
      </w:r>
      <w:r>
        <w:rPr>
          <w:rFonts w:hint="eastAsia" w:ascii="宋体" w:hAnsi="宋体"/>
          <w:bCs/>
          <w:sz w:val="24"/>
          <w:szCs w:val="24"/>
        </w:rPr>
        <w:tab/>
      </w:r>
      <w:r>
        <w:rPr>
          <w:rFonts w:hint="eastAsia" w:ascii="宋体" w:hAnsi="宋体"/>
          <w:bCs/>
          <w:sz w:val="24"/>
          <w:szCs w:val="24"/>
        </w:rPr>
        <w:t>应政府部门或法律法令的强制性要求而披露的。</w:t>
      </w:r>
    </w:p>
    <w:p>
      <w:pPr>
        <w:spacing w:line="360" w:lineRule="auto"/>
        <w:ind w:left="-2" w:leftChars="-1" w:firstLine="480" w:firstLineChars="200"/>
        <w:rPr>
          <w:rFonts w:hint="eastAsia" w:ascii="宋体" w:hAnsi="宋体"/>
          <w:bCs/>
          <w:sz w:val="24"/>
          <w:szCs w:val="24"/>
        </w:rPr>
      </w:pPr>
      <w:r>
        <w:rPr>
          <w:rFonts w:hint="eastAsia" w:ascii="宋体" w:hAnsi="宋体"/>
          <w:bCs/>
          <w:sz w:val="24"/>
          <w:szCs w:val="24"/>
        </w:rPr>
        <w:t>5、本合同各方均应采取必要措施，将其知悉或了解的秘密信息限制在其有关职员、代理人或顾问的范围内，并要求他们严格遵守本条款，不将有关秘密信息泄露予任何第三方。</w:t>
      </w:r>
    </w:p>
    <w:p>
      <w:pPr>
        <w:spacing w:line="360" w:lineRule="auto"/>
        <w:ind w:left="-2" w:leftChars="-1" w:firstLine="482" w:firstLineChars="200"/>
        <w:rPr>
          <w:rFonts w:hint="eastAsia" w:ascii="宋体" w:hAnsi="宋体"/>
          <w:b/>
          <w:sz w:val="24"/>
          <w:szCs w:val="24"/>
        </w:rPr>
      </w:pPr>
      <w:r>
        <w:rPr>
          <w:rFonts w:hint="eastAsia" w:ascii="宋体" w:hAnsi="宋体"/>
          <w:b/>
          <w:sz w:val="24"/>
          <w:szCs w:val="24"/>
          <w:lang w:val="en-US" w:eastAsia="zh-CN"/>
        </w:rPr>
        <w:t>九</w:t>
      </w:r>
      <w:r>
        <w:rPr>
          <w:rFonts w:hint="eastAsia" w:ascii="宋体" w:hAnsi="宋体"/>
          <w:b/>
          <w:sz w:val="24"/>
          <w:szCs w:val="24"/>
        </w:rPr>
        <w:t>、其它约定</w:t>
      </w:r>
    </w:p>
    <w:p>
      <w:pPr>
        <w:spacing w:line="360" w:lineRule="auto"/>
        <w:ind w:firstLine="480" w:firstLineChars="200"/>
        <w:rPr>
          <w:rFonts w:hint="eastAsia" w:ascii="宋体" w:hAnsi="宋体"/>
          <w:sz w:val="24"/>
          <w:szCs w:val="24"/>
        </w:rPr>
      </w:pPr>
      <w:r>
        <w:rPr>
          <w:rFonts w:hint="eastAsia" w:ascii="宋体" w:hAnsi="宋体"/>
          <w:sz w:val="24"/>
          <w:szCs w:val="24"/>
        </w:rPr>
        <w:t>1、本合同未尽事宜，按国家现行有关政策法规执行。</w:t>
      </w:r>
    </w:p>
    <w:p>
      <w:pPr>
        <w:spacing w:line="360" w:lineRule="auto"/>
        <w:ind w:firstLine="480" w:firstLineChars="200"/>
        <w:rPr>
          <w:rFonts w:hint="eastAsia" w:ascii="宋体" w:hAnsi="宋体"/>
          <w:sz w:val="24"/>
          <w:szCs w:val="24"/>
        </w:rPr>
      </w:pPr>
      <w:r>
        <w:rPr>
          <w:rFonts w:hint="eastAsia" w:ascii="宋体" w:hAnsi="宋体"/>
          <w:sz w:val="24"/>
          <w:szCs w:val="24"/>
        </w:rPr>
        <w:t>2、本合同执行过程中如有争议，双方应协商解决，协商不成的，向甲方所在地人民法院起诉。在任何情况下，乙方都不能扣押、处理甲方的货物。</w:t>
      </w:r>
    </w:p>
    <w:p>
      <w:pPr>
        <w:spacing w:line="360" w:lineRule="auto"/>
        <w:ind w:firstLine="448" w:firstLineChars="187"/>
        <w:rPr>
          <w:rFonts w:hint="eastAsia" w:ascii="宋体" w:hAnsi="宋体"/>
          <w:sz w:val="24"/>
          <w:szCs w:val="24"/>
        </w:rPr>
      </w:pPr>
      <w:r>
        <w:rPr>
          <w:rFonts w:hint="eastAsia" w:ascii="宋体" w:hAnsi="宋体"/>
          <w:sz w:val="24"/>
          <w:szCs w:val="24"/>
        </w:rPr>
        <w:t>3、任何一方违反本合同，造成对方损失的，违约方应承担赔偿责任。</w:t>
      </w:r>
    </w:p>
    <w:p>
      <w:pPr>
        <w:spacing w:line="360" w:lineRule="auto"/>
        <w:ind w:firstLine="448" w:firstLineChars="187"/>
        <w:rPr>
          <w:rFonts w:hint="eastAsia" w:ascii="宋体" w:hAnsi="宋体"/>
          <w:sz w:val="24"/>
          <w:szCs w:val="24"/>
        </w:rPr>
      </w:pPr>
      <w:r>
        <w:rPr>
          <w:rFonts w:hint="eastAsia" w:ascii="宋体" w:hAnsi="宋体"/>
          <w:sz w:val="24"/>
          <w:szCs w:val="24"/>
        </w:rPr>
        <w:t>4、本合同一式</w:t>
      </w:r>
      <w:r>
        <w:rPr>
          <w:rFonts w:hint="eastAsia" w:ascii="宋体" w:hAnsi="宋体"/>
          <w:sz w:val="24"/>
          <w:szCs w:val="24"/>
          <w:lang w:val="en-US" w:eastAsia="zh-CN"/>
        </w:rPr>
        <w:t>陆六</w:t>
      </w:r>
      <w:r>
        <w:rPr>
          <w:rFonts w:hint="eastAsia" w:ascii="宋体" w:hAnsi="宋体"/>
          <w:sz w:val="24"/>
          <w:szCs w:val="24"/>
        </w:rPr>
        <w:t>份，甲、乙双方各执</w:t>
      </w:r>
      <w:r>
        <w:rPr>
          <w:rFonts w:hint="eastAsia" w:ascii="宋体" w:hAnsi="宋体"/>
          <w:sz w:val="24"/>
          <w:szCs w:val="24"/>
          <w:lang w:val="en-US" w:eastAsia="zh-CN"/>
        </w:rPr>
        <w:t>叁</w:t>
      </w:r>
      <w:r>
        <w:rPr>
          <w:rFonts w:hint="eastAsia" w:ascii="宋体" w:hAnsi="宋体"/>
          <w:sz w:val="24"/>
          <w:szCs w:val="24"/>
        </w:rPr>
        <w:t>份，具同等法律效力。</w:t>
      </w:r>
    </w:p>
    <w:p>
      <w:pPr>
        <w:spacing w:line="360" w:lineRule="auto"/>
        <w:rPr>
          <w:rFonts w:hint="eastAsia" w:ascii="宋体" w:hAnsi="宋体"/>
          <w:sz w:val="24"/>
          <w:szCs w:val="24"/>
        </w:rPr>
      </w:pPr>
    </w:p>
    <w:p>
      <w:pPr>
        <w:tabs>
          <w:tab w:val="left" w:pos="4924"/>
        </w:tabs>
        <w:spacing w:line="360" w:lineRule="auto"/>
        <w:ind w:firstLine="448" w:firstLineChars="187"/>
        <w:rPr>
          <w:rFonts w:hint="eastAsia" w:ascii="宋体" w:hAnsi="宋体" w:eastAsia="宋体"/>
          <w:sz w:val="24"/>
          <w:szCs w:val="24"/>
          <w:lang w:eastAsia="zh-CN"/>
        </w:rPr>
      </w:pPr>
      <w:r>
        <w:rPr>
          <w:rFonts w:hint="eastAsia" w:ascii="宋体" w:hAnsi="宋体"/>
          <w:sz w:val="24"/>
          <w:szCs w:val="24"/>
          <w:lang w:eastAsia="zh-CN"/>
        </w:rPr>
        <w:tab/>
      </w:r>
    </w:p>
    <w:p>
      <w:pPr>
        <w:spacing w:line="360" w:lineRule="auto"/>
        <w:ind w:left="4680" w:hanging="4680" w:hangingChars="1950"/>
        <w:rPr>
          <w:rFonts w:hint="eastAsia" w:ascii="宋体" w:hAnsi="宋体"/>
          <w:sz w:val="24"/>
          <w:szCs w:val="24"/>
        </w:rPr>
      </w:pPr>
      <w:r>
        <w:rPr>
          <w:rFonts w:hint="eastAsia" w:ascii="宋体" w:hAnsi="宋体"/>
          <w:sz w:val="24"/>
          <w:szCs w:val="24"/>
        </w:rPr>
        <w:t xml:space="preserve">甲方：                                    乙方： </w:t>
      </w:r>
    </w:p>
    <w:p>
      <w:pPr>
        <w:spacing w:line="360" w:lineRule="auto"/>
        <w:rPr>
          <w:rFonts w:hint="eastAsia" w:ascii="宋体" w:hAnsi="宋体"/>
          <w:sz w:val="24"/>
          <w:szCs w:val="24"/>
        </w:rPr>
      </w:pPr>
      <w:r>
        <w:rPr>
          <w:rFonts w:hint="eastAsia" w:ascii="宋体" w:hAnsi="宋体"/>
          <w:sz w:val="24"/>
          <w:szCs w:val="24"/>
        </w:rPr>
        <w:t xml:space="preserve"> （盖章）                                （盖章）</w:t>
      </w:r>
    </w:p>
    <w:p>
      <w:pPr>
        <w:spacing w:line="360" w:lineRule="auto"/>
        <w:rPr>
          <w:rFonts w:hint="eastAsia" w:ascii="宋体" w:hAnsi="宋体"/>
          <w:sz w:val="24"/>
          <w:szCs w:val="24"/>
        </w:rPr>
      </w:pPr>
      <w:r>
        <w:rPr>
          <w:rFonts w:hint="eastAsia" w:ascii="宋体" w:hAnsi="宋体"/>
          <w:sz w:val="24"/>
          <w:szCs w:val="24"/>
          <w:lang w:val="en-US" w:eastAsia="zh-CN"/>
        </w:rPr>
        <w:t>法定</w:t>
      </w:r>
      <w:r>
        <w:rPr>
          <w:rFonts w:hint="eastAsia" w:ascii="宋体" w:hAnsi="宋体"/>
          <w:sz w:val="24"/>
          <w:szCs w:val="24"/>
        </w:rPr>
        <w:t>代表</w:t>
      </w:r>
      <w:r>
        <w:rPr>
          <w:rFonts w:hint="eastAsia" w:ascii="宋体" w:hAnsi="宋体"/>
          <w:sz w:val="24"/>
          <w:szCs w:val="24"/>
          <w:lang w:val="en-US" w:eastAsia="zh-CN"/>
        </w:rPr>
        <w:t>人（或授权代表）</w:t>
      </w:r>
      <w:r>
        <w:rPr>
          <w:rFonts w:hint="eastAsia" w:ascii="宋体" w:hAnsi="宋体"/>
          <w:sz w:val="24"/>
          <w:szCs w:val="24"/>
        </w:rPr>
        <w:t xml:space="preserve">：                 </w:t>
      </w:r>
      <w:r>
        <w:rPr>
          <w:rFonts w:hint="eastAsia" w:ascii="宋体" w:hAnsi="宋体"/>
          <w:sz w:val="24"/>
          <w:szCs w:val="24"/>
          <w:lang w:val="en-US" w:eastAsia="zh-CN"/>
        </w:rPr>
        <w:t>法定</w:t>
      </w:r>
      <w:r>
        <w:rPr>
          <w:rFonts w:hint="eastAsia" w:ascii="宋体" w:hAnsi="宋体"/>
          <w:sz w:val="24"/>
          <w:szCs w:val="24"/>
        </w:rPr>
        <w:t>代表</w:t>
      </w:r>
      <w:r>
        <w:rPr>
          <w:rFonts w:hint="eastAsia" w:ascii="宋体" w:hAnsi="宋体"/>
          <w:sz w:val="24"/>
          <w:szCs w:val="24"/>
          <w:lang w:val="en-US" w:eastAsia="zh-CN"/>
        </w:rPr>
        <w:t>人（或授权代表）</w:t>
      </w:r>
      <w:r>
        <w:rPr>
          <w:rFonts w:hint="eastAsia" w:ascii="宋体" w:hAnsi="宋体"/>
          <w:sz w:val="24"/>
          <w:szCs w:val="24"/>
        </w:rPr>
        <w:t>：</w:t>
      </w:r>
    </w:p>
    <w:p>
      <w:pPr>
        <w:spacing w:line="360" w:lineRule="auto"/>
        <w:rPr>
          <w:rFonts w:hint="eastAsia" w:ascii="宋体" w:hAnsi="宋体"/>
          <w:sz w:val="24"/>
          <w:szCs w:val="24"/>
        </w:rPr>
      </w:pPr>
      <w:r>
        <w:rPr>
          <w:rFonts w:hint="eastAsia" w:ascii="宋体" w:hAnsi="宋体"/>
          <w:sz w:val="24"/>
          <w:szCs w:val="24"/>
        </w:rPr>
        <w:t>日期：     年   月   日                   日期：     年   月   日</w:t>
      </w:r>
    </w:p>
    <w:p>
      <w:pPr>
        <w:rPr>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22"/>
    <w:rsid w:val="000B00E4"/>
    <w:rsid w:val="001F2922"/>
    <w:rsid w:val="00941526"/>
    <w:rsid w:val="00D80CE1"/>
    <w:rsid w:val="029370C7"/>
    <w:rsid w:val="03E84175"/>
    <w:rsid w:val="0C2E604E"/>
    <w:rsid w:val="0D8D5B66"/>
    <w:rsid w:val="0ED92A20"/>
    <w:rsid w:val="1AA945A4"/>
    <w:rsid w:val="1D512857"/>
    <w:rsid w:val="20234AC9"/>
    <w:rsid w:val="23C06A12"/>
    <w:rsid w:val="28D46A0A"/>
    <w:rsid w:val="2E176CC6"/>
    <w:rsid w:val="2FB25104"/>
    <w:rsid w:val="4CA33825"/>
    <w:rsid w:val="4D8878A9"/>
    <w:rsid w:val="56973C1A"/>
    <w:rsid w:val="57A4042E"/>
    <w:rsid w:val="59D86349"/>
    <w:rsid w:val="5EC3052D"/>
    <w:rsid w:val="6EFA6420"/>
    <w:rsid w:val="6F191FC2"/>
    <w:rsid w:val="70B52B05"/>
    <w:rsid w:val="745F1A7B"/>
    <w:rsid w:val="79CC3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5">
    <w:name w:val="heading 2"/>
    <w:basedOn w:val="1"/>
    <w:next w:val="6"/>
    <w:qFormat/>
    <w:uiPriority w:val="0"/>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0"/>
    <w:pPr>
      <w:spacing w:after="120"/>
    </w:pPr>
  </w:style>
  <w:style w:type="paragraph" w:styleId="6">
    <w:name w:val="Normal Indent"/>
    <w:basedOn w:val="1"/>
    <w:qFormat/>
    <w:uiPriority w:val="0"/>
    <w:pPr>
      <w:spacing w:line="360" w:lineRule="auto"/>
      <w:ind w:firstLine="200" w:firstLineChars="200"/>
    </w:pPr>
    <w:rPr>
      <w:rFonts w:ascii="Arial" w:hAnsi="Arial"/>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qFormat/>
    <w:uiPriority w:val="99"/>
    <w:rPr>
      <w:sz w:val="18"/>
      <w:szCs w:val="18"/>
    </w:rPr>
  </w:style>
  <w:style w:type="character" w:customStyle="1" w:styleId="13">
    <w:name w:val="页脚 字符"/>
    <w:basedOn w:val="11"/>
    <w:link w:val="7"/>
    <w:qFormat/>
    <w:uiPriority w:val="99"/>
    <w:rPr>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460</Words>
  <Characters>2623</Characters>
  <Lines>21</Lines>
  <Paragraphs>6</Paragraphs>
  <TotalTime>5</TotalTime>
  <ScaleCrop>false</ScaleCrop>
  <LinksUpToDate>false</LinksUpToDate>
  <CharactersWithSpaces>3077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2025-04-28T07:59:00Z</dcterms:created>
  <dc:creator>刘德铨</dc:creator>
  <cp:lastModifiedBy>yanjf</cp:lastModifiedBy>
  <dcterms:modified xsi:type="dcterms:W3CDTF">2026-05-26T02:20:04Z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6A90BE3BD44943A78733A20CE7F357AA</vt:lpwstr>
  </property>
</Properties>
</file>