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753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jc w:val="left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bookmarkStart w:id="15" w:name="_GoBack"/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附件2：项目策展大纲</w:t>
      </w:r>
    </w:p>
    <w:bookmarkEnd w:id="15"/>
    <w:p w14:paraId="3522CC2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500" w:lineRule="exact"/>
        <w:ind w:firstLine="0" w:firstLineChars="0"/>
        <w:textAlignment w:val="auto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策展</w:t>
      </w:r>
      <w:r>
        <w:rPr>
          <w:rFonts w:ascii="仿宋" w:hAnsi="仿宋" w:eastAsia="仿宋" w:cs="仿宋"/>
          <w:b/>
          <w:bCs/>
          <w:sz w:val="36"/>
          <w:szCs w:val="36"/>
        </w:rPr>
        <w:t>大纲</w:t>
      </w:r>
    </w:p>
    <w:p w14:paraId="0AD672D3">
      <w:pPr>
        <w:pStyle w:val="7"/>
        <w:spacing w:before="0" w:beforeLines="0" w:after="0" w:afterLines="0" w:line="500" w:lineRule="exact"/>
        <w:ind w:firstLine="640"/>
        <w:rPr>
          <w:rFonts w:hint="eastAsia" w:ascii="仿宋" w:hAnsi="仿宋" w:eastAsia="仿宋" w:cs="仿宋"/>
          <w:szCs w:val="32"/>
        </w:rPr>
      </w:pPr>
      <w:bookmarkStart w:id="0" w:name="_Toc30274"/>
      <w:bookmarkStart w:id="1" w:name="_Toc22490"/>
      <w:bookmarkStart w:id="2" w:name="_Toc19051"/>
    </w:p>
    <w:p w14:paraId="0347206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firstLine="64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一、总纲</w:t>
      </w:r>
      <w:bookmarkEnd w:id="0"/>
      <w:bookmarkEnd w:id="1"/>
      <w:bookmarkEnd w:id="2"/>
    </w:p>
    <w:p w14:paraId="1F0F80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3" w:name="_Toc23515"/>
      <w:bookmarkStart w:id="4" w:name="_Toc22828"/>
      <w:bookmarkStart w:id="5" w:name="_Toc915"/>
      <w:r>
        <w:rPr>
          <w:rFonts w:hint="eastAsia" w:ascii="仿宋" w:hAnsi="仿宋" w:eastAsia="仿宋" w:cs="仿宋"/>
          <w:sz w:val="28"/>
          <w:szCs w:val="28"/>
        </w:rPr>
        <w:t>（一）策展主题</w:t>
      </w:r>
      <w:bookmarkEnd w:id="3"/>
      <w:bookmarkEnd w:id="4"/>
      <w:bookmarkEnd w:id="5"/>
    </w:p>
    <w:p w14:paraId="36E77DF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kern w:val="2"/>
          <w:sz w:val="28"/>
          <w:szCs w:val="28"/>
          <w:u w:val="single"/>
          <w:lang w:val="en-US" w:eastAsia="zh-CN" w:bidi="ar-SA"/>
        </w:rPr>
        <w:t>“广佛四百年，通衢在河东”——从省佛通衢到广佛产业同城桥头堡</w:t>
      </w:r>
    </w:p>
    <w:p w14:paraId="7402349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通衢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是贯穿本馆的核心理念，在三个维度上同时成立。</w:t>
      </w:r>
    </w:p>
    <w:p w14:paraId="77A7E12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空间通衢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三眼桥横跨河东，四百年来始终是广佛之间的关键陆路节点。从省佛通衢古道、穗盐路，到今日广佛出口放射线，再到规划中的广州地铁28号线三眼桥站，每个时代都是枢纽。</w:t>
      </w:r>
    </w:p>
    <w:p w14:paraId="2A2EA0F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制度通衢</w:t>
      </w:r>
      <w:r>
        <w:rPr>
          <w:rFonts w:hint="eastAsia" w:ascii="仿宋" w:hAnsi="仿宋" w:eastAsia="仿宋" w:cs="仿宋"/>
          <w:b w:val="0"/>
          <w:sz w:val="28"/>
          <w:szCs w:val="28"/>
        </w:rPr>
        <w:t>：河东以“公司化运作+分润模式+毛地入市”三管齐下，打通了集体资产与产业发展之间的利益通道，该模式已成为全区推广的改革样板，并在周边地区产生积极影响。</w:t>
      </w:r>
    </w:p>
    <w:p w14:paraId="70F391A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发展通衢：</w:t>
      </w:r>
      <w:r>
        <w:rPr>
          <w:rFonts w:hint="eastAsia" w:ascii="仿宋" w:hAnsi="仿宋" w:eastAsia="仿宋" w:cs="仿宋"/>
          <w:sz w:val="28"/>
          <w:szCs w:val="28"/>
        </w:rPr>
        <w:t>广佛全域同城化战略的深化、广佛（中山九路）工贸融合区的落地、地铁28号线三眼桥站TOD机遇的叠加，正将河东推向粤港澳大湾区产业格局的新节点。</w:t>
      </w:r>
    </w:p>
    <w:p w14:paraId="76893F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三个“通衢”层层叠加，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论证</w:t>
      </w:r>
      <w:r>
        <w:rPr>
          <w:rFonts w:hint="eastAsia" w:ascii="仿宋" w:hAnsi="仿宋" w:eastAsia="仿宋" w:cs="仿宋"/>
          <w:sz w:val="28"/>
          <w:szCs w:val="28"/>
        </w:rPr>
        <w:t>河东发展到今天是历史的必然，未来更将是时代的选择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广佛的选择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62F51B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6" w:name="_Toc4229"/>
      <w:bookmarkStart w:id="7" w:name="_Toc26594"/>
      <w:bookmarkStart w:id="8" w:name="_Toc18756"/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</w:rPr>
        <w:t>）展馆定位</w:t>
      </w:r>
      <w:bookmarkEnd w:id="6"/>
      <w:bookmarkEnd w:id="7"/>
      <w:bookmarkEnd w:id="8"/>
    </w:p>
    <w:p w14:paraId="19E89B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立足打造</w:t>
      </w:r>
      <w:r>
        <w:rPr>
          <w:rFonts w:hint="eastAsia" w:ascii="仿宋" w:hAnsi="仿宋" w:eastAsia="仿宋" w:cs="仿宋"/>
          <w:sz w:val="28"/>
          <w:szCs w:val="28"/>
        </w:rPr>
        <w:t>三位一体的高效精品展示窗口：接待各级领导考察、服务潜在投资企业招商、供外地学习团系统参观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成为“</w:t>
      </w:r>
      <w:r>
        <w:rPr>
          <w:rFonts w:hint="eastAsia" w:ascii="仿宋" w:hAnsi="仿宋" w:eastAsia="仿宋" w:cs="仿宋"/>
          <w:sz w:val="28"/>
          <w:szCs w:val="28"/>
        </w:rPr>
        <w:t>广佛（中山九路）工贸融合区前沿窗口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百千万工程典型村乡村振兴精品路线节点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”。</w:t>
      </w:r>
    </w:p>
    <w:p w14:paraId="3796C88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9" w:name="_Toc26772"/>
      <w:bookmarkStart w:id="10" w:name="_Toc26429"/>
      <w:bookmarkStart w:id="11" w:name="_Toc17810"/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展区设置</w:t>
      </w:r>
      <w:r>
        <w:rPr>
          <w:rFonts w:hint="eastAsia" w:ascii="仿宋" w:hAnsi="仿宋" w:eastAsia="仿宋" w:cs="仿宋"/>
          <w:sz w:val="28"/>
          <w:szCs w:val="28"/>
        </w:rPr>
        <w:t>逻辑</w:t>
      </w:r>
      <w:bookmarkEnd w:id="9"/>
      <w:bookmarkEnd w:id="10"/>
      <w:bookmarkEnd w:id="11"/>
    </w:p>
    <w:p w14:paraId="07FCD6A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本展馆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拟设展陈区和洽谈区两大板块。其中，展陈区设三个展区，</w:t>
      </w:r>
      <w:r>
        <w:rPr>
          <w:rFonts w:hint="eastAsia" w:ascii="仿宋" w:hAnsi="仿宋" w:eastAsia="仿宋" w:cs="仿宋"/>
          <w:sz w:val="28"/>
          <w:szCs w:val="28"/>
        </w:rPr>
        <w:t>引导参观者逐步建立对河东的立体认知。</w:t>
      </w:r>
    </w:p>
    <w:tbl>
      <w:tblPr>
        <w:tblStyle w:val="4"/>
        <w:tblW w:w="83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10"/>
        <w:gridCol w:w="4353"/>
        <w:gridCol w:w="1261"/>
      </w:tblGrid>
      <w:tr w14:paraId="03873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  <w:tblHeader/>
          <w:jc w:val="center"/>
        </w:trPr>
        <w:tc>
          <w:tcPr>
            <w:tcW w:w="2710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9F5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板块</w:t>
            </w:r>
          </w:p>
        </w:tc>
        <w:tc>
          <w:tcPr>
            <w:tcW w:w="4353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8D0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核心命题</w:t>
            </w:r>
          </w:p>
        </w:tc>
        <w:tc>
          <w:tcPr>
            <w:tcW w:w="1261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D5E8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B98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空间占比</w:t>
            </w:r>
          </w:p>
        </w:tc>
      </w:tr>
      <w:tr w14:paraId="6E18D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  <w:jc w:val="center"/>
        </w:trPr>
        <w:tc>
          <w:tcPr>
            <w:tcW w:w="2710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CA1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第一展区·通衢之源</w:t>
            </w:r>
          </w:p>
        </w:tc>
        <w:tc>
          <w:tcPr>
            <w:tcW w:w="4353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630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河东发展到今天是历史的必然——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这地方有来头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</w:tc>
        <w:tc>
          <w:tcPr>
            <w:tcW w:w="1261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597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约1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67DAD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  <w:jc w:val="center"/>
        </w:trPr>
        <w:tc>
          <w:tcPr>
            <w:tcW w:w="2710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E91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第二展区·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改革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先锋</w:t>
            </w:r>
          </w:p>
        </w:tc>
        <w:tc>
          <w:tcPr>
            <w:tcW w:w="4353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080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敢为人先的制度创新与产业实践——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不一样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</w:tc>
        <w:tc>
          <w:tcPr>
            <w:tcW w:w="1261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92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2DF5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exact"/>
          <w:jc w:val="center"/>
        </w:trPr>
        <w:tc>
          <w:tcPr>
            <w:tcW w:w="2710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545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第三展区·共赢机遇</w:t>
            </w:r>
          </w:p>
        </w:tc>
        <w:tc>
          <w:tcPr>
            <w:tcW w:w="4353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444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河东有能力有意愿迎接天下客商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我要在这里投资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</w:tc>
        <w:tc>
          <w:tcPr>
            <w:tcW w:w="1261" w:type="dxa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98A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</w:tbl>
    <w:p w14:paraId="0215A42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关于上墙与电子屏的分工：墙面侧重全局性、代表性、长期稳定的核心内容；电子屏承担“电子展板”角色，承载常规展馆中需要大量展板才能容纳的丰富图文信息，两者共同突破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展馆不到80平方米的</w:t>
      </w:r>
      <w:r>
        <w:rPr>
          <w:rFonts w:hint="eastAsia" w:ascii="仿宋" w:hAnsi="仿宋" w:eastAsia="仿宋" w:cs="仿宋"/>
          <w:sz w:val="28"/>
          <w:szCs w:val="28"/>
        </w:rPr>
        <w:t>物理空间限制。</w:t>
      </w:r>
    </w:p>
    <w:p w14:paraId="462FE42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2" w:name="_Toc24020"/>
      <w:bookmarkStart w:id="13" w:name="_Toc18430"/>
      <w:bookmarkStart w:id="14" w:name="_Toc9432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、展区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提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纲</w:t>
      </w:r>
      <w:bookmarkEnd w:id="12"/>
      <w:bookmarkEnd w:id="13"/>
      <w:bookmarkEnd w:id="14"/>
    </w:p>
    <w:p w14:paraId="3D4C23D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_Toc17622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（一）序厅</w:t>
      </w:r>
    </w:p>
    <w:p w14:paraId="329A53C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以“一河一路”沉浸式画面营造古今融合第一印象；展陈入口设主题名称墙、序言墙及独立播放屏，循环播放社区综合宣传片，兼作参观打卡点。</w:t>
      </w:r>
    </w:p>
    <w:p w14:paraId="223DE5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展陈形式：立体字、图文展板、独立播放屏（55-65寸立式或壁挂屏，循环播放宣传片）。</w:t>
      </w:r>
    </w:p>
    <w:p w14:paraId="7142E49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（二）第一展区：通衢之源——四百年门户，广佛第一站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2E73A58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_Toc16643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1.1 广佛同城，枢纽坐标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151DD7D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梳理广佛同城化重大政策节点时间轴与核心数据，以三级套叠区位地图（广佛极点→工贸融合区→河东社区）锚定河东坐标，建立“大背景定小站位”的认知框架。</w:t>
      </w:r>
    </w:p>
    <w:p w14:paraId="087CB00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展陈形式：上墙展板（图文结合，不含独立电子屏和实物展柜）。</w:t>
      </w:r>
    </w:p>
    <w:p w14:paraId="08D87D0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_Toc32255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1.2 省佛通衢，世纪结契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092D52F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呈现《盐步阖堡舆地图》复刻版及“通衢”标注解读；以三眼桥时空三联幅+历史时间轴，串联从明崇祯始建到28号线规划的400年通衢精神。</w:t>
      </w:r>
    </w:p>
    <w:p w14:paraId="7D5DA28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展陈形式：上墙展板。</w:t>
      </w:r>
    </w:p>
    <w:p w14:paraId="4D40DC8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_Toc5255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（三）第二展区：改革先锋——敢为天下先，亿元村解码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75B6ADB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_Toc16271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2.1 改革密码，河东故事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3621AFF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以五个核心故事（分润模式、毛地入市、东有天河西有河东、产业载体蝶变、大转湾）为主线，将制度创新与党建引领融入叙事，形成“故事+制度”双维度呈现。</w:t>
      </w:r>
    </w:p>
    <w:p w14:paraId="14E1328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展陈形式：金句墙（大字卡片上墙）+ 五组图文展板（上墙）+实物展柜+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1台iPad（配合展柜）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73C6307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2.2 产业实绩，亿元答卷</w:t>
      </w:r>
    </w:p>
    <w:p w14:paraId="677AE0E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以亮眼的农村集体经济数据，量化改革成果。</w:t>
      </w:r>
    </w:p>
    <w:p w14:paraId="00DDE76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展陈形式：上墙展板+弧形屏（3260×1820）。</w:t>
      </w:r>
    </w:p>
    <w:p w14:paraId="62774CE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_Toc5922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2.3 企业生态，四海而来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7249355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展示重点企业生态、产业链图谱、企业家信心讲述及产业实物。</w:t>
      </w:r>
    </w:p>
    <w:p w14:paraId="0A6B175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展陈形式：天花板悬挂装置（重点企业Logo半透明挂件，形成“产业星空”）；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55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寸竖屏触摸屏（产业风采交互系统，含企业家讲述轮播、企业名片、产业图谱）；实物展柜（钻头/面料/五金件扥）。</w:t>
      </w:r>
    </w:p>
    <w:p w14:paraId="6608AFD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_Toc25654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（四）第三展区：共赢机遇——你愿意来，我接得住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30F74F4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_Toc22305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 枢纽河东，产业蓝图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1A4552D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展望工贸融合区五年规划、TOD时代机遇、28号线交通新格局及招商合作模式，以新生代企业家宣言与第二展区形成跨时代对话。</w:t>
      </w:r>
    </w:p>
    <w:p w14:paraId="00CFC9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展陈形式：上墙展板；圆形电子屏（寓意“未来之眼”，约55-65寸，展示多页电子展册）。</w:t>
      </w:r>
    </w:p>
    <w:p w14:paraId="4A2BCF8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instrText xml:space="preserve"> HYPERLINK \l _Toc12416 </w:instrTex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 共赢邀约，对话未来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fldChar w:fldCharType="end"/>
      </w:r>
    </w:p>
    <w:p w14:paraId="5928BCF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以河东全域空间关系为基底，直观呈现重点项目布局与TOD开发范围，配合招商资料形成"可看、可谈、可带走"的邀约场景。</w:t>
      </w:r>
    </w:p>
    <w:p w14:paraId="0F9A1193"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展陈形式：两层立体实物沙盘（直径≤2米；玻璃隔断外侧重点项目展板（4块项目介绍+1块结束语）；招商资料架（“通衢驿站”风格，放置手册/折页/政策摘要）。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57553"/>
    <w:rsid w:val="7E25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3"/>
    <w:next w:val="1"/>
    <w:qFormat/>
    <w:uiPriority w:val="0"/>
    <w:pPr>
      <w:spacing w:before="361" w:beforeLines="100"/>
    </w:p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OfficeAI-二级标题"/>
    <w:basedOn w:val="1"/>
    <w:qFormat/>
    <w:uiPriority w:val="0"/>
    <w:pPr>
      <w:spacing w:line="560" w:lineRule="exact"/>
      <w:ind w:firstLine="560" w:firstLineChars="200"/>
      <w:outlineLvl w:val="1"/>
    </w:pPr>
    <w:rPr>
      <w:rFonts w:hint="eastAsia" w:ascii="Times New Roman" w:hAnsi="楷体_GB2312" w:eastAsia="楷体_GB2312" w:cs="Times New Roman"/>
      <w:color w:val="000000"/>
      <w:sz w:val="32"/>
    </w:rPr>
  </w:style>
  <w:style w:type="paragraph" w:customStyle="1" w:styleId="6">
    <w:name w:val="OfficeAI-标题"/>
    <w:basedOn w:val="1"/>
    <w:qFormat/>
    <w:uiPriority w:val="0"/>
    <w:pPr>
      <w:spacing w:after="560" w:line="360" w:lineRule="auto"/>
      <w:jc w:val="center"/>
    </w:pPr>
    <w:rPr>
      <w:rFonts w:hint="eastAsia" w:ascii="Times New Roman" w:hAnsi="方正小标宋简体" w:eastAsia="方正小标宋简体" w:cs="Times New Roman"/>
      <w:color w:val="000000"/>
      <w:sz w:val="44"/>
    </w:rPr>
  </w:style>
  <w:style w:type="paragraph" w:customStyle="1" w:styleId="7">
    <w:name w:val="OfficeAI-一级标题"/>
    <w:basedOn w:val="1"/>
    <w:qFormat/>
    <w:uiPriority w:val="0"/>
    <w:pPr>
      <w:spacing w:before="361" w:beforeLines="100" w:after="181" w:afterLines="50" w:line="560" w:lineRule="exact"/>
      <w:ind w:firstLine="560" w:firstLineChars="200"/>
      <w:outlineLvl w:val="0"/>
    </w:pPr>
    <w:rPr>
      <w:rFonts w:ascii="Times New Roman" w:hAnsi="黑体" w:eastAsia="黑体" w:cs="Times New Roman"/>
      <w:color w:val="000000"/>
      <w:sz w:val="32"/>
    </w:rPr>
  </w:style>
  <w:style w:type="paragraph" w:customStyle="1" w:styleId="8">
    <w:name w:val="OfficeAI-正文"/>
    <w:basedOn w:val="1"/>
    <w:qFormat/>
    <w:uiPriority w:val="0"/>
    <w:pPr>
      <w:spacing w:line="560" w:lineRule="exact"/>
      <w:ind w:firstLine="560" w:firstLineChars="200"/>
    </w:pPr>
    <w:rPr>
      <w:rFonts w:hint="eastAsia" w:ascii="Times New Roman" w:hAnsi="仿宋_GB2312" w:cs="Times New Roman"/>
      <w:color w:val="000000"/>
      <w:sz w:val="32"/>
    </w:rPr>
  </w:style>
  <w:style w:type="paragraph" w:customStyle="1" w:styleId="9">
    <w:name w:val="标书正文1"/>
    <w:basedOn w:val="1"/>
    <w:qFormat/>
    <w:uiPriority w:val="0"/>
    <w:pPr>
      <w:spacing w:line="520" w:lineRule="exact"/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2026-08-06T00:56:00Z</dcterms:created>
  <dc:creator>起靖_＾∇＾</dc:creator>
  <cp:lastModifiedBy>起靖_＾∇＾</cp:lastModifiedBy>
  <dcterms:modified xsi:type="dcterms:W3CDTF">2026-08-06T00:57:13Z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5F6A8CDD9C5E403891D803E1914FA9B2_11</vt:lpwstr>
  </property>
  <property fmtid="{D5CDD505-2E9C-101B-9397-08002B2CF9AE}" pid="4" name="KSOTemplateDocerSaveRecord">
    <vt:lpwstr>eyJoZGlkIjoiMDZkNjJkODUwMzE3MTlmMTQ5NjFkNDFmZjM5NzMzOWYiLCJ1c2VySWQiOiIzODQ4NTkzNTUifQ==</vt:lpwstr>
  </property>
</Properties>
</file>