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0814E">
      <w:pPr>
        <w:spacing w:line="360" w:lineRule="auto"/>
        <w:jc w:val="center"/>
        <w:rPr>
          <w:rFonts w:hint="eastAsia" w:ascii="宋体" w:hAnsi="宋体" w:cs="宋体"/>
          <w:b/>
          <w:bCs/>
          <w:color w:val="auto"/>
          <w:sz w:val="52"/>
          <w:szCs w:val="52"/>
          <w:highlight w:val="none"/>
        </w:rPr>
      </w:pPr>
    </w:p>
    <w:p w14:paraId="0C55C6A2">
      <w:pPr>
        <w:spacing w:line="360" w:lineRule="auto"/>
        <w:jc w:val="center"/>
        <w:rPr>
          <w:rFonts w:hint="eastAsia" w:ascii="宋体" w:hAnsi="宋体" w:eastAsia="宋体" w:cs="宋体"/>
          <w:b/>
          <w:bCs/>
          <w:color w:val="auto"/>
          <w:sz w:val="56"/>
          <w:szCs w:val="56"/>
          <w:highlight w:val="none"/>
          <w:lang w:eastAsia="zh-CN"/>
        </w:rPr>
      </w:pPr>
      <w:bookmarkStart w:id="0" w:name="OLE_LINK6"/>
      <w:r>
        <w:rPr>
          <w:rFonts w:hint="eastAsia" w:ascii="宋体" w:hAnsi="宋体" w:cs="宋体"/>
          <w:b/>
          <w:bCs/>
          <w:color w:val="auto"/>
          <w:kern w:val="2"/>
          <w:sz w:val="56"/>
          <w:szCs w:val="56"/>
          <w:highlight w:val="none"/>
          <w:u w:val="none"/>
          <w:lang w:val="en-US" w:eastAsia="zh-CN" w:bidi="ar-SA"/>
        </w:rPr>
        <w:t>大型文化艺术活动执行服务保障与品牌影响力提升全媒体宣传推广服务（第二次）</w:t>
      </w:r>
    </w:p>
    <w:bookmarkEnd w:id="0"/>
    <w:p w14:paraId="6FF90092">
      <w:pPr>
        <w:spacing w:line="360" w:lineRule="auto"/>
        <w:rPr>
          <w:rFonts w:hint="eastAsia" w:ascii="宋体" w:hAnsi="宋体" w:cs="宋体"/>
          <w:color w:val="auto"/>
          <w:sz w:val="30"/>
          <w:highlight w:val="none"/>
        </w:rPr>
      </w:pPr>
    </w:p>
    <w:p w14:paraId="6A10BA92">
      <w:pPr>
        <w:spacing w:line="360" w:lineRule="auto"/>
        <w:rPr>
          <w:rFonts w:hint="eastAsia" w:ascii="宋体" w:hAnsi="宋体" w:cs="宋体"/>
          <w:color w:val="auto"/>
          <w:sz w:val="30"/>
          <w:highlight w:val="none"/>
        </w:rPr>
      </w:pPr>
    </w:p>
    <w:p w14:paraId="46E9C820">
      <w:pPr>
        <w:pStyle w:val="3"/>
        <w:rPr>
          <w:rFonts w:hint="eastAsia" w:ascii="宋体" w:hAnsi="宋体" w:cs="宋体"/>
          <w:color w:val="auto"/>
          <w:sz w:val="30"/>
          <w:highlight w:val="none"/>
        </w:rPr>
      </w:pPr>
    </w:p>
    <w:p w14:paraId="1BBE70DF">
      <w:pPr>
        <w:rPr>
          <w:rFonts w:hint="eastAsia"/>
          <w:color w:val="auto"/>
        </w:rPr>
      </w:pPr>
    </w:p>
    <w:p w14:paraId="0D986FA2">
      <w:pPr>
        <w:spacing w:line="360" w:lineRule="auto"/>
        <w:jc w:val="center"/>
        <w:rPr>
          <w:rFonts w:hint="eastAsia" w:ascii="宋体" w:hAnsi="宋体" w:cs="宋体"/>
          <w:b/>
          <w:color w:val="auto"/>
          <w:spacing w:val="20"/>
          <w:kern w:val="10"/>
          <w:sz w:val="84"/>
          <w:szCs w:val="84"/>
          <w:highlight w:val="none"/>
        </w:rPr>
      </w:pPr>
      <w:r>
        <w:rPr>
          <w:rFonts w:hint="eastAsia" w:ascii="宋体" w:hAnsi="宋体" w:cs="宋体"/>
          <w:b/>
          <w:color w:val="auto"/>
          <w:spacing w:val="20"/>
          <w:kern w:val="10"/>
          <w:sz w:val="84"/>
          <w:szCs w:val="84"/>
          <w:highlight w:val="none"/>
        </w:rPr>
        <w:t>招标文件</w:t>
      </w:r>
    </w:p>
    <w:p w14:paraId="10FFA4CC">
      <w:pPr>
        <w:spacing w:line="360" w:lineRule="auto"/>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（项目编号：</w:t>
      </w:r>
      <w:r>
        <w:rPr>
          <w:rFonts w:hint="eastAsia" w:ascii="宋体" w:hAnsi="宋体" w:cs="宋体"/>
          <w:color w:val="auto"/>
          <w:sz w:val="36"/>
          <w:szCs w:val="36"/>
          <w:highlight w:val="none"/>
          <w:lang w:eastAsia="zh-CN"/>
        </w:rPr>
        <w:t>M4400000707540509</w:t>
      </w:r>
      <w:r>
        <w:rPr>
          <w:rFonts w:hint="eastAsia" w:ascii="宋体" w:hAnsi="宋体" w:cs="宋体"/>
          <w:color w:val="auto"/>
          <w:sz w:val="36"/>
          <w:szCs w:val="36"/>
          <w:highlight w:val="none"/>
        </w:rPr>
        <w:t>）</w:t>
      </w:r>
    </w:p>
    <w:p w14:paraId="55D85A54">
      <w:pPr>
        <w:tabs>
          <w:tab w:val="left" w:pos="8118"/>
        </w:tabs>
        <w:spacing w:line="360" w:lineRule="auto"/>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ab/>
      </w:r>
    </w:p>
    <w:p w14:paraId="403848D1">
      <w:pPr>
        <w:spacing w:line="360" w:lineRule="auto"/>
        <w:jc w:val="center"/>
        <w:rPr>
          <w:rFonts w:hint="eastAsia" w:ascii="宋体" w:hAnsi="宋体" w:cs="宋体"/>
          <w:color w:val="auto"/>
          <w:sz w:val="28"/>
          <w:szCs w:val="28"/>
          <w:highlight w:val="none"/>
        </w:rPr>
      </w:pPr>
    </w:p>
    <w:p w14:paraId="76ACA77D">
      <w:pPr>
        <w:spacing w:line="360" w:lineRule="auto"/>
        <w:jc w:val="center"/>
        <w:rPr>
          <w:rFonts w:hint="eastAsia" w:ascii="宋体" w:hAnsi="宋体" w:cs="宋体"/>
          <w:color w:val="auto"/>
          <w:sz w:val="28"/>
          <w:szCs w:val="28"/>
          <w:highlight w:val="none"/>
        </w:rPr>
      </w:pPr>
    </w:p>
    <w:p w14:paraId="2FBBC0D2">
      <w:pPr>
        <w:spacing w:line="360" w:lineRule="auto"/>
        <w:jc w:val="center"/>
        <w:rPr>
          <w:rFonts w:hint="eastAsia" w:ascii="宋体" w:hAnsi="宋体" w:cs="宋体"/>
          <w:color w:val="auto"/>
          <w:sz w:val="28"/>
          <w:szCs w:val="28"/>
          <w:highlight w:val="none"/>
        </w:rPr>
      </w:pPr>
    </w:p>
    <w:p w14:paraId="697AD5F7">
      <w:pPr>
        <w:snapToGrid w:val="0"/>
        <w:spacing w:line="600" w:lineRule="atLeast"/>
        <w:ind w:firstLine="1200" w:firstLineChars="400"/>
        <w:rPr>
          <w:rFonts w:hint="eastAsia" w:ascii="宋体" w:hAnsi="宋体" w:eastAsia="宋体" w:cs="宋体"/>
          <w:color w:val="auto"/>
          <w:sz w:val="30"/>
          <w:highlight w:val="none"/>
          <w:u w:val="single"/>
          <w:lang w:eastAsia="zh-CN"/>
        </w:rPr>
      </w:pPr>
      <w:r>
        <w:rPr>
          <w:rFonts w:hint="eastAsia" w:ascii="宋体" w:hAnsi="宋体" w:cs="宋体"/>
          <w:color w:val="auto"/>
          <w:sz w:val="30"/>
          <w:highlight w:val="none"/>
        </w:rPr>
        <w:t>招   标   人：</w:t>
      </w:r>
      <w:r>
        <w:rPr>
          <w:rFonts w:hint="eastAsia" w:ascii="宋体" w:hAnsi="宋体" w:cs="宋体"/>
          <w:color w:val="auto"/>
          <w:sz w:val="30"/>
          <w:highlight w:val="none"/>
          <w:u w:val="single"/>
          <w:lang w:eastAsia="zh-CN"/>
        </w:rPr>
        <w:t>广东南都娱乐传媒有限公司</w:t>
      </w:r>
    </w:p>
    <w:p w14:paraId="68DCA81D">
      <w:pPr>
        <w:snapToGrid w:val="0"/>
        <w:spacing w:line="600" w:lineRule="atLeast"/>
        <w:ind w:firstLine="1200" w:firstLineChars="400"/>
        <w:rPr>
          <w:rFonts w:hint="eastAsia" w:ascii="宋体" w:hAnsi="宋体" w:cs="宋体"/>
          <w:color w:val="auto"/>
          <w:sz w:val="30"/>
          <w:highlight w:val="none"/>
          <w:u w:val="single"/>
        </w:rPr>
      </w:pPr>
      <w:r>
        <w:rPr>
          <w:rFonts w:hint="eastAsia" w:ascii="宋体" w:hAnsi="宋体" w:cs="宋体"/>
          <w:color w:val="auto"/>
          <w:sz w:val="30"/>
          <w:highlight w:val="none"/>
        </w:rPr>
        <w:t>招标代理机构：</w:t>
      </w:r>
      <w:r>
        <w:rPr>
          <w:rFonts w:hint="eastAsia" w:ascii="宋体" w:hAnsi="宋体" w:cs="宋体"/>
          <w:color w:val="auto"/>
          <w:sz w:val="30"/>
          <w:highlight w:val="none"/>
          <w:u w:val="single"/>
        </w:rPr>
        <w:t>广东省机电设备招标有限公司</w:t>
      </w:r>
    </w:p>
    <w:p w14:paraId="4FE20FEF">
      <w:pPr>
        <w:snapToGrid w:val="0"/>
        <w:spacing w:line="600" w:lineRule="atLeast"/>
        <w:ind w:firstLine="1200" w:firstLineChars="400"/>
        <w:rPr>
          <w:rFonts w:hint="eastAsia" w:ascii="宋体" w:hAnsi="宋体" w:cs="宋体"/>
          <w:color w:val="auto"/>
          <w:sz w:val="30"/>
          <w:highlight w:val="none"/>
          <w:u w:val="single"/>
        </w:rPr>
      </w:pPr>
    </w:p>
    <w:p w14:paraId="35AD478D">
      <w:pPr>
        <w:spacing w:line="360" w:lineRule="auto"/>
        <w:jc w:val="center"/>
        <w:rPr>
          <w:rFonts w:hint="eastAsia" w:ascii="宋体" w:hAnsi="宋体" w:cs="宋体"/>
          <w:b/>
          <w:color w:val="auto"/>
          <w:sz w:val="28"/>
          <w:szCs w:val="28"/>
          <w:highlight w:val="none"/>
        </w:rPr>
        <w:sectPr>
          <w:headerReference r:id="rId3" w:type="default"/>
          <w:footerReference r:id="rId4"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sz w:val="30"/>
          <w:szCs w:val="30"/>
          <w:highlight w:val="none"/>
        </w:rPr>
        <w:t>202</w:t>
      </w:r>
      <w:r>
        <w:rPr>
          <w:rFonts w:hint="eastAsia" w:ascii="宋体" w:hAnsi="宋体" w:cs="宋体"/>
          <w:color w:val="auto"/>
          <w:sz w:val="30"/>
          <w:szCs w:val="30"/>
          <w:highlight w:val="none"/>
          <w:lang w:val="en-US" w:eastAsia="zh-CN"/>
        </w:rPr>
        <w:t>6</w:t>
      </w:r>
      <w:r>
        <w:rPr>
          <w:rFonts w:hint="eastAsia" w:ascii="宋体" w:hAnsi="宋体" w:cs="宋体"/>
          <w:color w:val="auto"/>
          <w:sz w:val="30"/>
          <w:szCs w:val="30"/>
          <w:highlight w:val="none"/>
        </w:rPr>
        <w:t>年</w:t>
      </w:r>
      <w:r>
        <w:rPr>
          <w:rFonts w:hint="eastAsia" w:ascii="宋体" w:hAnsi="宋体" w:cs="宋体"/>
          <w:color w:val="auto"/>
          <w:sz w:val="30"/>
          <w:szCs w:val="30"/>
          <w:highlight w:val="none"/>
          <w:lang w:val="en-US" w:eastAsia="zh-CN"/>
        </w:rPr>
        <w:t>9</w:t>
      </w:r>
      <w:r>
        <w:rPr>
          <w:rFonts w:hint="eastAsia" w:ascii="宋体" w:hAnsi="宋体" w:cs="宋体"/>
          <w:color w:val="auto"/>
          <w:sz w:val="30"/>
          <w:szCs w:val="30"/>
          <w:highlight w:val="none"/>
        </w:rPr>
        <w:t>月</w:t>
      </w:r>
    </w:p>
    <w:p w14:paraId="315682DB">
      <w:pPr>
        <w:spacing w:line="360" w:lineRule="auto"/>
        <w:jc w:val="center"/>
        <w:outlineLvl w:val="0"/>
        <w:rPr>
          <w:rFonts w:hint="eastAsia" w:ascii="宋体" w:hAnsi="宋体" w:cs="宋体"/>
          <w:b/>
          <w:color w:val="auto"/>
          <w:sz w:val="28"/>
          <w:szCs w:val="28"/>
          <w:highlight w:val="none"/>
        </w:rPr>
      </w:pPr>
      <w:bookmarkStart w:id="1" w:name="_Toc27156"/>
      <w:r>
        <w:rPr>
          <w:rFonts w:hint="eastAsia" w:ascii="宋体" w:hAnsi="宋体" w:cs="宋体"/>
          <w:b/>
          <w:color w:val="auto"/>
          <w:sz w:val="28"/>
          <w:szCs w:val="28"/>
          <w:highlight w:val="none"/>
        </w:rPr>
        <w:t>投标提示</w:t>
      </w:r>
      <w:bookmarkEnd w:id="1"/>
    </w:p>
    <w:p w14:paraId="77DE1EA5">
      <w:pPr>
        <w:pStyle w:val="13"/>
        <w:rPr>
          <w:rFonts w:hint="eastAsia"/>
          <w:color w:val="auto"/>
        </w:rPr>
      </w:pPr>
    </w:p>
    <w:p w14:paraId="5F92C41A">
      <w:pPr>
        <w:snapToGrid w:val="0"/>
        <w:spacing w:line="360" w:lineRule="auto"/>
        <w:jc w:val="center"/>
        <w:rPr>
          <w:rFonts w:hint="eastAsia" w:ascii="宋体" w:hAnsi="宋体" w:cs="宋体"/>
          <w:color w:val="auto"/>
          <w:highlight w:val="none"/>
        </w:rPr>
      </w:pPr>
      <w:r>
        <w:rPr>
          <w:rFonts w:hint="eastAsia" w:ascii="宋体" w:hAnsi="宋体" w:cs="宋体"/>
          <w:b/>
          <w:color w:val="auto"/>
          <w:highlight w:val="none"/>
        </w:rPr>
        <w:t>（本提示内容非招标文件的组成部分，仅为投标人制作文件提醒。如有不一致，以招标文件为准）</w:t>
      </w:r>
    </w:p>
    <w:p w14:paraId="5BF79EEA">
      <w:pPr>
        <w:snapToGrid w:val="0"/>
        <w:spacing w:line="360" w:lineRule="auto"/>
        <w:rPr>
          <w:rFonts w:hint="eastAsia" w:ascii="宋体" w:hAnsi="宋体" w:cs="宋体"/>
          <w:color w:val="auto"/>
          <w:highlight w:val="none"/>
        </w:rPr>
      </w:pPr>
      <w:r>
        <w:rPr>
          <w:rFonts w:hint="eastAsia" w:ascii="宋体" w:hAnsi="宋体" w:cs="宋体"/>
          <w:color w:val="auto"/>
          <w:highlight w:val="none"/>
        </w:rPr>
        <w:t>1、潜在投标</w:t>
      </w:r>
      <w:r>
        <w:rPr>
          <w:rFonts w:hint="eastAsia" w:ascii="宋体" w:hAnsi="宋体" w:cs="宋体"/>
          <w:color w:val="auto"/>
          <w:highlight w:val="none"/>
          <w:lang w:val="en-US" w:eastAsia="zh-CN"/>
        </w:rPr>
        <w:t>人</w:t>
      </w:r>
      <w:r>
        <w:rPr>
          <w:rFonts w:hint="eastAsia" w:ascii="宋体" w:hAnsi="宋体" w:cs="宋体"/>
          <w:color w:val="auto"/>
          <w:highlight w:val="none"/>
        </w:rPr>
        <w:t>须按招标文件及公告要求登记。</w:t>
      </w:r>
    </w:p>
    <w:p w14:paraId="048B45D2">
      <w:pPr>
        <w:snapToGrid w:val="0"/>
        <w:spacing w:line="360" w:lineRule="auto"/>
        <w:rPr>
          <w:rFonts w:hint="eastAsia" w:ascii="宋体" w:hAnsi="宋体" w:cs="宋体"/>
          <w:color w:val="auto"/>
          <w:highlight w:val="none"/>
        </w:rPr>
      </w:pPr>
      <w:r>
        <w:rPr>
          <w:rFonts w:hint="eastAsia" w:ascii="宋体" w:hAnsi="宋体" w:cs="宋体"/>
          <w:color w:val="auto"/>
          <w:highlight w:val="none"/>
        </w:rPr>
        <w:t>2、本公司启用网上登记系统进行</w:t>
      </w:r>
      <w:r>
        <w:rPr>
          <w:rFonts w:hint="eastAsia" w:ascii="宋体" w:hAnsi="宋体" w:cs="宋体"/>
          <w:color w:val="auto"/>
          <w:highlight w:val="none"/>
          <w:lang w:eastAsia="zh-CN"/>
        </w:rPr>
        <w:t>投标人</w:t>
      </w:r>
      <w:r>
        <w:rPr>
          <w:rFonts w:hint="eastAsia" w:ascii="宋体" w:hAnsi="宋体" w:cs="宋体"/>
          <w:color w:val="auto"/>
          <w:highlight w:val="none"/>
        </w:rPr>
        <w:t>登记及购买文件。请登录广咨电子招投标交易平台网站（www.gzebid.cn）进行</w:t>
      </w:r>
      <w:r>
        <w:rPr>
          <w:rFonts w:hint="eastAsia" w:ascii="宋体" w:hAnsi="宋体" w:cs="宋体"/>
          <w:color w:val="auto"/>
          <w:highlight w:val="none"/>
          <w:lang w:eastAsia="zh-CN"/>
        </w:rPr>
        <w:t>投标人</w:t>
      </w:r>
      <w:r>
        <w:rPr>
          <w:rFonts w:hint="eastAsia" w:ascii="宋体" w:hAnsi="宋体" w:cs="宋体"/>
          <w:color w:val="auto"/>
          <w:highlight w:val="none"/>
        </w:rPr>
        <w:t>注册登记。</w:t>
      </w:r>
    </w:p>
    <w:p w14:paraId="161A30D9">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3、为避免因迟到而失去投标/报价资格，请</w:t>
      </w:r>
      <w:r>
        <w:rPr>
          <w:rFonts w:hint="eastAsia" w:ascii="宋体" w:hAnsi="宋体" w:cs="宋体"/>
          <w:color w:val="auto"/>
          <w:highlight w:val="none"/>
          <w:lang w:eastAsia="zh-CN"/>
        </w:rPr>
        <w:t>投标人</w:t>
      </w:r>
      <w:r>
        <w:rPr>
          <w:rFonts w:hint="eastAsia" w:ascii="宋体" w:hAnsi="宋体" w:cs="宋体"/>
          <w:b/>
          <w:color w:val="auto"/>
          <w:highlight w:val="none"/>
          <w:u w:val="single"/>
        </w:rPr>
        <w:t>适当提前到达开标现场</w:t>
      </w:r>
      <w:r>
        <w:rPr>
          <w:rFonts w:hint="eastAsia" w:ascii="宋体" w:hAnsi="宋体" w:cs="宋体"/>
          <w:color w:val="auto"/>
          <w:highlight w:val="none"/>
        </w:rPr>
        <w:t>。</w:t>
      </w:r>
    </w:p>
    <w:p w14:paraId="787C1512">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4、投标/报价文件应按顺序</w:t>
      </w:r>
      <w:r>
        <w:rPr>
          <w:rFonts w:hint="eastAsia" w:ascii="宋体" w:hAnsi="宋体" w:cs="宋体"/>
          <w:b/>
          <w:color w:val="auto"/>
          <w:highlight w:val="none"/>
          <w:u w:val="single"/>
        </w:rPr>
        <w:t>编制页码</w:t>
      </w:r>
      <w:r>
        <w:rPr>
          <w:rFonts w:hint="eastAsia" w:ascii="宋体" w:hAnsi="宋体" w:cs="宋体"/>
          <w:color w:val="auto"/>
          <w:highlight w:val="none"/>
        </w:rPr>
        <w:t>。</w:t>
      </w:r>
    </w:p>
    <w:p w14:paraId="1B1A0519">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5、请仔细检查投标/报价文件是否已按招标文件要求</w:t>
      </w:r>
      <w:r>
        <w:rPr>
          <w:rFonts w:hint="eastAsia" w:ascii="宋体" w:hAnsi="宋体" w:cs="宋体"/>
          <w:b/>
          <w:color w:val="auto"/>
          <w:highlight w:val="none"/>
          <w:u w:val="single"/>
        </w:rPr>
        <w:t>盖章、签字（签章）、签署日期</w:t>
      </w:r>
      <w:r>
        <w:rPr>
          <w:rFonts w:hint="eastAsia" w:ascii="宋体" w:hAnsi="宋体" w:cs="宋体"/>
          <w:color w:val="auto"/>
          <w:highlight w:val="none"/>
        </w:rPr>
        <w:t>。</w:t>
      </w:r>
    </w:p>
    <w:p w14:paraId="0131DC91">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6、请正确填写《开标/报价一览表》。多子包项目请仔细检查子包号，子包号与子包名称必须对应。</w:t>
      </w:r>
    </w:p>
    <w:p w14:paraId="3A2374E2">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7、</w:t>
      </w:r>
      <w:r>
        <w:rPr>
          <w:rFonts w:hint="eastAsia" w:ascii="宋体" w:hAnsi="宋体" w:cs="宋体"/>
          <w:color w:val="auto"/>
          <w:highlight w:val="none"/>
          <w:lang w:eastAsia="zh-CN"/>
        </w:rPr>
        <w:t>投标人</w:t>
      </w:r>
      <w:r>
        <w:rPr>
          <w:rFonts w:hint="eastAsia" w:ascii="宋体" w:hAnsi="宋体" w:cs="宋体"/>
          <w:color w:val="auto"/>
          <w:highlight w:val="none"/>
        </w:rPr>
        <w:t>须通过广咨电子招投标交易平台网站（</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"http://www.gzebid.cn）获取子账号的方式递交投标/报价保证金及中标/" </w:instrText>
      </w:r>
      <w:r>
        <w:rPr>
          <w:rFonts w:hint="eastAsia" w:ascii="宋体" w:hAnsi="宋体" w:cs="宋体"/>
          <w:color w:val="auto"/>
          <w:highlight w:val="none"/>
        </w:rPr>
        <w:fldChar w:fldCharType="separate"/>
      </w:r>
      <w:r>
        <w:rPr>
          <w:rFonts w:hint="eastAsia" w:ascii="宋体" w:hAnsi="宋体" w:cs="宋体"/>
          <w:color w:val="auto"/>
          <w:highlight w:val="none"/>
        </w:rPr>
        <w:t>http://www.gzebid.cn）获取子账号的方式递交投标/报价保证金及中标/</w:t>
      </w:r>
      <w:r>
        <w:rPr>
          <w:rFonts w:hint="eastAsia" w:ascii="宋体" w:hAnsi="宋体" w:cs="宋体"/>
          <w:color w:val="auto"/>
          <w:highlight w:val="none"/>
        </w:rPr>
        <w:fldChar w:fldCharType="end"/>
      </w:r>
      <w:r>
        <w:rPr>
          <w:rFonts w:hint="eastAsia" w:ascii="宋体" w:hAnsi="宋体" w:cs="宋体"/>
          <w:color w:val="auto"/>
          <w:highlight w:val="none"/>
        </w:rPr>
        <w:t>成交服务费。</w:t>
      </w:r>
    </w:p>
    <w:p w14:paraId="3CBE13FD">
      <w:pPr>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、每个</w:t>
      </w:r>
      <w:r>
        <w:rPr>
          <w:rFonts w:hint="eastAsia" w:ascii="宋体" w:hAnsi="宋体" w:cs="宋体"/>
          <w:color w:val="auto"/>
          <w:highlight w:val="none"/>
          <w:lang w:eastAsia="zh-CN"/>
        </w:rPr>
        <w:t>投标人</w:t>
      </w:r>
      <w:r>
        <w:rPr>
          <w:rFonts w:hint="eastAsia" w:ascii="宋体" w:hAnsi="宋体" w:cs="宋体"/>
          <w:color w:val="auto"/>
          <w:highlight w:val="none"/>
        </w:rPr>
        <w:t>每个项目的保证金缴纳账户是唯一的，本司将根据唯一保证金缴纳账户的缴纳情况，确认</w:t>
      </w:r>
      <w:r>
        <w:rPr>
          <w:rFonts w:hint="eastAsia" w:ascii="宋体" w:hAnsi="宋体" w:cs="宋体"/>
          <w:color w:val="auto"/>
          <w:highlight w:val="none"/>
          <w:lang w:eastAsia="zh-CN"/>
        </w:rPr>
        <w:t>投标人</w:t>
      </w:r>
      <w:r>
        <w:rPr>
          <w:rFonts w:hint="eastAsia" w:ascii="宋体" w:hAnsi="宋体" w:cs="宋体"/>
          <w:color w:val="auto"/>
          <w:highlight w:val="none"/>
        </w:rPr>
        <w:t>是否已按规定缴纳项目保证金。所以请各</w:t>
      </w:r>
      <w:r>
        <w:rPr>
          <w:rFonts w:hint="eastAsia" w:ascii="宋体" w:hAnsi="宋体" w:cs="宋体"/>
          <w:color w:val="auto"/>
          <w:highlight w:val="none"/>
          <w:lang w:eastAsia="zh-CN"/>
        </w:rPr>
        <w:t>投标人</w:t>
      </w:r>
      <w:r>
        <w:rPr>
          <w:rFonts w:hint="eastAsia" w:ascii="宋体" w:hAnsi="宋体" w:cs="宋体"/>
          <w:color w:val="auto"/>
          <w:highlight w:val="none"/>
        </w:rPr>
        <w:t>缴纳保证金前务必核对正确的缴纳账户，错缴误缴导致未按项目缴纳保证金的情况将由</w:t>
      </w:r>
      <w:r>
        <w:rPr>
          <w:rFonts w:hint="eastAsia" w:ascii="宋体" w:hAnsi="宋体" w:cs="宋体"/>
          <w:color w:val="auto"/>
          <w:highlight w:val="none"/>
          <w:lang w:eastAsia="zh-CN"/>
        </w:rPr>
        <w:t>投标人</w:t>
      </w:r>
      <w:r>
        <w:rPr>
          <w:rFonts w:hint="eastAsia" w:ascii="宋体" w:hAnsi="宋体" w:cs="宋体"/>
          <w:color w:val="auto"/>
          <w:highlight w:val="none"/>
        </w:rPr>
        <w:t>自行负责。</w:t>
      </w:r>
    </w:p>
    <w:p w14:paraId="69ECB7D6">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、投标/报价保证金必须于招标文件递交截止时间前到达广东省机电设备招标有限公司的账户。</w:t>
      </w:r>
    </w:p>
    <w:p w14:paraId="39D84F48">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0</w:t>
      </w:r>
      <w:r>
        <w:rPr>
          <w:rFonts w:hint="eastAsia" w:ascii="宋体" w:hAnsi="宋体" w:cs="宋体"/>
          <w:color w:val="auto"/>
          <w:highlight w:val="none"/>
        </w:rPr>
        <w:t>、未中标</w:t>
      </w:r>
      <w:r>
        <w:rPr>
          <w:rFonts w:hint="eastAsia" w:ascii="宋体" w:hAnsi="宋体" w:cs="宋体"/>
          <w:color w:val="auto"/>
          <w:highlight w:val="none"/>
          <w:lang w:val="en-US" w:eastAsia="zh-CN"/>
        </w:rPr>
        <w:t>的投标人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中标通知书发出后的五个工作日内</w:t>
      </w:r>
      <w:r>
        <w:rPr>
          <w:rFonts w:hint="eastAsia" w:ascii="宋体" w:hAnsi="宋体" w:cs="宋体"/>
          <w:color w:val="auto"/>
          <w:highlight w:val="none"/>
        </w:rPr>
        <w:t>按规定程序原额退还。</w:t>
      </w:r>
    </w:p>
    <w:p w14:paraId="35DBED3C">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1</w:t>
      </w:r>
      <w:r>
        <w:rPr>
          <w:rFonts w:hint="eastAsia" w:ascii="宋体" w:hAnsi="宋体" w:cs="宋体"/>
          <w:color w:val="auto"/>
          <w:highlight w:val="none"/>
        </w:rPr>
        <w:t>、中标</w:t>
      </w:r>
      <w:r>
        <w:rPr>
          <w:rFonts w:hint="eastAsia" w:ascii="宋体" w:hAnsi="宋体" w:cs="宋体"/>
          <w:color w:val="auto"/>
          <w:highlight w:val="none"/>
          <w:lang w:eastAsia="zh-CN"/>
        </w:rPr>
        <w:t>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收到</w:t>
      </w:r>
      <w:r>
        <w:rPr>
          <w:rFonts w:hint="eastAsia" w:ascii="宋体" w:hAnsi="宋体" w:cs="宋体"/>
          <w:color w:val="auto"/>
          <w:highlight w:val="none"/>
        </w:rPr>
        <w:t>中标</w:t>
      </w:r>
      <w:r>
        <w:rPr>
          <w:rFonts w:hint="eastAsia" w:ascii="宋体" w:hAnsi="宋体" w:cs="宋体"/>
          <w:color w:val="auto"/>
          <w:highlight w:val="none"/>
          <w:lang w:val="en-US" w:eastAsia="zh-CN"/>
        </w:rPr>
        <w:t>人</w:t>
      </w:r>
      <w:r>
        <w:rPr>
          <w:rFonts w:hint="eastAsia" w:ascii="宋体" w:hAnsi="宋体" w:cs="宋体"/>
          <w:color w:val="auto"/>
          <w:highlight w:val="none"/>
        </w:rPr>
        <w:t>提交的</w:t>
      </w:r>
      <w:r>
        <w:rPr>
          <w:rFonts w:hint="eastAsia" w:ascii="宋体" w:hAnsi="宋体" w:cs="宋体"/>
          <w:b/>
          <w:color w:val="auto"/>
          <w:highlight w:val="none"/>
          <w:u w:val="single"/>
        </w:rPr>
        <w:t>合同原件或复印件后五个工作日内</w:t>
      </w:r>
      <w:r>
        <w:rPr>
          <w:rFonts w:hint="eastAsia" w:ascii="宋体" w:hAnsi="宋体" w:cs="宋体"/>
          <w:color w:val="auto"/>
          <w:highlight w:val="none"/>
        </w:rPr>
        <w:t>原额退还。</w:t>
      </w:r>
    </w:p>
    <w:p w14:paraId="40AA8FAB">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2</w:t>
      </w:r>
      <w:r>
        <w:rPr>
          <w:rFonts w:hint="eastAsia" w:ascii="宋体" w:hAnsi="宋体" w:cs="宋体"/>
          <w:color w:val="auto"/>
          <w:highlight w:val="none"/>
        </w:rPr>
        <w:t>、如招标文件有澄清、修改或者延期的，我司会在相关媒体上发布公告，并</w:t>
      </w:r>
      <w:r>
        <w:rPr>
          <w:rFonts w:hint="eastAsia" w:ascii="宋体" w:hAnsi="宋体" w:cs="宋体"/>
          <w:b/>
          <w:color w:val="auto"/>
          <w:highlight w:val="none"/>
          <w:u w:val="single"/>
        </w:rPr>
        <w:t>以电子邮件的形式</w:t>
      </w:r>
      <w:r>
        <w:rPr>
          <w:rFonts w:hint="eastAsia" w:ascii="宋体" w:hAnsi="宋体" w:cs="宋体"/>
          <w:color w:val="auto"/>
          <w:highlight w:val="none"/>
        </w:rPr>
        <w:t>通知所有登记及购买招标文件的</w:t>
      </w:r>
      <w:r>
        <w:rPr>
          <w:rFonts w:hint="eastAsia" w:ascii="宋体" w:hAnsi="宋体" w:cs="宋体"/>
          <w:color w:val="auto"/>
          <w:highlight w:val="none"/>
          <w:lang w:eastAsia="zh-CN"/>
        </w:rPr>
        <w:t>投标人</w:t>
      </w:r>
      <w:r>
        <w:rPr>
          <w:rFonts w:hint="eastAsia" w:ascii="宋体" w:hAnsi="宋体" w:cs="宋体"/>
          <w:color w:val="auto"/>
          <w:highlight w:val="none"/>
        </w:rPr>
        <w:t>。</w:t>
      </w:r>
    </w:p>
    <w:p w14:paraId="4D750788">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3</w:t>
      </w:r>
      <w:r>
        <w:rPr>
          <w:rFonts w:hint="eastAsia" w:ascii="宋体" w:hAnsi="宋体" w:cs="宋体"/>
          <w:color w:val="auto"/>
          <w:highlight w:val="none"/>
        </w:rPr>
        <w:t>、如投标/报价产品属于许可证管理范围内的，须提交相应的许可证复印件。</w:t>
      </w:r>
    </w:p>
    <w:p w14:paraId="6C2679D1">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4</w:t>
      </w:r>
      <w:r>
        <w:rPr>
          <w:rFonts w:hint="eastAsia" w:ascii="宋体" w:hAnsi="宋体" w:cs="宋体"/>
          <w:color w:val="auto"/>
          <w:highlight w:val="none"/>
        </w:rPr>
        <w:t>、如</w:t>
      </w:r>
      <w:r>
        <w:rPr>
          <w:rFonts w:hint="eastAsia" w:ascii="宋体" w:hAnsi="宋体" w:cs="宋体"/>
          <w:color w:val="auto"/>
          <w:highlight w:val="none"/>
          <w:lang w:eastAsia="zh-CN"/>
        </w:rPr>
        <w:t>投标人</w:t>
      </w:r>
      <w:r>
        <w:rPr>
          <w:rFonts w:hint="eastAsia" w:ascii="宋体" w:hAnsi="宋体" w:cs="宋体"/>
          <w:color w:val="auto"/>
          <w:highlight w:val="none"/>
        </w:rPr>
        <w:t>以非独立法人注册的分公司名义代表总公司盖章和签署文件的，须提供总公司的营业执照副本复印件及总公司针对本项目投标/报价的授权书原件。</w:t>
      </w:r>
    </w:p>
    <w:p w14:paraId="2B8A2B47">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5</w:t>
      </w:r>
      <w:r>
        <w:rPr>
          <w:rFonts w:hint="eastAsia" w:ascii="宋体" w:hAnsi="宋体" w:cs="宋体"/>
          <w:color w:val="auto"/>
          <w:highlight w:val="none"/>
        </w:rPr>
        <w:t>、为了提高采购效率，节约社会交易成本与时间，本司希望购买了招标文件而决定不参加本次投标的</w:t>
      </w:r>
      <w:r>
        <w:rPr>
          <w:rFonts w:hint="eastAsia" w:ascii="宋体" w:hAnsi="宋体" w:cs="宋体"/>
          <w:color w:val="auto"/>
          <w:highlight w:val="none"/>
          <w:lang w:eastAsia="zh-CN"/>
        </w:rPr>
        <w:t>投标人</w:t>
      </w:r>
      <w:r>
        <w:rPr>
          <w:rFonts w:hint="eastAsia" w:ascii="宋体" w:hAnsi="宋体" w:cs="宋体"/>
          <w:color w:val="auto"/>
          <w:highlight w:val="none"/>
        </w:rPr>
        <w:t>，在投标/报价文件递交截止时间的3日前，按《投标/报价邀请函》中的联系方式，以书面形式告知招标代理机构。对您的支持与配合，谨此致谢。</w:t>
      </w:r>
    </w:p>
    <w:p w14:paraId="14908F17">
      <w:pPr>
        <w:tabs>
          <w:tab w:val="left" w:pos="851"/>
        </w:tabs>
        <w:snapToGrid w:val="0"/>
        <w:spacing w:line="360" w:lineRule="auto"/>
        <w:rPr>
          <w:rFonts w:hint="eastAsia" w:ascii="宋体" w:hAnsi="宋体" w:cs="宋体"/>
          <w:color w:val="auto"/>
          <w:szCs w:val="21"/>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6</w:t>
      </w:r>
      <w:r>
        <w:rPr>
          <w:rFonts w:hint="eastAsia" w:ascii="宋体" w:hAnsi="宋体" w:cs="宋体"/>
          <w:color w:val="auto"/>
          <w:highlight w:val="none"/>
        </w:rPr>
        <w:t>、因场地有限，本公司无法提供停车位，不便之处敬请谅解</w:t>
      </w:r>
      <w:r>
        <w:rPr>
          <w:rFonts w:hint="eastAsia" w:ascii="宋体" w:hAnsi="宋体" w:cs="宋体"/>
          <w:color w:val="auto"/>
          <w:szCs w:val="21"/>
          <w:highlight w:val="none"/>
        </w:rPr>
        <w:t>。</w:t>
      </w:r>
    </w:p>
    <w:p w14:paraId="7CBB3844">
      <w:pPr>
        <w:tabs>
          <w:tab w:val="left" w:pos="851"/>
        </w:tabs>
        <w:snapToGrid w:val="0"/>
        <w:spacing w:line="360" w:lineRule="auto"/>
        <w:jc w:val="center"/>
        <w:rPr>
          <w:rFonts w:hint="eastAsia" w:ascii="宋体" w:hAnsi="宋体" w:cs="宋体"/>
          <w:b/>
          <w:color w:val="auto"/>
          <w:sz w:val="44"/>
          <w:szCs w:val="32"/>
          <w:highlight w:val="none"/>
        </w:rPr>
        <w:sectPr>
          <w:footerReference r:id="rId5" w:type="default"/>
          <w:pgSz w:w="11906" w:h="16838"/>
          <w:pgMar w:top="1134" w:right="1418" w:bottom="1134" w:left="1418" w:header="851" w:footer="992" w:gutter="0"/>
          <w:pgNumType w:start="1"/>
          <w:cols w:space="720" w:num="1"/>
          <w:docGrid w:type="lines" w:linePitch="312" w:charSpace="0"/>
        </w:sectPr>
      </w:pPr>
    </w:p>
    <w:p w14:paraId="2395346C">
      <w:pPr>
        <w:pStyle w:val="17"/>
        <w:rPr>
          <w:rFonts w:hint="eastAsia" w:hAnsi="宋体" w:cs="宋体"/>
          <w:color w:val="auto"/>
          <w:highlight w:val="none"/>
        </w:rPr>
      </w:pPr>
    </w:p>
    <w:p w14:paraId="63E4C339">
      <w:pPr>
        <w:tabs>
          <w:tab w:val="left" w:pos="851"/>
        </w:tabs>
        <w:snapToGrid w:val="0"/>
        <w:spacing w:line="360" w:lineRule="auto"/>
        <w:jc w:val="center"/>
        <w:rPr>
          <w:rFonts w:hint="eastAsia" w:ascii="宋体" w:hAnsi="宋体" w:cs="宋体"/>
          <w:b/>
          <w:color w:val="auto"/>
          <w:sz w:val="44"/>
          <w:szCs w:val="32"/>
          <w:highlight w:val="none"/>
        </w:rPr>
      </w:pPr>
      <w:r>
        <w:rPr>
          <w:rFonts w:hint="eastAsia" w:ascii="宋体" w:hAnsi="宋体" w:cs="宋体"/>
          <w:b/>
          <w:color w:val="auto"/>
          <w:sz w:val="44"/>
          <w:szCs w:val="32"/>
          <w:highlight w:val="none"/>
        </w:rPr>
        <w:t>目 录</w:t>
      </w:r>
    </w:p>
    <w:p w14:paraId="4ECF2CA0">
      <w:pPr>
        <w:pStyle w:val="35"/>
        <w:tabs>
          <w:tab w:val="right" w:leader="dot" w:pos="9070"/>
        </w:tabs>
        <w:rPr>
          <w:rFonts w:hint="eastAsia" w:ascii="宋体" w:hAnsi="宋体" w:cs="宋体"/>
          <w:color w:val="auto"/>
          <w:highlight w:val="none"/>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TOC \o "1-1" \h \u </w:instrText>
      </w:r>
      <w:r>
        <w:rPr>
          <w:rFonts w:hint="eastAsia" w:ascii="宋体" w:hAnsi="宋体" w:cs="宋体"/>
          <w:color w:val="auto"/>
          <w:sz w:val="30"/>
          <w:szCs w:val="30"/>
          <w:highlight w:val="none"/>
        </w:rPr>
        <w:fldChar w:fldCharType="separate"/>
      </w:r>
    </w:p>
    <w:p w14:paraId="1A26DF82">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_Toc12054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第一章  投标邀请函</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_Toc12054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1</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0B242C6A">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_Toc9976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第二章  投标人须知</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_Toc9976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6</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4EF103B2">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_Toc5009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第三章  用户需求书</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_Toc5009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20</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018AAEAA">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_Toc30591 </w:instrText>
      </w:r>
      <w:r>
        <w:rPr>
          <w:rFonts w:hint="eastAsia" w:ascii="宋体" w:hAnsi="宋体" w:cs="宋体"/>
          <w:color w:val="auto"/>
          <w:sz w:val="32"/>
          <w:szCs w:val="32"/>
          <w:highlight w:val="none"/>
        </w:rPr>
        <w:fldChar w:fldCharType="separate"/>
      </w:r>
      <w:r>
        <w:rPr>
          <w:rFonts w:hint="eastAsia" w:ascii="宋体" w:hAnsi="宋体" w:cs="宋体"/>
          <w:bCs/>
          <w:color w:val="auto"/>
          <w:sz w:val="32"/>
          <w:szCs w:val="32"/>
          <w:highlight w:val="none"/>
        </w:rPr>
        <w:t>第四章  合同格式</w:t>
      </w:r>
      <w:bookmarkStart w:id="2" w:name="_Hlt175214023"/>
      <w:bookmarkStart w:id="3" w:name="_Hlt175214022"/>
      <w:r>
        <w:rPr>
          <w:rFonts w:hint="eastAsia" w:ascii="宋体" w:hAnsi="宋体" w:cs="宋体"/>
          <w:bCs/>
          <w:color w:val="auto"/>
          <w:sz w:val="32"/>
          <w:szCs w:val="32"/>
          <w:highlight w:val="none"/>
        </w:rPr>
        <w:t>（</w:t>
      </w:r>
      <w:bookmarkEnd w:id="2"/>
      <w:bookmarkEnd w:id="3"/>
      <w:r>
        <w:rPr>
          <w:rFonts w:hint="eastAsia" w:ascii="宋体" w:hAnsi="宋体" w:cs="宋体"/>
          <w:bCs/>
          <w:color w:val="auto"/>
          <w:sz w:val="32"/>
          <w:szCs w:val="32"/>
          <w:highlight w:val="none"/>
        </w:rPr>
        <w:t>参考）</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_Toc30591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27</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7A5326FE">
      <w:pPr>
        <w:pStyle w:val="35"/>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_Toc31761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第五章  投标文件格式</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_Toc31761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33</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4790DF2E">
      <w:pPr>
        <w:pStyle w:val="35"/>
        <w:tabs>
          <w:tab w:val="right" w:leader="dot" w:pos="9070"/>
        </w:tabs>
        <w:spacing w:line="480" w:lineRule="auto"/>
        <w:rPr>
          <w:rFonts w:hint="eastAsia" w:ascii="宋体" w:hAnsi="宋体" w:cs="宋体"/>
          <w:color w:val="auto"/>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_Toc5715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第六章  评标办法</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_Toc5715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59</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4BE99B25">
      <w:pPr>
        <w:pStyle w:val="35"/>
        <w:tabs>
          <w:tab w:val="right" w:leader="dot" w:pos="9070"/>
        </w:tabs>
        <w:rPr>
          <w:rFonts w:hint="eastAsia" w:ascii="宋体" w:hAnsi="宋体" w:cs="宋体"/>
          <w:color w:val="auto"/>
          <w:highlight w:val="none"/>
        </w:rPr>
      </w:pPr>
    </w:p>
    <w:p w14:paraId="1295F78D">
      <w:pPr>
        <w:rPr>
          <w:rFonts w:hint="eastAsia" w:ascii="宋体" w:hAnsi="宋体" w:cs="宋体"/>
          <w:color w:val="auto"/>
          <w:sz w:val="30"/>
          <w:szCs w:val="30"/>
          <w:highlight w:val="none"/>
        </w:rPr>
        <w:sectPr>
          <w:footerReference r:id="rId6" w:type="default"/>
          <w:pgSz w:w="11906" w:h="16838"/>
          <w:pgMar w:top="1134" w:right="1418" w:bottom="1134" w:left="1418" w:header="851" w:footer="992" w:gutter="0"/>
          <w:cols w:space="720" w:num="1"/>
          <w:docGrid w:type="lines" w:linePitch="312" w:charSpace="0"/>
        </w:sectPr>
      </w:pPr>
      <w:r>
        <w:rPr>
          <w:rFonts w:hint="eastAsia" w:ascii="宋体" w:hAnsi="宋体" w:cs="宋体"/>
          <w:color w:val="auto"/>
          <w:szCs w:val="30"/>
          <w:highlight w:val="none"/>
        </w:rPr>
        <w:fldChar w:fldCharType="end"/>
      </w:r>
    </w:p>
    <w:p w14:paraId="32D94838">
      <w:pPr>
        <w:pStyle w:val="17"/>
        <w:rPr>
          <w:rFonts w:hint="eastAsia" w:hAnsi="宋体" w:cs="宋体"/>
          <w:color w:val="auto"/>
          <w:highlight w:val="none"/>
        </w:rPr>
      </w:pPr>
    </w:p>
    <w:p w14:paraId="2F41A7EA">
      <w:pPr>
        <w:spacing w:before="312" w:beforeLines="100" w:after="312" w:afterLines="100"/>
        <w:jc w:val="center"/>
        <w:rPr>
          <w:rFonts w:hint="eastAsia" w:ascii="宋体" w:hAnsi="宋体" w:cs="宋体"/>
          <w:b/>
          <w:color w:val="auto"/>
          <w:sz w:val="44"/>
          <w:highlight w:val="none"/>
        </w:rPr>
      </w:pPr>
    </w:p>
    <w:p w14:paraId="7E4945F2">
      <w:pPr>
        <w:spacing w:line="360" w:lineRule="auto"/>
        <w:jc w:val="center"/>
        <w:rPr>
          <w:rFonts w:hint="eastAsia" w:ascii="宋体" w:hAnsi="宋体" w:cs="宋体"/>
          <w:b/>
          <w:color w:val="auto"/>
          <w:sz w:val="44"/>
          <w:highlight w:val="none"/>
        </w:rPr>
      </w:pPr>
    </w:p>
    <w:p w14:paraId="0EA88B60">
      <w:pPr>
        <w:spacing w:line="360" w:lineRule="auto"/>
        <w:jc w:val="center"/>
        <w:rPr>
          <w:rFonts w:hint="eastAsia" w:ascii="宋体" w:hAnsi="宋体" w:cs="宋体"/>
          <w:b/>
          <w:color w:val="auto"/>
          <w:sz w:val="44"/>
          <w:highlight w:val="none"/>
        </w:rPr>
      </w:pPr>
    </w:p>
    <w:p w14:paraId="4B24D288">
      <w:pPr>
        <w:spacing w:line="360" w:lineRule="auto"/>
        <w:jc w:val="center"/>
        <w:rPr>
          <w:rFonts w:hint="eastAsia" w:ascii="宋体" w:hAnsi="宋体" w:cs="宋体"/>
          <w:b/>
          <w:color w:val="auto"/>
          <w:sz w:val="44"/>
          <w:highlight w:val="none"/>
        </w:rPr>
      </w:pPr>
    </w:p>
    <w:p w14:paraId="6BA423C6">
      <w:pPr>
        <w:spacing w:line="360" w:lineRule="auto"/>
        <w:jc w:val="center"/>
        <w:rPr>
          <w:rFonts w:hint="eastAsia" w:ascii="宋体" w:hAnsi="宋体" w:cs="宋体"/>
          <w:b/>
          <w:color w:val="auto"/>
          <w:sz w:val="44"/>
          <w:highlight w:val="none"/>
        </w:rPr>
      </w:pPr>
    </w:p>
    <w:p w14:paraId="60628F69">
      <w:pPr>
        <w:spacing w:line="360" w:lineRule="auto"/>
        <w:jc w:val="center"/>
        <w:rPr>
          <w:rFonts w:hint="eastAsia" w:ascii="宋体" w:hAnsi="宋体" w:cs="宋体"/>
          <w:b/>
          <w:color w:val="auto"/>
          <w:sz w:val="44"/>
          <w:highlight w:val="none"/>
        </w:rPr>
      </w:pPr>
    </w:p>
    <w:p w14:paraId="277249EB">
      <w:pPr>
        <w:spacing w:line="360" w:lineRule="auto"/>
        <w:jc w:val="center"/>
        <w:rPr>
          <w:rFonts w:hint="eastAsia" w:ascii="宋体" w:hAnsi="宋体" w:cs="宋体"/>
          <w:b/>
          <w:color w:val="auto"/>
          <w:sz w:val="44"/>
          <w:highlight w:val="none"/>
        </w:rPr>
      </w:pPr>
    </w:p>
    <w:p w14:paraId="211B2DA9">
      <w:pPr>
        <w:spacing w:line="360" w:lineRule="auto"/>
        <w:jc w:val="center"/>
        <w:rPr>
          <w:rFonts w:hint="eastAsia" w:ascii="宋体" w:hAnsi="宋体" w:cs="宋体"/>
          <w:b/>
          <w:color w:val="auto"/>
          <w:sz w:val="44"/>
          <w:highlight w:val="none"/>
        </w:rPr>
      </w:pPr>
    </w:p>
    <w:p w14:paraId="24B83431">
      <w:pPr>
        <w:jc w:val="center"/>
        <w:outlineLvl w:val="0"/>
        <w:rPr>
          <w:rFonts w:hint="eastAsia" w:ascii="宋体" w:hAnsi="宋体" w:cs="宋体"/>
          <w:b/>
          <w:color w:val="auto"/>
          <w:sz w:val="44"/>
          <w:szCs w:val="44"/>
          <w:highlight w:val="none"/>
        </w:rPr>
      </w:pPr>
      <w:bookmarkStart w:id="4" w:name="_Toc12054"/>
      <w:r>
        <w:rPr>
          <w:rFonts w:hint="eastAsia" w:ascii="宋体" w:hAnsi="宋体" w:cs="宋体"/>
          <w:b/>
          <w:color w:val="auto"/>
          <w:sz w:val="44"/>
          <w:szCs w:val="44"/>
          <w:highlight w:val="none"/>
        </w:rPr>
        <w:t>第一章</w:t>
      </w:r>
      <w:bookmarkStart w:id="5" w:name="_Toc477186208"/>
      <w:r>
        <w:rPr>
          <w:rFonts w:hint="eastAsia" w:ascii="宋体" w:hAnsi="宋体" w:cs="宋体"/>
          <w:b/>
          <w:color w:val="auto"/>
          <w:sz w:val="44"/>
          <w:szCs w:val="44"/>
          <w:highlight w:val="none"/>
        </w:rPr>
        <w:t xml:space="preserve">  投标邀请函</w:t>
      </w:r>
      <w:bookmarkEnd w:id="4"/>
      <w:bookmarkEnd w:id="5"/>
    </w:p>
    <w:p w14:paraId="4E4B56FD">
      <w:pPr>
        <w:tabs>
          <w:tab w:val="left" w:pos="6420"/>
        </w:tabs>
        <w:adjustRightInd w:val="0"/>
        <w:snapToGrid w:val="0"/>
        <w:spacing w:line="360" w:lineRule="auto"/>
        <w:jc w:val="center"/>
        <w:rPr>
          <w:rFonts w:hint="eastAsia" w:ascii="宋体" w:hAnsi="宋体" w:cs="宋体"/>
          <w:b/>
          <w:color w:val="auto"/>
          <w:kern w:val="28"/>
          <w:sz w:val="32"/>
          <w:highlight w:val="none"/>
        </w:rPr>
      </w:pPr>
      <w:r>
        <w:rPr>
          <w:rFonts w:hint="eastAsia" w:ascii="宋体" w:hAnsi="宋体" w:cs="宋体"/>
          <w:color w:val="auto"/>
          <w:sz w:val="24"/>
          <w:highlight w:val="none"/>
        </w:rPr>
        <w:br w:type="page"/>
      </w:r>
      <w:r>
        <w:rPr>
          <w:rFonts w:hint="eastAsia" w:ascii="宋体" w:hAnsi="宋体" w:cs="宋体"/>
          <w:b/>
          <w:color w:val="auto"/>
          <w:kern w:val="28"/>
          <w:sz w:val="32"/>
          <w:highlight w:val="none"/>
        </w:rPr>
        <w:t>投 标 邀 请 函</w:t>
      </w:r>
    </w:p>
    <w:p w14:paraId="165CAD23">
      <w:pPr>
        <w:spacing w:line="360" w:lineRule="auto"/>
        <w:jc w:val="center"/>
        <w:rPr>
          <w:rFonts w:hint="eastAsia" w:ascii="宋体" w:hAnsi="宋体" w:cs="宋体"/>
          <w:color w:val="auto"/>
          <w:szCs w:val="24"/>
          <w:highlight w:val="none"/>
        </w:rPr>
      </w:pPr>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M4400000707540509</w:t>
      </w:r>
      <w:r>
        <w:rPr>
          <w:rFonts w:hint="eastAsia" w:ascii="宋体" w:hAnsi="宋体" w:cs="宋体"/>
          <w:color w:val="auto"/>
          <w:szCs w:val="24"/>
          <w:highlight w:val="none"/>
        </w:rPr>
        <w:t>]</w:t>
      </w:r>
    </w:p>
    <w:p w14:paraId="65DE3743">
      <w:pPr>
        <w:spacing w:line="360" w:lineRule="auto"/>
        <w:ind w:left="-359" w:leftChars="-171" w:firstLine="464" w:firstLineChars="220"/>
        <w:rPr>
          <w:rFonts w:hint="eastAsia" w:ascii="宋体" w:hAnsi="宋体" w:cs="宋体"/>
          <w:b/>
          <w:color w:val="auto"/>
          <w:kern w:val="28"/>
          <w:sz w:val="32"/>
          <w:highlight w:val="none"/>
        </w:rPr>
      </w:pPr>
      <w:r>
        <w:rPr>
          <w:rFonts w:hint="eastAsia" w:ascii="宋体" w:hAnsi="宋体" w:cs="宋体"/>
          <w:b/>
          <w:color w:val="auto"/>
          <w:kern w:val="28"/>
          <w:highlight w:val="none"/>
        </w:rPr>
        <w:t>广东省机电设备招标有限公司</w:t>
      </w:r>
      <w:r>
        <w:rPr>
          <w:rFonts w:hint="eastAsia" w:ascii="宋体" w:hAnsi="宋体" w:cs="宋体"/>
          <w:color w:val="auto"/>
          <w:kern w:val="28"/>
          <w:highlight w:val="none"/>
        </w:rPr>
        <w:t>（以下称“招标代理机构”）受</w:t>
      </w:r>
      <w:r>
        <w:rPr>
          <w:rFonts w:hint="eastAsia" w:ascii="宋体" w:hAnsi="宋体" w:cs="宋体"/>
          <w:b/>
          <w:bCs/>
          <w:color w:val="auto"/>
          <w:highlight w:val="none"/>
          <w:lang w:eastAsia="zh-CN"/>
        </w:rPr>
        <w:t>广东南都娱乐传媒有限公司</w:t>
      </w:r>
      <w:r>
        <w:rPr>
          <w:rFonts w:hint="eastAsia" w:ascii="宋体" w:hAnsi="宋体" w:cs="宋体"/>
          <w:color w:val="auto"/>
          <w:kern w:val="28"/>
          <w:highlight w:val="none"/>
        </w:rPr>
        <w:t>（以下称“招标人”）的委托，就</w:t>
      </w:r>
      <w:r>
        <w:rPr>
          <w:rFonts w:hint="eastAsia" w:ascii="宋体" w:hAnsi="宋体" w:cs="宋体"/>
          <w:b/>
          <w:bCs/>
          <w:color w:val="auto"/>
          <w:highlight w:val="none"/>
          <w:lang w:eastAsia="zh-CN"/>
        </w:rPr>
        <w:t>大型文化艺术活动执行服务保障与品牌影响力提升全媒体宣传推广服务（第二次）</w:t>
      </w:r>
      <w:r>
        <w:rPr>
          <w:rFonts w:hint="eastAsia" w:ascii="宋体" w:hAnsi="宋体" w:cs="宋体"/>
          <w:color w:val="auto"/>
          <w:kern w:val="28"/>
          <w:highlight w:val="none"/>
        </w:rPr>
        <w:t>进行国内公开招标。</w:t>
      </w:r>
      <w:r>
        <w:rPr>
          <w:rFonts w:hint="eastAsia" w:ascii="宋体" w:hAnsi="宋体" w:cs="宋体"/>
          <w:color w:val="auto"/>
          <w:highlight w:val="none"/>
        </w:rPr>
        <w:t xml:space="preserve">有关事项如下： </w:t>
      </w:r>
    </w:p>
    <w:p w14:paraId="7F8734C9">
      <w:pPr>
        <w:tabs>
          <w:tab w:val="left" w:pos="0"/>
        </w:tabs>
        <w:spacing w:line="360" w:lineRule="auto"/>
        <w:outlineLvl w:val="0"/>
        <w:rPr>
          <w:rFonts w:hint="eastAsia" w:ascii="宋体" w:hAnsi="宋体" w:cs="宋体"/>
          <w:b/>
          <w:color w:val="auto"/>
          <w:highlight w:val="none"/>
        </w:rPr>
      </w:pPr>
      <w:bookmarkStart w:id="6" w:name="_Toc19867"/>
      <w:bookmarkStart w:id="7" w:name="_Toc477186209"/>
      <w:bookmarkStart w:id="8" w:name="_Toc476177325"/>
      <w:bookmarkStart w:id="9" w:name="_Toc477185848"/>
      <w:bookmarkStart w:id="10" w:name="_Toc476177879"/>
      <w:r>
        <w:rPr>
          <w:rFonts w:hint="eastAsia" w:ascii="宋体" w:hAnsi="宋体" w:cs="宋体"/>
          <w:b/>
          <w:color w:val="auto"/>
          <w:highlight w:val="none"/>
        </w:rPr>
        <w:t>一、项目概况</w:t>
      </w:r>
      <w:bookmarkEnd w:id="6"/>
      <w:bookmarkEnd w:id="7"/>
      <w:bookmarkEnd w:id="8"/>
      <w:bookmarkEnd w:id="9"/>
      <w:bookmarkEnd w:id="10"/>
    </w:p>
    <w:p w14:paraId="710DBE02">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M4400000707540509</w:t>
      </w:r>
    </w:p>
    <w:p w14:paraId="545F148E">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项目名称：</w:t>
      </w:r>
      <w:r>
        <w:rPr>
          <w:rFonts w:hint="eastAsia" w:ascii="宋体" w:hAnsi="宋体" w:cs="宋体"/>
          <w:b/>
          <w:color w:val="auto"/>
          <w:szCs w:val="21"/>
          <w:highlight w:val="none"/>
          <w:lang w:eastAsia="zh-CN"/>
        </w:rPr>
        <w:t>大型文化艺术活动执行服务保障与品牌影响力提升全媒体宣传推广服务（第二次）</w:t>
      </w:r>
      <w:r>
        <w:rPr>
          <w:rFonts w:hint="eastAsia" w:ascii="宋体" w:hAnsi="宋体" w:cs="宋体"/>
          <w:b/>
          <w:color w:val="auto"/>
          <w:szCs w:val="21"/>
          <w:highlight w:val="none"/>
        </w:rPr>
        <w:t>。</w:t>
      </w:r>
    </w:p>
    <w:p w14:paraId="34D5830D">
      <w:pPr>
        <w:tabs>
          <w:tab w:val="left" w:pos="540"/>
        </w:tabs>
        <w:spacing w:line="360" w:lineRule="auto"/>
        <w:outlineLvl w:val="0"/>
        <w:rPr>
          <w:rFonts w:hint="eastAsia" w:ascii="宋体" w:hAnsi="宋体" w:cs="宋体"/>
          <w:color w:val="auto"/>
          <w:szCs w:val="21"/>
          <w:highlight w:val="none"/>
          <w:lang w:val="en-US" w:eastAsia="zh-CN"/>
        </w:rPr>
      </w:pPr>
      <w:bookmarkStart w:id="11" w:name="_Toc17501"/>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最高限价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含税</w:t>
      </w:r>
      <w:r>
        <w:rPr>
          <w:rFonts w:hint="eastAsia" w:ascii="宋体" w:hAnsi="宋体" w:cs="宋体"/>
          <w:color w:val="auto"/>
          <w:szCs w:val="21"/>
          <w:highlight w:val="none"/>
          <w:lang w:eastAsia="zh-CN"/>
        </w:rPr>
        <w:t>）：</w:t>
      </w:r>
      <w:r>
        <w:rPr>
          <w:rFonts w:hint="eastAsia" w:ascii="宋体" w:hAnsi="宋体" w:eastAsia="宋体" w:cs="宋体"/>
          <w:color w:val="auto"/>
          <w:szCs w:val="24"/>
          <w:lang w:val="en-US" w:eastAsia="zh-CN"/>
        </w:rPr>
        <w:t>子包</w:t>
      </w:r>
      <w:r>
        <w:rPr>
          <w:rFonts w:hint="eastAsia" w:ascii="宋体" w:hAnsi="宋体" w:cs="宋体"/>
          <w:color w:val="auto"/>
          <w:szCs w:val="24"/>
          <w:lang w:val="en-US" w:eastAsia="zh-CN"/>
        </w:rPr>
        <w:t>四</w:t>
      </w:r>
      <w:r>
        <w:rPr>
          <w:rFonts w:hint="eastAsia" w:ascii="宋体" w:hAnsi="宋体" w:eastAsia="宋体" w:cs="宋体"/>
          <w:color w:val="auto"/>
          <w:szCs w:val="24"/>
          <w:lang w:val="en-US" w:eastAsia="zh-CN"/>
        </w:rPr>
        <w:t>：</w:t>
      </w:r>
      <w:r>
        <w:rPr>
          <w:rFonts w:hint="eastAsia" w:ascii="宋体" w:hAnsi="宋体" w:cs="宋体"/>
          <w:color w:val="auto"/>
          <w:szCs w:val="24"/>
          <w:lang w:val="en-US" w:eastAsia="zh-CN"/>
        </w:rPr>
        <w:t>宣传片广告拍摄、宣传册印刷及活动执行综合保障服务</w:t>
      </w:r>
      <w:r>
        <w:rPr>
          <w:rFonts w:hint="eastAsia" w:ascii="宋体" w:hAnsi="宋体" w:cs="宋体"/>
          <w:color w:val="auto"/>
          <w:szCs w:val="21"/>
          <w:highlight w:val="none"/>
        </w:rPr>
        <w:t>最高限价</w:t>
      </w:r>
      <w:r>
        <w:rPr>
          <w:rFonts w:hint="eastAsia" w:ascii="宋体" w:hAnsi="宋体" w:cs="宋体"/>
          <w:color w:val="auto"/>
          <w:szCs w:val="24"/>
          <w:lang w:val="en-US" w:eastAsia="zh-CN"/>
        </w:rPr>
        <w:t>：</w:t>
      </w:r>
      <w:r>
        <w:rPr>
          <w:rFonts w:hint="eastAsia" w:ascii="宋体" w:hAnsi="宋体" w:cs="宋体"/>
          <w:color w:val="auto"/>
          <w:szCs w:val="21"/>
          <w:highlight w:val="none"/>
          <w:lang w:val="en-US" w:eastAsia="zh-CN"/>
        </w:rPr>
        <w:t>人民币35万</w:t>
      </w:r>
      <w:r>
        <w:rPr>
          <w:rFonts w:hint="eastAsia" w:ascii="宋体" w:hAnsi="宋体" w:cs="宋体"/>
          <w:color w:val="auto"/>
          <w:sz w:val="21"/>
          <w:szCs w:val="21"/>
          <w:highlight w:val="none"/>
          <w:u w:val="none"/>
          <w:lang w:val="en-US" w:eastAsia="zh-CN"/>
        </w:rPr>
        <w:t>元。</w:t>
      </w:r>
    </w:p>
    <w:p w14:paraId="5BA6C867">
      <w:pPr>
        <w:tabs>
          <w:tab w:val="left" w:pos="540"/>
        </w:tabs>
        <w:spacing w:line="360" w:lineRule="auto"/>
        <w:outlineLvl w:val="0"/>
        <w:rPr>
          <w:rFonts w:hint="eastAsia" w:ascii="宋体" w:hAnsi="宋体" w:cs="宋体"/>
          <w:b/>
          <w:color w:val="auto"/>
          <w:highlight w:val="none"/>
        </w:rPr>
      </w:pPr>
      <w:r>
        <w:rPr>
          <w:rFonts w:hint="eastAsia" w:ascii="宋体" w:hAnsi="宋体" w:cs="宋体"/>
          <w:b/>
          <w:color w:val="auto"/>
          <w:highlight w:val="none"/>
          <w:lang w:val="zh-CN"/>
        </w:rPr>
        <w:t>注：</w:t>
      </w:r>
      <w:r>
        <w:rPr>
          <w:rFonts w:hint="eastAsia" w:ascii="宋体" w:hAnsi="宋体" w:cs="宋体"/>
          <w:b/>
          <w:color w:val="auto"/>
          <w:highlight w:val="none"/>
        </w:rPr>
        <w:t>如投标报价超过最高限价，则其投标文件作无效投标处理。</w:t>
      </w:r>
      <w:bookmarkEnd w:id="11"/>
    </w:p>
    <w:p w14:paraId="57E2B5B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项目内容及要求：</w:t>
      </w:r>
    </w:p>
    <w:tbl>
      <w:tblPr>
        <w:tblStyle w:val="2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3716"/>
        <w:gridCol w:w="1619"/>
        <w:gridCol w:w="2009"/>
        <w:gridCol w:w="1081"/>
      </w:tblGrid>
      <w:tr w14:paraId="5C4F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60" w:type="pct"/>
            <w:noWrap w:val="0"/>
            <w:vAlign w:val="center"/>
          </w:tcPr>
          <w:p w14:paraId="0B189498">
            <w:pPr>
              <w:spacing w:line="360" w:lineRule="auto"/>
              <w:jc w:val="center"/>
              <w:rPr>
                <w:rFonts w:hint="eastAsia" w:ascii="宋体" w:hAnsi="宋体" w:cs="宋体"/>
                <w:color w:val="auto"/>
                <w:szCs w:val="21"/>
                <w:highlight w:val="none"/>
              </w:rPr>
            </w:pPr>
            <w:bookmarkStart w:id="12" w:name="_Toc477185849"/>
            <w:bookmarkStart w:id="13" w:name="_Toc477186210"/>
            <w:bookmarkStart w:id="14" w:name="_Toc476177326"/>
            <w:bookmarkStart w:id="15" w:name="_Toc476177880"/>
            <w:r>
              <w:rPr>
                <w:rFonts w:hint="eastAsia" w:ascii="宋体" w:hAnsi="宋体" w:cs="宋体"/>
                <w:color w:val="auto"/>
                <w:szCs w:val="21"/>
                <w:highlight w:val="none"/>
              </w:rPr>
              <w:t>序号</w:t>
            </w:r>
          </w:p>
        </w:tc>
        <w:tc>
          <w:tcPr>
            <w:tcW w:w="2001" w:type="pct"/>
            <w:noWrap w:val="0"/>
            <w:vAlign w:val="center"/>
          </w:tcPr>
          <w:p w14:paraId="0D798E5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采购内容/用途</w:t>
            </w:r>
          </w:p>
        </w:tc>
        <w:tc>
          <w:tcPr>
            <w:tcW w:w="872" w:type="pct"/>
            <w:noWrap w:val="0"/>
            <w:vAlign w:val="center"/>
          </w:tcPr>
          <w:p w14:paraId="67369FA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详细要求</w:t>
            </w:r>
          </w:p>
        </w:tc>
        <w:tc>
          <w:tcPr>
            <w:tcW w:w="1082" w:type="pct"/>
            <w:noWrap w:val="0"/>
            <w:vAlign w:val="center"/>
          </w:tcPr>
          <w:p w14:paraId="0195F43D">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最高限价（万元）</w:t>
            </w:r>
          </w:p>
        </w:tc>
        <w:tc>
          <w:tcPr>
            <w:tcW w:w="582" w:type="pct"/>
            <w:noWrap w:val="0"/>
            <w:vAlign w:val="center"/>
          </w:tcPr>
          <w:p w14:paraId="35E22406">
            <w:pPr>
              <w:spacing w:line="36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数量</w:t>
            </w:r>
          </w:p>
        </w:tc>
      </w:tr>
      <w:tr w14:paraId="0D05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pct"/>
            <w:noWrap w:val="0"/>
            <w:vAlign w:val="center"/>
          </w:tcPr>
          <w:p w14:paraId="3CD04FA4">
            <w:pPr>
              <w:spacing w:line="360" w:lineRule="auto"/>
              <w:jc w:val="center"/>
              <w:rPr>
                <w:rFonts w:hint="default" w:ascii="宋体" w:hAnsi="宋体" w:eastAsia="宋体" w:cs="宋体"/>
                <w:color w:val="auto"/>
                <w:szCs w:val="24"/>
                <w:lang w:val="en-US" w:eastAsia="zh-CN"/>
              </w:rPr>
            </w:pPr>
            <w:bookmarkStart w:id="16" w:name="_Toc22610"/>
            <w:r>
              <w:rPr>
                <w:rFonts w:hint="eastAsia" w:ascii="宋体" w:hAnsi="宋体" w:cs="宋体"/>
                <w:color w:val="auto"/>
                <w:szCs w:val="24"/>
                <w:lang w:val="en-US" w:eastAsia="zh-CN"/>
              </w:rPr>
              <w:t>子包四</w:t>
            </w:r>
          </w:p>
        </w:tc>
        <w:tc>
          <w:tcPr>
            <w:tcW w:w="2001" w:type="pct"/>
            <w:shd w:val="clear" w:color="auto" w:fill="auto"/>
            <w:noWrap w:val="0"/>
            <w:vAlign w:val="center"/>
          </w:tcPr>
          <w:p w14:paraId="48ADC188">
            <w:pPr>
              <w:spacing w:line="360" w:lineRule="auto"/>
              <w:jc w:val="center"/>
              <w:rPr>
                <w:rFonts w:hint="eastAsia" w:ascii="宋体" w:hAnsi="宋体" w:cs="宋体"/>
                <w:color w:val="auto"/>
                <w:szCs w:val="24"/>
                <w:lang w:val="en-US" w:eastAsia="zh-CN"/>
              </w:rPr>
            </w:pPr>
            <w:r>
              <w:rPr>
                <w:rFonts w:hint="eastAsia" w:ascii="宋体" w:hAnsi="宋体" w:cs="宋体"/>
                <w:color w:val="auto"/>
                <w:szCs w:val="24"/>
                <w:lang w:val="en-US" w:eastAsia="zh-CN"/>
              </w:rPr>
              <w:t>宣传片广告拍摄、宣传册印刷及活动执行综合保障服务</w:t>
            </w:r>
          </w:p>
        </w:tc>
        <w:tc>
          <w:tcPr>
            <w:tcW w:w="872" w:type="pct"/>
            <w:noWrap w:val="0"/>
            <w:vAlign w:val="center"/>
          </w:tcPr>
          <w:p w14:paraId="44BEAE3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详见用户需求</w:t>
            </w:r>
          </w:p>
        </w:tc>
        <w:tc>
          <w:tcPr>
            <w:tcW w:w="1082" w:type="pct"/>
            <w:noWrap w:val="0"/>
            <w:vAlign w:val="center"/>
          </w:tcPr>
          <w:p w14:paraId="36B56F45">
            <w:pPr>
              <w:spacing w:line="36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35</w:t>
            </w:r>
          </w:p>
        </w:tc>
        <w:tc>
          <w:tcPr>
            <w:tcW w:w="582" w:type="pct"/>
            <w:noWrap w:val="0"/>
            <w:vAlign w:val="center"/>
          </w:tcPr>
          <w:p w14:paraId="3858FC4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r>
      <w:bookmarkEnd w:id="16"/>
    </w:tbl>
    <w:p w14:paraId="0817FE47">
      <w:pPr>
        <w:tabs>
          <w:tab w:val="left" w:pos="540"/>
        </w:tabs>
        <w:spacing w:line="360" w:lineRule="auto"/>
        <w:outlineLvl w:val="0"/>
        <w:rPr>
          <w:rFonts w:hint="eastAsia" w:ascii="宋体" w:hAnsi="宋体" w:cs="宋体"/>
          <w:b/>
          <w:color w:val="auto"/>
          <w:highlight w:val="none"/>
          <w:lang w:val="zh-CN"/>
        </w:rPr>
      </w:pPr>
      <w:bookmarkStart w:id="17" w:name="_Toc9782"/>
    </w:p>
    <w:p w14:paraId="10C9A263">
      <w:pPr>
        <w:tabs>
          <w:tab w:val="left" w:pos="540"/>
        </w:tabs>
        <w:spacing w:line="360" w:lineRule="auto"/>
        <w:outlineLvl w:val="0"/>
        <w:rPr>
          <w:rFonts w:hint="eastAsia" w:ascii="宋体" w:hAnsi="宋体" w:cs="宋体"/>
          <w:b/>
          <w:color w:val="auto"/>
          <w:highlight w:val="none"/>
        </w:rPr>
      </w:pPr>
      <w:r>
        <w:rPr>
          <w:rFonts w:hint="eastAsia" w:ascii="宋体" w:hAnsi="宋体" w:cs="宋体"/>
          <w:b/>
          <w:color w:val="auto"/>
          <w:highlight w:val="none"/>
        </w:rPr>
        <w:t>二、合格投标人资格条件</w:t>
      </w:r>
      <w:bookmarkEnd w:id="12"/>
      <w:bookmarkEnd w:id="13"/>
      <w:bookmarkEnd w:id="14"/>
      <w:bookmarkEnd w:id="15"/>
      <w:bookmarkEnd w:id="17"/>
    </w:p>
    <w:p w14:paraId="0B5A4D06">
      <w:pPr>
        <w:spacing w:line="360" w:lineRule="auto"/>
        <w:ind w:left="-359" w:leftChars="-171" w:firstLine="462" w:firstLineChars="220"/>
        <w:rPr>
          <w:rFonts w:hint="eastAsia" w:ascii="宋体" w:hAnsi="宋体" w:cs="宋体"/>
          <w:bCs/>
          <w:color w:val="auto"/>
          <w:kern w:val="28"/>
          <w:szCs w:val="22"/>
        </w:rPr>
      </w:pPr>
      <w:bookmarkStart w:id="18" w:name="_Toc476177327"/>
      <w:bookmarkStart w:id="19" w:name="_Toc476177881"/>
      <w:bookmarkStart w:id="20" w:name="_Toc477185850"/>
      <w:bookmarkStart w:id="21" w:name="_Toc477186211"/>
      <w:r>
        <w:rPr>
          <w:rFonts w:hint="eastAsia" w:ascii="宋体" w:hAnsi="宋体" w:cs="宋体"/>
          <w:bCs/>
          <w:color w:val="auto"/>
          <w:kern w:val="28"/>
          <w:szCs w:val="22"/>
        </w:rPr>
        <w:t>2.1、投标人具有独立承担民事责任能力的在中华人民共和国境内注册的法人或其他组织。（需提供营业执照复印件或事业法人登记证或合法注册证明文件复印件。</w:t>
      </w:r>
      <w:r>
        <w:rPr>
          <w:rFonts w:hint="eastAsia" w:ascii="宋体" w:hAnsi="宋体" w:eastAsia="宋体" w:cs="宋体"/>
          <w:i w:val="0"/>
          <w:iCs w:val="0"/>
          <w:caps w:val="0"/>
          <w:color w:val="auto"/>
          <w:spacing w:val="0"/>
          <w:sz w:val="21"/>
          <w:szCs w:val="21"/>
          <w:shd w:val="clear" w:fill="FFFFFF"/>
        </w:rPr>
        <w:t>（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5AD33229">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2.2、投标人具有良好的商业信誉和健全的财务制度：投标人提供202</w:t>
      </w:r>
      <w:r>
        <w:rPr>
          <w:rFonts w:hint="eastAsia" w:ascii="宋体" w:hAnsi="宋体" w:cs="宋体"/>
          <w:bCs/>
          <w:color w:val="auto"/>
          <w:kern w:val="28"/>
          <w:szCs w:val="22"/>
          <w:lang w:val="en-US" w:eastAsia="zh-CN"/>
        </w:rPr>
        <w:t>5</w:t>
      </w:r>
      <w:r>
        <w:rPr>
          <w:rFonts w:hint="eastAsia" w:ascii="宋体" w:hAnsi="宋体" w:cs="宋体"/>
          <w:bCs/>
          <w:color w:val="auto"/>
          <w:kern w:val="28"/>
          <w:szCs w:val="22"/>
        </w:rPr>
        <w:t>年度的财务状况报告（若202</w:t>
      </w:r>
      <w:r>
        <w:rPr>
          <w:rFonts w:hint="eastAsia" w:ascii="宋体" w:hAnsi="宋体" w:cs="宋体"/>
          <w:bCs/>
          <w:color w:val="auto"/>
          <w:kern w:val="28"/>
          <w:szCs w:val="22"/>
          <w:lang w:val="en-US" w:eastAsia="zh-CN"/>
        </w:rPr>
        <w:t>6</w:t>
      </w:r>
      <w:r>
        <w:rPr>
          <w:rFonts w:hint="eastAsia" w:ascii="宋体" w:hAnsi="宋体" w:cs="宋体"/>
          <w:bCs/>
          <w:color w:val="auto"/>
          <w:kern w:val="28"/>
          <w:szCs w:val="22"/>
        </w:rPr>
        <w:t>年新成立的，提供成立至今的月或季度财务状况报告复印件并加盖公章）或者基本户开户银行出具的资信证明复印件或提供资格声明函。</w:t>
      </w:r>
    </w:p>
    <w:p w14:paraId="6A2667A3">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2.3、投标人具有依法缴纳税收和社会保障资金的良好记录：投标人提供202</w:t>
      </w:r>
      <w:r>
        <w:rPr>
          <w:rFonts w:hint="eastAsia" w:ascii="宋体" w:hAnsi="宋体" w:cs="宋体"/>
          <w:bCs/>
          <w:color w:val="auto"/>
          <w:kern w:val="28"/>
          <w:szCs w:val="22"/>
          <w:lang w:val="en-US" w:eastAsia="zh-CN"/>
        </w:rPr>
        <w:t>6</w:t>
      </w:r>
      <w:r>
        <w:rPr>
          <w:rFonts w:hint="eastAsia" w:ascii="宋体" w:hAnsi="宋体" w:cs="宋体"/>
          <w:bCs/>
          <w:color w:val="auto"/>
          <w:kern w:val="28"/>
          <w:szCs w:val="22"/>
        </w:rPr>
        <w:t>年至今任意1个月缴纳税收和社会保障资金的相关材料或提供资格声明函。如依法免税或不需要缴纳社会保障资金的，提供相应证明材料。</w:t>
      </w:r>
    </w:p>
    <w:p w14:paraId="554321C7">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2.4、投标人具备</w:t>
      </w:r>
      <w:r>
        <w:rPr>
          <w:rFonts w:hint="eastAsia" w:ascii="宋体" w:hAnsi="宋体" w:cs="宋体"/>
          <w:bCs/>
          <w:color w:val="auto"/>
          <w:kern w:val="28"/>
          <w:szCs w:val="22"/>
          <w:lang w:val="zh-CN"/>
        </w:rPr>
        <w:t>履行合同所必需的设备和专业技术能力</w:t>
      </w:r>
      <w:r>
        <w:rPr>
          <w:rFonts w:hint="eastAsia" w:ascii="宋体" w:hAnsi="宋体" w:cs="宋体"/>
          <w:bCs/>
          <w:color w:val="auto"/>
          <w:kern w:val="28"/>
          <w:szCs w:val="22"/>
        </w:rPr>
        <w:t>（提供资格声明函）</w:t>
      </w:r>
      <w:r>
        <w:rPr>
          <w:rFonts w:hint="eastAsia" w:ascii="宋体" w:hAnsi="宋体" w:cs="宋体"/>
          <w:bCs/>
          <w:color w:val="auto"/>
          <w:kern w:val="28"/>
          <w:szCs w:val="22"/>
          <w:lang w:eastAsia="zh-CN"/>
        </w:rPr>
        <w:t>。</w:t>
      </w:r>
    </w:p>
    <w:p w14:paraId="4EDE26DC">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2.5、投标人为本项目提供整体设计、规范编制或者项目管理、 监理、 检测等服务的供应商不得参与本项目投标（提供资格声明函）</w:t>
      </w:r>
      <w:r>
        <w:rPr>
          <w:rFonts w:hint="eastAsia" w:ascii="宋体" w:hAnsi="宋体" w:cs="宋体"/>
          <w:bCs/>
          <w:color w:val="auto"/>
          <w:kern w:val="28"/>
          <w:szCs w:val="22"/>
          <w:lang w:eastAsia="zh-CN"/>
        </w:rPr>
        <w:t>。</w:t>
      </w:r>
    </w:p>
    <w:p w14:paraId="0546371C">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lang w:val="en-US" w:eastAsia="zh-CN"/>
        </w:rPr>
        <w:t>2.6、</w:t>
      </w:r>
      <w:r>
        <w:rPr>
          <w:rFonts w:hint="eastAsia" w:ascii="宋体" w:hAnsi="宋体" w:cs="宋体"/>
          <w:bCs/>
          <w:color w:val="auto"/>
          <w:kern w:val="28"/>
          <w:szCs w:val="22"/>
        </w:rPr>
        <w:t>单位负责人为同一人或者存在控股、管理等关联关系的不同投标人，不得参加同一合同项下的采购活动，投标人应提交书面声明（提供资格声明函）。</w:t>
      </w:r>
    </w:p>
    <w:p w14:paraId="38CC512D">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rPr>
        <w:t>2.</w:t>
      </w:r>
      <w:r>
        <w:rPr>
          <w:rFonts w:hint="eastAsia" w:ascii="宋体" w:hAnsi="宋体" w:cs="宋体"/>
          <w:bCs/>
          <w:color w:val="auto"/>
          <w:kern w:val="28"/>
          <w:szCs w:val="22"/>
          <w:lang w:val="en-US" w:eastAsia="zh-CN"/>
        </w:rPr>
        <w:t>7</w:t>
      </w:r>
      <w:r>
        <w:rPr>
          <w:rFonts w:hint="eastAsia" w:ascii="宋体" w:hAnsi="宋体" w:cs="宋体"/>
          <w:bCs/>
          <w:color w:val="auto"/>
          <w:kern w:val="28"/>
          <w:szCs w:val="22"/>
        </w:rPr>
        <w:t>、投标人参加采购活动前3年内，在经营活动中没有重大违法记录。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资格声明函）。</w:t>
      </w:r>
    </w:p>
    <w:p w14:paraId="48F879FD">
      <w:pPr>
        <w:spacing w:line="360" w:lineRule="auto"/>
        <w:ind w:left="-359" w:leftChars="-171" w:firstLine="462" w:firstLineChars="220"/>
        <w:rPr>
          <w:rFonts w:hint="eastAsia" w:ascii="宋体" w:hAnsi="宋体" w:eastAsia="宋体" w:cs="宋体"/>
          <w:bCs/>
          <w:color w:val="auto"/>
          <w:kern w:val="28"/>
          <w:szCs w:val="22"/>
          <w:lang w:eastAsia="zh-CN"/>
        </w:rPr>
      </w:pPr>
      <w:r>
        <w:rPr>
          <w:rFonts w:hint="eastAsia" w:ascii="宋体" w:hAnsi="宋体" w:cs="宋体"/>
          <w:bCs/>
          <w:color w:val="auto"/>
          <w:kern w:val="28"/>
          <w:szCs w:val="22"/>
        </w:rPr>
        <w:t>2.</w:t>
      </w:r>
      <w:r>
        <w:rPr>
          <w:rFonts w:hint="eastAsia" w:ascii="宋体" w:hAnsi="宋体" w:cs="宋体"/>
          <w:bCs/>
          <w:color w:val="auto"/>
          <w:kern w:val="28"/>
          <w:szCs w:val="22"/>
          <w:lang w:val="en-US" w:eastAsia="zh-CN"/>
        </w:rPr>
        <w:t>8</w:t>
      </w:r>
      <w:r>
        <w:rPr>
          <w:rFonts w:hint="eastAsia" w:ascii="宋体" w:hAnsi="宋体" w:cs="宋体"/>
          <w:bCs/>
          <w:color w:val="auto"/>
          <w:kern w:val="28"/>
          <w:szCs w:val="22"/>
          <w:lang w:eastAsia="zh-CN"/>
        </w:rPr>
        <w:t>、</w:t>
      </w:r>
      <w:r>
        <w:rPr>
          <w:rFonts w:hint="eastAsia" w:ascii="宋体" w:hAnsi="宋体" w:cs="宋体"/>
          <w:bCs/>
          <w:color w:val="auto"/>
          <w:kern w:val="28"/>
          <w:szCs w:val="22"/>
        </w:rPr>
        <w:t>投标人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以招标代理机构在本项目招标公告发布之日至提交投标文件截止之日期间在“信用中国”网站（www.creditchina.gov.cn）、中国政府采购网（http://www.ccgp.gov.cn/）及国家企业信用信息公示系统（https://www.gsxt.gov.cn/index.html）查询结果为准；处罚期限届满的除外。如“信用中国”网站查询结果显示“没有找到您搜索的企业”或“没有找到您搜索数据”，视为没有上述不良信用记录）。投标人存在不良信用记录的，其投标将被作为无效投标</w:t>
      </w:r>
      <w:r>
        <w:rPr>
          <w:rFonts w:hint="eastAsia" w:ascii="宋体" w:hAnsi="宋体" w:cs="宋体"/>
          <w:bCs/>
          <w:color w:val="auto"/>
          <w:kern w:val="28"/>
          <w:szCs w:val="22"/>
          <w:lang w:eastAsia="zh-CN"/>
        </w:rPr>
        <w:t>。</w:t>
      </w:r>
    </w:p>
    <w:p w14:paraId="5B950CF6">
      <w:pPr>
        <w:spacing w:line="360" w:lineRule="auto"/>
        <w:ind w:left="-359" w:leftChars="-171" w:firstLine="462" w:firstLineChars="220"/>
        <w:rPr>
          <w:rFonts w:hint="eastAsia" w:ascii="宋体" w:hAnsi="宋体" w:cs="宋体"/>
          <w:bCs/>
          <w:color w:val="auto"/>
          <w:kern w:val="28"/>
          <w:szCs w:val="22"/>
        </w:rPr>
      </w:pPr>
      <w:r>
        <w:rPr>
          <w:rFonts w:hint="eastAsia" w:ascii="宋体" w:hAnsi="宋体" w:cs="宋体"/>
          <w:bCs/>
          <w:color w:val="auto"/>
          <w:kern w:val="28"/>
          <w:szCs w:val="22"/>
          <w:lang w:val="en-US" w:eastAsia="zh-CN"/>
        </w:rPr>
        <w:t>2.9</w:t>
      </w:r>
      <w:r>
        <w:rPr>
          <w:rFonts w:hint="eastAsia" w:ascii="宋体" w:hAnsi="宋体" w:cs="宋体"/>
          <w:bCs/>
          <w:color w:val="auto"/>
          <w:kern w:val="28"/>
          <w:szCs w:val="22"/>
        </w:rPr>
        <w:t>、本项目不接受备选方案，不允许</w:t>
      </w:r>
      <w:r>
        <w:rPr>
          <w:rFonts w:hint="eastAsia" w:ascii="宋体" w:hAnsi="宋体" w:cs="宋体"/>
          <w:bCs/>
          <w:color w:val="auto"/>
          <w:kern w:val="28"/>
          <w:szCs w:val="22"/>
          <w:lang w:val="en-US" w:eastAsia="zh-CN"/>
        </w:rPr>
        <w:t>违法</w:t>
      </w:r>
      <w:r>
        <w:rPr>
          <w:rFonts w:hint="eastAsia" w:ascii="宋体" w:hAnsi="宋体" w:cs="宋体"/>
          <w:bCs/>
          <w:color w:val="auto"/>
          <w:kern w:val="28"/>
          <w:szCs w:val="22"/>
        </w:rPr>
        <w:t>分包或转包，不接受联合体投标。</w:t>
      </w:r>
    </w:p>
    <w:p w14:paraId="19654B6C">
      <w:pPr>
        <w:tabs>
          <w:tab w:val="left" w:pos="540"/>
        </w:tabs>
        <w:spacing w:line="360" w:lineRule="auto"/>
        <w:outlineLvl w:val="0"/>
        <w:rPr>
          <w:rFonts w:hint="eastAsia" w:ascii="宋体" w:hAnsi="宋体" w:cs="宋体"/>
          <w:b/>
          <w:color w:val="auto"/>
          <w:highlight w:val="none"/>
        </w:rPr>
      </w:pPr>
      <w:bookmarkStart w:id="22" w:name="_Toc2035"/>
      <w:r>
        <w:rPr>
          <w:rFonts w:hint="eastAsia" w:ascii="宋体" w:hAnsi="宋体" w:cs="宋体"/>
          <w:b/>
          <w:color w:val="auto"/>
          <w:highlight w:val="none"/>
        </w:rPr>
        <w:t>三、获取招标文件的</w:t>
      </w:r>
      <w:bookmarkEnd w:id="18"/>
      <w:bookmarkEnd w:id="19"/>
      <w:bookmarkEnd w:id="20"/>
      <w:bookmarkEnd w:id="21"/>
      <w:r>
        <w:rPr>
          <w:rFonts w:hint="eastAsia" w:ascii="宋体" w:hAnsi="宋体" w:cs="宋体"/>
          <w:b/>
          <w:color w:val="auto"/>
          <w:highlight w:val="none"/>
        </w:rPr>
        <w:t>方式</w:t>
      </w:r>
      <w:bookmarkEnd w:id="22"/>
    </w:p>
    <w:p w14:paraId="41B79ED2">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3.1</w:t>
      </w:r>
      <w:r>
        <w:rPr>
          <w:rFonts w:hint="eastAsia" w:ascii="宋体" w:hAnsi="宋体" w:cs="宋体"/>
          <w:bCs/>
          <w:color w:val="auto"/>
          <w:kern w:val="28"/>
          <w:szCs w:val="22"/>
          <w:highlight w:val="none"/>
          <w:lang w:eastAsia="zh-CN"/>
        </w:rPr>
        <w:t>、</w:t>
      </w:r>
      <w:r>
        <w:rPr>
          <w:rFonts w:hint="eastAsia" w:ascii="宋体" w:hAnsi="宋体" w:cs="宋体"/>
          <w:bCs/>
          <w:color w:val="auto"/>
          <w:kern w:val="28"/>
          <w:szCs w:val="22"/>
          <w:highlight w:val="none"/>
        </w:rPr>
        <w:t>符合资格的投标人应当在202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9</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20</w:t>
      </w:r>
      <w:r>
        <w:rPr>
          <w:rFonts w:hint="eastAsia" w:ascii="宋体" w:hAnsi="宋体" w:cs="宋体"/>
          <w:bCs/>
          <w:color w:val="auto"/>
          <w:kern w:val="28"/>
          <w:szCs w:val="22"/>
          <w:highlight w:val="none"/>
        </w:rPr>
        <w:t>日起至202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9</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28</w:t>
      </w:r>
      <w:r>
        <w:rPr>
          <w:rFonts w:hint="eastAsia" w:ascii="宋体" w:hAnsi="宋体" w:cs="宋体"/>
          <w:bCs/>
          <w:color w:val="auto"/>
          <w:kern w:val="28"/>
          <w:szCs w:val="22"/>
          <w:highlight w:val="none"/>
        </w:rPr>
        <w:t>日期间（9:00～12:00，14:00～17:30，法定节假日除外）按以下方式登记并获取招标文件。</w:t>
      </w:r>
    </w:p>
    <w:p w14:paraId="23C4F566">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color w:val="auto"/>
          <w:highlight w:val="none"/>
        </w:rPr>
        <w:t>本项目只接受网上登记，</w:t>
      </w:r>
      <w:r>
        <w:rPr>
          <w:rFonts w:hint="eastAsia" w:ascii="宋体" w:hAnsi="宋体" w:cs="宋体"/>
          <w:bCs/>
          <w:color w:val="auto"/>
          <w:szCs w:val="21"/>
          <w:highlight w:val="none"/>
        </w:rPr>
        <w:t>投标人首先访问广咨电子招投标交易平台网站（www.gzebid.cn）进行网上注册及项目在线登记。如投标人尚未注册，请根据网站指引进行办理，具体流程操作见网站“平台服务—办事指南—操作手册”的对应栏目。招标文件购买支持微信、支付宝两种方式，支付成功后我司会为您开具增值税普通电子发票，投标人可以登录系统选择对应项目下载电子发票（有关网上注册、在线登记及招标文件发票等事宜，请联系客服。热线电话：</w:t>
      </w:r>
      <w:r>
        <w:rPr>
          <w:rFonts w:hint="eastAsia" w:ascii="宋体" w:hAnsi="宋体" w:cs="宋体"/>
          <w:bCs/>
          <w:color w:val="auto"/>
          <w:szCs w:val="21"/>
          <w:highlight w:val="none"/>
          <w:lang w:eastAsia="zh-CN"/>
        </w:rPr>
        <w:t>400-9030-870</w:t>
      </w:r>
      <w:r>
        <w:rPr>
          <w:rFonts w:hint="eastAsia" w:ascii="宋体" w:hAnsi="宋体" w:cs="宋体"/>
          <w:bCs/>
          <w:color w:val="auto"/>
          <w:szCs w:val="21"/>
          <w:highlight w:val="none"/>
        </w:rPr>
        <w:t>，网站客服(QQ)：3151435402）。</w:t>
      </w:r>
    </w:p>
    <w:p w14:paraId="01758B61">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bCs/>
          <w:color w:val="auto"/>
          <w:szCs w:val="21"/>
          <w:highlight w:val="none"/>
        </w:rPr>
        <w:t>3.2</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平台服务费：</w:t>
      </w:r>
      <w:r>
        <w:rPr>
          <w:rFonts w:hint="eastAsia" w:ascii="宋体" w:hAnsi="宋体" w:cs="宋体"/>
          <w:bCs/>
          <w:color w:val="auto"/>
          <w:szCs w:val="21"/>
          <w:highlight w:val="none"/>
        </w:rPr>
        <w:t>人民币300元</w:t>
      </w:r>
      <w:r>
        <w:rPr>
          <w:rFonts w:hint="eastAsia" w:ascii="宋体" w:hAnsi="宋体" w:cs="宋体"/>
          <w:bCs/>
          <w:color w:val="auto"/>
          <w:szCs w:val="21"/>
          <w:highlight w:val="none"/>
          <w:lang w:val="en-US" w:eastAsia="zh-CN"/>
        </w:rPr>
        <w:t>/子包</w:t>
      </w:r>
      <w:r>
        <w:rPr>
          <w:rFonts w:hint="eastAsia" w:ascii="宋体" w:hAnsi="宋体" w:cs="宋体"/>
          <w:bCs/>
          <w:color w:val="auto"/>
          <w:szCs w:val="21"/>
          <w:highlight w:val="none"/>
        </w:rPr>
        <w:t>，售后不退。</w:t>
      </w:r>
    </w:p>
    <w:p w14:paraId="14CB7C52">
      <w:pPr>
        <w:spacing w:line="360" w:lineRule="auto"/>
        <w:ind w:left="-359" w:leftChars="-171" w:firstLine="462" w:firstLineChars="220"/>
        <w:rPr>
          <w:rFonts w:hint="eastAsia" w:ascii="宋体" w:hAnsi="宋体" w:cs="宋体"/>
          <w:color w:val="auto"/>
          <w:highlight w:val="none"/>
        </w:rPr>
      </w:pPr>
      <w:r>
        <w:rPr>
          <w:rFonts w:hint="eastAsia" w:ascii="宋体" w:hAnsi="宋体" w:cs="宋体"/>
          <w:bCs/>
          <w:color w:val="auto"/>
          <w:szCs w:val="21"/>
          <w:highlight w:val="none"/>
        </w:rPr>
        <w:t>3.3</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发布</w:t>
      </w:r>
      <w:r>
        <w:rPr>
          <w:rFonts w:hint="eastAsia" w:ascii="宋体" w:hAnsi="宋体" w:cs="宋体"/>
          <w:color w:val="auto"/>
          <w:highlight w:val="none"/>
        </w:rPr>
        <w:t>公告的媒介：本项目招标公告同时在中国招标投标公共服务平台、广咨电子招投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南方＋客户端、</w:t>
      </w:r>
      <w:r>
        <w:rPr>
          <w:rFonts w:hint="eastAsia" w:ascii="宋体" w:hAnsi="宋体" w:cs="宋体"/>
          <w:color w:val="auto"/>
          <w:highlight w:val="none"/>
        </w:rPr>
        <w:t>《南方日报》</w:t>
      </w:r>
      <w:r>
        <w:rPr>
          <w:rFonts w:hint="eastAsia" w:ascii="宋体" w:hAnsi="宋体" w:cs="宋体"/>
          <w:bCs/>
          <w:color w:val="auto"/>
          <w:kern w:val="28"/>
          <w:szCs w:val="22"/>
          <w:highlight w:val="none"/>
        </w:rPr>
        <w:t>发布。</w:t>
      </w:r>
    </w:p>
    <w:p w14:paraId="14C3E33F">
      <w:pPr>
        <w:tabs>
          <w:tab w:val="left" w:pos="540"/>
        </w:tabs>
        <w:spacing w:line="360" w:lineRule="auto"/>
        <w:outlineLvl w:val="0"/>
        <w:rPr>
          <w:rFonts w:hint="eastAsia" w:ascii="宋体" w:hAnsi="宋体" w:cs="宋体"/>
          <w:b/>
          <w:color w:val="auto"/>
          <w:highlight w:val="none"/>
        </w:rPr>
      </w:pPr>
      <w:bookmarkStart w:id="23" w:name="_Toc477185851"/>
      <w:bookmarkStart w:id="24" w:name="_Toc476177882"/>
      <w:bookmarkStart w:id="25" w:name="_Toc477186212"/>
      <w:bookmarkStart w:id="26" w:name="_Toc476177328"/>
      <w:bookmarkStart w:id="27" w:name="_Toc1650"/>
      <w:r>
        <w:rPr>
          <w:rFonts w:hint="eastAsia" w:ascii="宋体" w:hAnsi="宋体" w:cs="宋体"/>
          <w:b/>
          <w:color w:val="auto"/>
          <w:highlight w:val="none"/>
        </w:rPr>
        <w:t>四、投标文件的递交截止时间和递交地点</w:t>
      </w:r>
      <w:bookmarkEnd w:id="23"/>
      <w:bookmarkEnd w:id="24"/>
      <w:bookmarkEnd w:id="25"/>
      <w:bookmarkEnd w:id="26"/>
      <w:bookmarkEnd w:id="27"/>
    </w:p>
    <w:p w14:paraId="2C91BE1B">
      <w:pPr>
        <w:spacing w:line="360" w:lineRule="auto"/>
        <w:ind w:left="-359" w:leftChars="-171" w:firstLine="359" w:firstLineChars="171"/>
        <w:rPr>
          <w:rFonts w:hint="eastAsia" w:ascii="宋体" w:hAnsi="宋体" w:cs="宋体"/>
          <w:b/>
          <w:bCs/>
          <w:color w:val="auto"/>
          <w:szCs w:val="21"/>
          <w:highlight w:val="none"/>
        </w:rPr>
      </w:pPr>
      <w:bookmarkStart w:id="28" w:name="_Toc476177329"/>
      <w:bookmarkStart w:id="29" w:name="_Toc477186213"/>
      <w:bookmarkStart w:id="30" w:name="_Toc476177883"/>
      <w:bookmarkStart w:id="31" w:name="_Toc477185852"/>
      <w:r>
        <w:rPr>
          <w:rFonts w:hint="eastAsia" w:ascii="宋体" w:hAnsi="宋体" w:cs="宋体"/>
          <w:bCs/>
          <w:color w:val="auto"/>
          <w:kern w:val="28"/>
          <w:szCs w:val="22"/>
          <w:highlight w:val="none"/>
        </w:rPr>
        <w:t>4.1、递交投标文件截止时间：202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9</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30</w:t>
      </w:r>
      <w:r>
        <w:rPr>
          <w:rFonts w:hint="eastAsia" w:ascii="宋体" w:hAnsi="宋体" w:cs="宋体"/>
          <w:bCs/>
          <w:color w:val="auto"/>
          <w:kern w:val="28"/>
          <w:szCs w:val="22"/>
          <w:highlight w:val="none"/>
        </w:rPr>
        <w:t>日</w:t>
      </w:r>
      <w:r>
        <w:rPr>
          <w:rFonts w:hint="eastAsia" w:ascii="宋体" w:hAnsi="宋体" w:cs="宋体"/>
          <w:bCs/>
          <w:color w:val="auto"/>
          <w:kern w:val="28"/>
          <w:szCs w:val="22"/>
          <w:highlight w:val="none"/>
          <w:lang w:val="en-US" w:eastAsia="zh-CN"/>
        </w:rPr>
        <w:t>14</w:t>
      </w:r>
      <w:r>
        <w:rPr>
          <w:rFonts w:hint="eastAsia" w:ascii="宋体" w:hAnsi="宋体" w:cs="宋体"/>
          <w:bCs/>
          <w:color w:val="auto"/>
          <w:kern w:val="28"/>
          <w:szCs w:val="22"/>
          <w:highlight w:val="none"/>
        </w:rPr>
        <w:t>:30（北京时间）</w:t>
      </w:r>
      <w:r>
        <w:rPr>
          <w:rFonts w:hint="eastAsia" w:ascii="宋体" w:hAnsi="宋体" w:cs="宋体"/>
          <w:b/>
          <w:bCs/>
          <w:color w:val="auto"/>
          <w:szCs w:val="21"/>
          <w:highlight w:val="none"/>
        </w:rPr>
        <w:t>，迟于此时间递交的投标文件将被拒绝。</w:t>
      </w:r>
    </w:p>
    <w:p w14:paraId="7D1AA364">
      <w:pPr>
        <w:spacing w:line="360" w:lineRule="auto"/>
        <w:ind w:left="-359" w:leftChars="-171" w:firstLine="359" w:firstLineChars="171"/>
        <w:rPr>
          <w:rFonts w:hint="eastAsia" w:ascii="宋体" w:hAnsi="宋体" w:eastAsia="宋体" w:cs="宋体"/>
          <w:bCs/>
          <w:kern w:val="28"/>
          <w:szCs w:val="22"/>
          <w:highlight w:val="none"/>
        </w:rPr>
      </w:pPr>
      <w:r>
        <w:rPr>
          <w:rFonts w:hint="eastAsia" w:ascii="宋体" w:hAnsi="宋体" w:eastAsia="宋体" w:cs="宋体"/>
          <w:bCs/>
          <w:kern w:val="28"/>
          <w:szCs w:val="22"/>
          <w:highlight w:val="none"/>
        </w:rPr>
        <w:t>4.2、递交纸质投标文件地点</w:t>
      </w:r>
      <w:r>
        <w:rPr>
          <w:rFonts w:hint="eastAsia" w:ascii="宋体" w:hAnsi="宋体" w:eastAsia="宋体" w:cs="宋体"/>
          <w:bCs/>
          <w:kern w:val="28"/>
          <w:szCs w:val="22"/>
          <w:highlight w:val="none"/>
          <w:lang w:eastAsia="zh-CN"/>
        </w:rPr>
        <w:t>：</w:t>
      </w:r>
      <w:r>
        <w:rPr>
          <w:rFonts w:hint="eastAsia" w:ascii="宋体" w:hAnsi="宋体" w:eastAsia="宋体" w:cs="宋体"/>
          <w:bCs/>
          <w:kern w:val="28"/>
          <w:szCs w:val="22"/>
          <w:highlight w:val="none"/>
        </w:rPr>
        <w:t>广东省机电设备招标有限公司10楼会议室（地址：广州市环市中路316号金鹰大厦10楼）现场递交或邮寄（邮寄地点详见</w:t>
      </w:r>
      <w:r>
        <w:rPr>
          <w:rFonts w:hint="eastAsia" w:ascii="宋体" w:hAnsi="宋体" w:eastAsia="宋体" w:cs="宋体"/>
          <w:bCs/>
          <w:kern w:val="28"/>
          <w:szCs w:val="22"/>
          <w:highlight w:val="none"/>
          <w:lang w:val="en-US" w:eastAsia="zh-CN"/>
        </w:rPr>
        <w:t>招标</w:t>
      </w:r>
      <w:r>
        <w:rPr>
          <w:rFonts w:hint="eastAsia" w:ascii="宋体" w:hAnsi="宋体" w:eastAsia="宋体" w:cs="宋体"/>
          <w:bCs/>
          <w:kern w:val="28"/>
          <w:szCs w:val="22"/>
          <w:highlight w:val="none"/>
        </w:rPr>
        <w:t>文件）。</w:t>
      </w:r>
    </w:p>
    <w:p w14:paraId="2C25FA49">
      <w:pPr>
        <w:spacing w:line="360" w:lineRule="auto"/>
        <w:ind w:left="-359" w:leftChars="-171" w:firstLine="359" w:firstLineChars="171"/>
        <w:rPr>
          <w:rFonts w:hint="eastAsia" w:ascii="宋体" w:hAnsi="宋体" w:eastAsia="宋体" w:cs="宋体"/>
          <w:bCs/>
          <w:kern w:val="28"/>
          <w:szCs w:val="22"/>
          <w:highlight w:val="none"/>
        </w:rPr>
      </w:pPr>
      <w:r>
        <w:rPr>
          <w:rFonts w:hint="eastAsia" w:ascii="宋体" w:hAnsi="宋体" w:eastAsia="宋体" w:cs="宋体"/>
          <w:bCs/>
          <w:kern w:val="28"/>
          <w:szCs w:val="22"/>
          <w:highlight w:val="none"/>
          <w:lang w:val="en-US" w:eastAsia="zh-CN"/>
        </w:rPr>
        <w:t>4.3、</w:t>
      </w:r>
      <w:r>
        <w:rPr>
          <w:rFonts w:hint="eastAsia" w:ascii="宋体" w:hAnsi="宋体" w:eastAsia="宋体" w:cs="宋体"/>
          <w:bCs/>
          <w:kern w:val="28"/>
          <w:szCs w:val="22"/>
          <w:highlight w:val="none"/>
        </w:rPr>
        <w:t>递交电子投标文件地点：投标人应在截止时间前通过广咨电子招投标交易平台（网址：www.gzebid.cn）递交电子投标文件。逾期送达的投标文件，电子招标投标交易平台将予以拒收。</w:t>
      </w:r>
    </w:p>
    <w:p w14:paraId="1318F5AA">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注： 本项目为全流程电子招投标项目，投标人需于投标截止时间前在广咨电子招投标交易平台（网址：www.gzebid.cn）上传电子投标文件。</w:t>
      </w:r>
    </w:p>
    <w:p w14:paraId="036422F8">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电子投标文件上传流程：</w:t>
      </w:r>
    </w:p>
    <w:p w14:paraId="029B97E9">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1、潜在投标人制作完成投标文件，签字盖章后，扫描为PDF格式。</w:t>
      </w:r>
    </w:p>
    <w:p w14:paraId="0AA24F7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2、登录广咨电子招投标交易平台系统，进入项目在【在线报价】处上传已签字盖章PDF格式的投标文件。</w:t>
      </w:r>
    </w:p>
    <w:p w14:paraId="5ED7294D">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3、如PDF电子投标文件需使用电子章，可使用平台的在线签章功能。使用标信通APP移动CA对投标文件进行在线签章。</w:t>
      </w:r>
    </w:p>
    <w:p w14:paraId="716F1A4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4、在线填写报价明细与开标一览表。</w:t>
      </w:r>
    </w:p>
    <w:p w14:paraId="3EA17FE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5、确认报价。</w:t>
      </w:r>
    </w:p>
    <w:p w14:paraId="29EA1980">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本项目使用系统加密方式加密电子投标文件，供应商无需使用广咨国际数字化投标工具客户端。相关操作见网站“平台服务&gt;&gt;操作手册》广咨国际数字化采购咨询平台供应商操作手册”</w:t>
      </w:r>
    </w:p>
    <w:p w14:paraId="06CB8621">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由于本项目为电子标项目，若出现线上线下无法同步开标或解密异常或可能无法实现所有已按时递交投标文件的投标人均可顺利完成在线开标的情况或其他不可控的因素时，由招标代理机构另行通知线上开标时间或终止线上流程（直接以线下开评标为准），所有参与方免责。</w:t>
      </w:r>
    </w:p>
    <w:bookmarkEnd w:id="28"/>
    <w:bookmarkEnd w:id="29"/>
    <w:bookmarkEnd w:id="30"/>
    <w:bookmarkEnd w:id="31"/>
    <w:p w14:paraId="2CC6331B">
      <w:pPr>
        <w:tabs>
          <w:tab w:val="left" w:pos="540"/>
        </w:tabs>
        <w:spacing w:line="360" w:lineRule="auto"/>
        <w:outlineLvl w:val="0"/>
        <w:rPr>
          <w:rFonts w:hint="eastAsia" w:ascii="宋体" w:hAnsi="宋体" w:cs="宋体"/>
          <w:b/>
          <w:color w:val="auto"/>
          <w:highlight w:val="none"/>
        </w:rPr>
      </w:pPr>
      <w:bookmarkStart w:id="32" w:name="_Toc19972"/>
      <w:bookmarkStart w:id="33" w:name="_Toc477186214"/>
      <w:bookmarkStart w:id="34" w:name="_Toc476177330"/>
      <w:bookmarkStart w:id="35" w:name="_Toc477185853"/>
      <w:bookmarkStart w:id="36" w:name="_Toc476177884"/>
      <w:r>
        <w:rPr>
          <w:rFonts w:hint="eastAsia" w:ascii="宋体" w:hAnsi="宋体" w:cs="宋体"/>
          <w:b/>
          <w:color w:val="auto"/>
          <w:highlight w:val="none"/>
        </w:rPr>
        <w:t>五、兹定于下列时间和地点公开开标</w:t>
      </w:r>
      <w:bookmarkEnd w:id="32"/>
      <w:bookmarkEnd w:id="33"/>
      <w:bookmarkEnd w:id="34"/>
      <w:bookmarkEnd w:id="35"/>
      <w:bookmarkEnd w:id="36"/>
    </w:p>
    <w:p w14:paraId="07B03242">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5.1、投标截止时间和开标时间</w:t>
      </w:r>
      <w:r>
        <w:rPr>
          <w:rFonts w:hint="eastAsia" w:ascii="宋体" w:hAnsi="宋体" w:cs="宋体"/>
          <w:color w:val="auto"/>
          <w:szCs w:val="21"/>
          <w:highlight w:val="none"/>
          <w:lang w:eastAsia="zh-CN"/>
        </w:rPr>
        <w:t>：</w:t>
      </w:r>
      <w:r>
        <w:rPr>
          <w:rFonts w:hint="eastAsia" w:ascii="宋体" w:hAnsi="宋体" w:cs="宋体"/>
          <w:bCs/>
          <w:color w:val="auto"/>
          <w:kern w:val="28"/>
          <w:szCs w:val="22"/>
          <w:highlight w:val="none"/>
        </w:rPr>
        <w:t>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9</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30</w:t>
      </w:r>
      <w:r>
        <w:rPr>
          <w:rFonts w:hint="eastAsia" w:ascii="宋体" w:hAnsi="宋体" w:cs="宋体"/>
          <w:bCs/>
          <w:color w:val="auto"/>
          <w:kern w:val="28"/>
          <w:szCs w:val="22"/>
          <w:highlight w:val="none"/>
        </w:rPr>
        <w:t>日</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:30（北京时间）</w:t>
      </w:r>
    </w:p>
    <w:p w14:paraId="242467AA">
      <w:pPr>
        <w:spacing w:line="360" w:lineRule="auto"/>
        <w:ind w:left="-359" w:leftChars="-171" w:firstLine="359" w:firstLineChars="171"/>
        <w:rPr>
          <w:rFonts w:hint="eastAsia" w:ascii="宋体" w:hAnsi="宋体" w:cs="宋体"/>
          <w:bCs/>
          <w:color w:val="auto"/>
          <w:kern w:val="28"/>
          <w:szCs w:val="22"/>
          <w:highlight w:val="none"/>
        </w:rPr>
      </w:pPr>
      <w:r>
        <w:rPr>
          <w:rFonts w:hint="eastAsia" w:ascii="宋体" w:hAnsi="宋体" w:cs="宋体"/>
          <w:bCs/>
          <w:color w:val="auto"/>
          <w:szCs w:val="21"/>
          <w:highlight w:val="none"/>
        </w:rPr>
        <w:t>5.</w:t>
      </w:r>
      <w:r>
        <w:rPr>
          <w:rFonts w:hint="eastAsia" w:ascii="宋体" w:hAnsi="宋体" w:cs="宋体"/>
          <w:color w:val="auto"/>
          <w:szCs w:val="21"/>
          <w:highlight w:val="none"/>
        </w:rPr>
        <w:t>2</w:t>
      </w:r>
      <w:r>
        <w:rPr>
          <w:rFonts w:hint="eastAsia" w:ascii="宋体" w:hAnsi="宋体" w:cs="宋体"/>
          <w:bCs/>
          <w:color w:val="auto"/>
          <w:kern w:val="28"/>
          <w:szCs w:val="22"/>
          <w:highlight w:val="none"/>
        </w:rPr>
        <w:t>、开标地点：广东省机电设备招标有限公司10楼会议室（地址：广州市环市中路316号金鹰大厦10楼）/广咨电子招投标交易平台（网址：</w:t>
      </w:r>
      <w:r>
        <w:rPr>
          <w:rFonts w:hint="eastAsia" w:ascii="宋体" w:hAnsi="宋体" w:cs="宋体"/>
          <w:bCs/>
          <w:color w:val="auto"/>
          <w:kern w:val="28"/>
          <w:szCs w:val="22"/>
          <w:highlight w:val="none"/>
        </w:rPr>
        <w:fldChar w:fldCharType="begin"/>
      </w:r>
      <w:r>
        <w:rPr>
          <w:rFonts w:hint="eastAsia" w:ascii="宋体" w:hAnsi="宋体" w:cs="宋体"/>
          <w:bCs/>
          <w:color w:val="auto"/>
          <w:kern w:val="28"/>
          <w:szCs w:val="22"/>
          <w:highlight w:val="none"/>
        </w:rPr>
        <w:instrText xml:space="preserve"> HYPERLINK "http://www.gzebid.cn）开标系统。" </w:instrText>
      </w:r>
      <w:r>
        <w:rPr>
          <w:rFonts w:hint="eastAsia" w:ascii="宋体" w:hAnsi="宋体" w:cs="宋体"/>
          <w:bCs/>
          <w:color w:val="auto"/>
          <w:kern w:val="28"/>
          <w:szCs w:val="22"/>
          <w:highlight w:val="none"/>
        </w:rPr>
        <w:fldChar w:fldCharType="separate"/>
      </w:r>
      <w:r>
        <w:rPr>
          <w:rStyle w:val="32"/>
          <w:rFonts w:hint="eastAsia" w:ascii="宋体" w:hAnsi="宋体" w:cs="宋体"/>
          <w:bCs/>
          <w:color w:val="auto"/>
          <w:kern w:val="28"/>
          <w:szCs w:val="22"/>
          <w:highlight w:val="none"/>
          <w:u w:val="none"/>
        </w:rPr>
        <w:t>www.gzebid.cn）开标系统。</w:t>
      </w:r>
      <w:r>
        <w:rPr>
          <w:rFonts w:hint="eastAsia" w:ascii="宋体" w:hAnsi="宋体" w:cs="宋体"/>
          <w:bCs/>
          <w:color w:val="auto"/>
          <w:kern w:val="28"/>
          <w:szCs w:val="22"/>
          <w:highlight w:val="none"/>
        </w:rPr>
        <w:fldChar w:fldCharType="end"/>
      </w:r>
    </w:p>
    <w:p w14:paraId="4FC2A164">
      <w:pPr>
        <w:spacing w:line="360" w:lineRule="auto"/>
        <w:ind w:left="-359" w:leftChars="-171" w:firstLine="359" w:firstLineChars="171"/>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.3、投标人应按招标文件的要求准时参加开标会议。投标人代表未出席开标会，不影响开标，且不得对开标程序、结果等提出任何异议。</w:t>
      </w:r>
    </w:p>
    <w:p w14:paraId="4901C8AC">
      <w:pPr>
        <w:tabs>
          <w:tab w:val="left" w:pos="540"/>
        </w:tabs>
        <w:spacing w:line="360" w:lineRule="auto"/>
        <w:outlineLvl w:val="0"/>
        <w:rPr>
          <w:rFonts w:hint="eastAsia" w:ascii="宋体" w:hAnsi="宋体" w:cs="宋体"/>
          <w:b/>
          <w:color w:val="auto"/>
          <w:highlight w:val="none"/>
        </w:rPr>
      </w:pPr>
      <w:bookmarkStart w:id="37" w:name="_Toc477185854"/>
      <w:bookmarkStart w:id="38" w:name="_Toc477186215"/>
      <w:bookmarkStart w:id="39" w:name="_Toc476177885"/>
      <w:bookmarkStart w:id="40" w:name="_Toc476177331"/>
      <w:bookmarkStart w:id="41" w:name="_Toc25490"/>
      <w:r>
        <w:rPr>
          <w:rFonts w:hint="eastAsia" w:ascii="宋体" w:hAnsi="宋体" w:cs="宋体"/>
          <w:b/>
          <w:color w:val="auto"/>
          <w:highlight w:val="none"/>
        </w:rPr>
        <w:t>六、其他说明</w:t>
      </w:r>
      <w:bookmarkEnd w:id="37"/>
      <w:bookmarkEnd w:id="38"/>
      <w:bookmarkEnd w:id="39"/>
      <w:bookmarkEnd w:id="40"/>
      <w:bookmarkEnd w:id="41"/>
    </w:p>
    <w:p w14:paraId="25073749">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1、各投标人的资料复印件应加盖单位公章保证所提供资料的真实性，如发现有虚假、隐瞒情况者，招标人将取消其投标资格。</w:t>
      </w:r>
    </w:p>
    <w:p w14:paraId="2CB501D4">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 xml:space="preserve">2、 </w:t>
      </w:r>
      <w:r>
        <w:rPr>
          <w:rFonts w:hint="eastAsia" w:ascii="宋体" w:hAnsi="宋体" w:cs="宋体"/>
          <w:bCs/>
          <w:color w:val="auto"/>
          <w:highlight w:val="none"/>
        </w:rPr>
        <w:t>购买了招标文件，而不参加投标的投标人，请在开标前3日以书面或邮件形式通知招标代理机构。</w:t>
      </w:r>
    </w:p>
    <w:p w14:paraId="3C673189">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3、招标代理机构和招标人将不负责投标人准备投标文件和递交投标文件所发生的任何成本或费用。</w:t>
      </w:r>
    </w:p>
    <w:p w14:paraId="764110B9">
      <w:pPr>
        <w:tabs>
          <w:tab w:val="left" w:pos="540"/>
        </w:tabs>
        <w:spacing w:line="360" w:lineRule="auto"/>
        <w:outlineLvl w:val="0"/>
        <w:rPr>
          <w:rFonts w:hint="eastAsia" w:ascii="宋体" w:hAnsi="宋体" w:cs="宋体"/>
          <w:b/>
          <w:color w:val="auto"/>
          <w:highlight w:val="none"/>
        </w:rPr>
      </w:pPr>
      <w:bookmarkStart w:id="42" w:name="_Toc476177886"/>
      <w:bookmarkStart w:id="43" w:name="_Toc477186216"/>
      <w:bookmarkStart w:id="44" w:name="_Toc477185855"/>
      <w:bookmarkStart w:id="45" w:name="_Toc32203"/>
      <w:bookmarkStart w:id="46" w:name="_Toc476177332"/>
      <w:r>
        <w:rPr>
          <w:rFonts w:hint="eastAsia" w:ascii="宋体" w:hAnsi="宋体" w:cs="宋体"/>
          <w:b/>
          <w:color w:val="auto"/>
          <w:highlight w:val="none"/>
        </w:rPr>
        <w:t>七、招标代理机构所在地和</w:t>
      </w:r>
      <w:bookmarkEnd w:id="42"/>
      <w:bookmarkEnd w:id="43"/>
      <w:bookmarkEnd w:id="44"/>
      <w:bookmarkEnd w:id="45"/>
      <w:bookmarkEnd w:id="46"/>
      <w:r>
        <w:rPr>
          <w:rFonts w:hint="eastAsia" w:ascii="宋体" w:hAnsi="宋体" w:cs="宋体"/>
          <w:b/>
          <w:color w:val="auto"/>
          <w:highlight w:val="none"/>
        </w:rPr>
        <w:t>联系方式</w:t>
      </w:r>
    </w:p>
    <w:p w14:paraId="7D8F5909">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1、招标人联系方式</w:t>
      </w:r>
    </w:p>
    <w:p w14:paraId="603F4BE6">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招 标 人：</w:t>
      </w:r>
      <w:r>
        <w:rPr>
          <w:rFonts w:hint="eastAsia" w:ascii="宋体" w:hAnsi="宋体" w:cs="宋体"/>
          <w:color w:val="auto"/>
          <w:szCs w:val="21"/>
          <w:highlight w:val="none"/>
          <w:lang w:eastAsia="zh-CN"/>
        </w:rPr>
        <w:t>广东南都娱乐传媒有限公司</w:t>
      </w:r>
    </w:p>
    <w:p w14:paraId="47446307">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地    址：广东省广州市越秀区广州大道中289号</w:t>
      </w:r>
    </w:p>
    <w:p w14:paraId="2D53B66D">
      <w:pPr>
        <w:spacing w:line="360" w:lineRule="auto"/>
        <w:ind w:left="-359" w:leftChars="-171" w:firstLine="359" w:firstLineChars="171"/>
        <w:rPr>
          <w:rFonts w:hint="default" w:ascii="宋体" w:hAnsi="宋体" w:eastAsia="宋体" w:cs="宋体"/>
          <w:color w:val="auto"/>
          <w:highlight w:val="none"/>
          <w:lang w:val="en-US" w:eastAsia="zh-CN"/>
        </w:rPr>
      </w:pPr>
      <w:r>
        <w:rPr>
          <w:rFonts w:hint="eastAsia" w:ascii="宋体" w:hAnsi="宋体" w:cs="宋体"/>
          <w:color w:val="auto"/>
          <w:szCs w:val="21"/>
          <w:highlight w:val="none"/>
        </w:rPr>
        <w:t>联 系 人：翁</w:t>
      </w:r>
      <w:r>
        <w:rPr>
          <w:rFonts w:hint="eastAsia" w:ascii="宋体" w:hAnsi="宋体" w:cs="宋体"/>
          <w:color w:val="auto"/>
          <w:szCs w:val="21"/>
          <w:lang w:val="en-US" w:eastAsia="zh-CN"/>
        </w:rPr>
        <w:t>老师</w:t>
      </w:r>
    </w:p>
    <w:p w14:paraId="03033CE4">
      <w:pPr>
        <w:pStyle w:val="13"/>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ascii="宋体" w:hAnsi="宋体" w:cs="宋体"/>
          <w:color w:val="auto"/>
          <w:szCs w:val="21"/>
          <w:highlight w:val="none"/>
          <w:lang w:eastAsia="zh-CN"/>
        </w:rPr>
        <w:t>020-</w:t>
      </w:r>
      <w:r>
        <w:rPr>
          <w:rFonts w:hint="eastAsia" w:ascii="宋体" w:hAnsi="宋体" w:cs="宋体"/>
          <w:color w:val="auto"/>
          <w:highlight w:val="none"/>
        </w:rPr>
        <w:t>83004420</w:t>
      </w:r>
    </w:p>
    <w:p w14:paraId="1E2782E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2、招标代理机构联系方式</w:t>
      </w:r>
    </w:p>
    <w:p w14:paraId="38360D9B">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29CA10E4">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rPr>
        <w:t>胡</w:t>
      </w:r>
      <w:r>
        <w:rPr>
          <w:rFonts w:hint="eastAsia" w:ascii="宋体" w:hAnsi="宋体" w:cs="宋体"/>
          <w:color w:val="auto"/>
          <w:szCs w:val="21"/>
          <w:lang w:val="en-US" w:eastAsia="zh-CN"/>
        </w:rPr>
        <w:t>工</w:t>
      </w:r>
      <w:r>
        <w:rPr>
          <w:rFonts w:hint="eastAsia" w:ascii="宋体" w:hAnsi="宋体" w:cs="宋体"/>
          <w:color w:val="auto"/>
          <w:szCs w:val="21"/>
        </w:rPr>
        <w:t>、王</w:t>
      </w:r>
      <w:r>
        <w:rPr>
          <w:rFonts w:hint="eastAsia" w:ascii="宋体" w:hAnsi="宋体" w:cs="宋体"/>
          <w:color w:val="auto"/>
          <w:szCs w:val="21"/>
          <w:lang w:val="en-US" w:eastAsia="zh-CN"/>
        </w:rPr>
        <w:t>工</w:t>
      </w:r>
      <w:r>
        <w:rPr>
          <w:rFonts w:hint="eastAsia" w:ascii="宋体" w:hAnsi="宋体" w:cs="宋体"/>
          <w:color w:val="auto"/>
          <w:szCs w:val="21"/>
        </w:rPr>
        <w:t>、刘</w:t>
      </w:r>
      <w:r>
        <w:rPr>
          <w:rFonts w:hint="eastAsia" w:ascii="宋体" w:hAnsi="宋体" w:cs="宋体"/>
          <w:color w:val="auto"/>
          <w:szCs w:val="21"/>
          <w:lang w:val="en-US" w:eastAsia="zh-CN"/>
        </w:rPr>
        <w:t>工</w:t>
      </w:r>
    </w:p>
    <w:p w14:paraId="6485837A">
      <w:pPr>
        <w:spacing w:line="360" w:lineRule="auto"/>
        <w:ind w:left="-359" w:leftChars="-171" w:firstLine="359" w:firstLineChars="171"/>
        <w:rPr>
          <w:rFonts w:hint="eastAsia"/>
          <w:color w:val="auto"/>
          <w:highlight w:val="none"/>
          <w:lang w:val="en-US" w:eastAsia="zh-CN"/>
        </w:rPr>
      </w:pPr>
      <w:r>
        <w:rPr>
          <w:rFonts w:hint="eastAsia"/>
          <w:color w:val="auto"/>
          <w:highlight w:val="none"/>
        </w:rPr>
        <w:t>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p>
    <w:p w14:paraId="024DE613">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4A87EC4A">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p w14:paraId="1FD522E7">
      <w:pPr>
        <w:wordWrap w:val="0"/>
        <w:spacing w:line="360" w:lineRule="auto"/>
        <w:ind w:firstLine="420" w:firstLineChars="200"/>
        <w:jc w:val="right"/>
        <w:rPr>
          <w:rFonts w:hint="eastAsia" w:ascii="宋体" w:hAnsi="宋体" w:eastAsia="宋体" w:cs="宋体"/>
          <w:color w:val="auto"/>
          <w:highlight w:val="none"/>
          <w:lang w:eastAsia="zh-CN"/>
        </w:rPr>
      </w:pPr>
      <w:r>
        <w:rPr>
          <w:rFonts w:hint="eastAsia" w:ascii="宋体" w:hAnsi="宋体" w:cs="宋体"/>
          <w:color w:val="auto"/>
          <w:highlight w:val="none"/>
        </w:rPr>
        <w:t xml:space="preserve">  招标人：</w:t>
      </w:r>
      <w:r>
        <w:rPr>
          <w:rFonts w:hint="eastAsia" w:ascii="宋体" w:hAnsi="宋体" w:cs="宋体"/>
          <w:bCs/>
          <w:color w:val="auto"/>
          <w:highlight w:val="none"/>
          <w:lang w:eastAsia="zh-CN"/>
        </w:rPr>
        <w:t>广东南都娱乐传媒有限公司</w:t>
      </w:r>
    </w:p>
    <w:p w14:paraId="3766EA0D">
      <w:pPr>
        <w:spacing w:line="360" w:lineRule="auto"/>
        <w:jc w:val="right"/>
        <w:rPr>
          <w:rFonts w:hint="eastAsia" w:ascii="宋体" w:hAnsi="宋体" w:cs="宋体"/>
          <w:color w:val="auto"/>
          <w:highlight w:val="none"/>
        </w:rPr>
      </w:pPr>
      <w:r>
        <w:rPr>
          <w:rFonts w:hint="eastAsia" w:ascii="宋体" w:hAnsi="宋体" w:cs="宋体"/>
          <w:color w:val="auto"/>
          <w:highlight w:val="none"/>
        </w:rPr>
        <w:t xml:space="preserve">招标代理：广东省机电设备招标有限公司 </w:t>
      </w:r>
    </w:p>
    <w:p w14:paraId="296F2437">
      <w:pPr>
        <w:wordWrap w:val="0"/>
        <w:spacing w:line="360" w:lineRule="auto"/>
        <w:ind w:firstLine="420" w:firstLineChars="200"/>
        <w:jc w:val="right"/>
        <w:rPr>
          <w:rFonts w:hint="eastAsia" w:ascii="宋体" w:hAnsi="宋体" w:cs="宋体"/>
          <w:color w:val="auto"/>
          <w:highlight w:val="none"/>
        </w:rPr>
        <w:sectPr>
          <w:footerReference r:id="rId7"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highlight w:val="none"/>
        </w:rPr>
        <w:t>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9</w:t>
      </w:r>
      <w:r>
        <w:rPr>
          <w:rFonts w:hint="eastAsia" w:ascii="宋体" w:hAnsi="宋体" w:cs="宋体"/>
          <w:color w:val="auto"/>
          <w:highlight w:val="none"/>
        </w:rPr>
        <w:t>月</w:t>
      </w:r>
      <w:r>
        <w:rPr>
          <w:rFonts w:hint="eastAsia" w:ascii="宋体" w:hAnsi="宋体" w:cs="宋体"/>
          <w:color w:val="auto"/>
          <w:highlight w:val="none"/>
          <w:lang w:val="en-US" w:eastAsia="zh-CN"/>
        </w:rPr>
        <w:t>20</w:t>
      </w:r>
      <w:r>
        <w:rPr>
          <w:rFonts w:hint="eastAsia" w:ascii="宋体" w:hAnsi="宋体" w:cs="宋体"/>
          <w:color w:val="auto"/>
          <w:highlight w:val="none"/>
        </w:rPr>
        <w:t>日</w:t>
      </w:r>
    </w:p>
    <w:p w14:paraId="4316D749">
      <w:pPr>
        <w:rPr>
          <w:rFonts w:hint="eastAsia" w:ascii="宋体" w:hAnsi="宋体" w:cs="宋体"/>
          <w:color w:val="auto"/>
          <w:highlight w:val="none"/>
        </w:rPr>
      </w:pPr>
    </w:p>
    <w:p w14:paraId="72427BAE">
      <w:pPr>
        <w:rPr>
          <w:rFonts w:hint="eastAsia" w:ascii="宋体" w:hAnsi="宋体" w:cs="宋体"/>
          <w:color w:val="auto"/>
          <w:highlight w:val="none"/>
        </w:rPr>
      </w:pPr>
    </w:p>
    <w:p w14:paraId="58ED2701">
      <w:pPr>
        <w:rPr>
          <w:rFonts w:hint="eastAsia" w:ascii="宋体" w:hAnsi="宋体" w:cs="宋体"/>
          <w:color w:val="auto"/>
          <w:highlight w:val="none"/>
        </w:rPr>
      </w:pPr>
    </w:p>
    <w:p w14:paraId="6C105C2E">
      <w:pPr>
        <w:rPr>
          <w:rFonts w:hint="eastAsia" w:ascii="宋体" w:hAnsi="宋体" w:cs="宋体"/>
          <w:color w:val="auto"/>
          <w:highlight w:val="none"/>
        </w:rPr>
      </w:pPr>
    </w:p>
    <w:p w14:paraId="63699426">
      <w:pPr>
        <w:rPr>
          <w:rFonts w:hint="eastAsia" w:ascii="宋体" w:hAnsi="宋体" w:cs="宋体"/>
          <w:color w:val="auto"/>
          <w:highlight w:val="none"/>
        </w:rPr>
      </w:pPr>
    </w:p>
    <w:p w14:paraId="7C764E5D">
      <w:pPr>
        <w:pStyle w:val="9"/>
        <w:rPr>
          <w:rFonts w:hint="eastAsia" w:ascii="宋体" w:hAnsi="宋体" w:cs="宋体"/>
          <w:color w:val="auto"/>
          <w:highlight w:val="none"/>
        </w:rPr>
      </w:pPr>
    </w:p>
    <w:p w14:paraId="71989731">
      <w:pPr>
        <w:rPr>
          <w:rFonts w:hint="eastAsia" w:ascii="宋体" w:hAnsi="宋体" w:cs="宋体"/>
          <w:color w:val="auto"/>
          <w:highlight w:val="none"/>
        </w:rPr>
      </w:pPr>
    </w:p>
    <w:p w14:paraId="53B6E92D">
      <w:pPr>
        <w:pStyle w:val="9"/>
        <w:rPr>
          <w:rFonts w:hint="eastAsia"/>
          <w:color w:val="auto"/>
        </w:rPr>
      </w:pPr>
    </w:p>
    <w:p w14:paraId="115655BC">
      <w:pPr>
        <w:rPr>
          <w:rFonts w:hint="eastAsia" w:ascii="宋体" w:hAnsi="宋体" w:cs="宋体"/>
          <w:color w:val="auto"/>
          <w:highlight w:val="none"/>
        </w:rPr>
      </w:pPr>
    </w:p>
    <w:p w14:paraId="50CC5554">
      <w:pPr>
        <w:rPr>
          <w:rFonts w:hint="eastAsia" w:ascii="宋体" w:hAnsi="宋体" w:cs="宋体"/>
          <w:color w:val="auto"/>
          <w:highlight w:val="none"/>
        </w:rPr>
      </w:pPr>
    </w:p>
    <w:p w14:paraId="0434CBC3">
      <w:pPr>
        <w:rPr>
          <w:rFonts w:hint="eastAsia" w:ascii="宋体" w:hAnsi="宋体" w:cs="宋体"/>
          <w:color w:val="auto"/>
          <w:highlight w:val="none"/>
        </w:rPr>
      </w:pPr>
    </w:p>
    <w:p w14:paraId="14604691">
      <w:pPr>
        <w:snapToGrid w:val="0"/>
        <w:spacing w:line="360" w:lineRule="auto"/>
        <w:jc w:val="center"/>
        <w:rPr>
          <w:rFonts w:hint="eastAsia" w:ascii="宋体" w:hAnsi="宋体" w:cs="宋体"/>
          <w:b/>
          <w:color w:val="auto"/>
          <w:sz w:val="44"/>
          <w:highlight w:val="none"/>
        </w:rPr>
      </w:pPr>
    </w:p>
    <w:p w14:paraId="603D9782">
      <w:pPr>
        <w:snapToGrid w:val="0"/>
        <w:spacing w:line="360" w:lineRule="auto"/>
        <w:jc w:val="center"/>
        <w:rPr>
          <w:rFonts w:hint="eastAsia" w:ascii="宋体" w:hAnsi="宋体" w:cs="宋体"/>
          <w:b/>
          <w:color w:val="auto"/>
          <w:sz w:val="44"/>
          <w:highlight w:val="none"/>
        </w:rPr>
      </w:pPr>
    </w:p>
    <w:p w14:paraId="79E1C9D9">
      <w:pPr>
        <w:jc w:val="center"/>
        <w:outlineLvl w:val="0"/>
        <w:rPr>
          <w:rFonts w:hint="eastAsia" w:ascii="宋体" w:hAnsi="宋体" w:cs="宋体"/>
          <w:b/>
          <w:color w:val="auto"/>
          <w:sz w:val="44"/>
          <w:szCs w:val="44"/>
          <w:highlight w:val="none"/>
        </w:rPr>
      </w:pPr>
      <w:bookmarkStart w:id="47" w:name="_Toc9976"/>
      <w:r>
        <w:rPr>
          <w:rFonts w:hint="eastAsia" w:ascii="宋体" w:hAnsi="宋体" w:cs="宋体"/>
          <w:b/>
          <w:color w:val="auto"/>
          <w:sz w:val="44"/>
          <w:szCs w:val="44"/>
          <w:highlight w:val="none"/>
        </w:rPr>
        <w:t>第二章</w:t>
      </w:r>
      <w:bookmarkStart w:id="48" w:name="_Toc477186217"/>
      <w:r>
        <w:rPr>
          <w:rFonts w:hint="eastAsia" w:ascii="宋体" w:hAnsi="宋体" w:cs="宋体"/>
          <w:b/>
          <w:color w:val="auto"/>
          <w:sz w:val="44"/>
          <w:szCs w:val="44"/>
          <w:highlight w:val="none"/>
        </w:rPr>
        <w:t xml:space="preserve">  投标人须知</w:t>
      </w:r>
      <w:bookmarkEnd w:id="47"/>
      <w:bookmarkEnd w:id="48"/>
    </w:p>
    <w:p w14:paraId="7243F050">
      <w:pPr>
        <w:rPr>
          <w:rFonts w:hint="eastAsia" w:ascii="宋体" w:hAnsi="宋体" w:cs="宋体"/>
          <w:color w:val="auto"/>
          <w:highlight w:val="none"/>
        </w:rPr>
      </w:pPr>
    </w:p>
    <w:p w14:paraId="15311C66">
      <w:pPr>
        <w:rPr>
          <w:rFonts w:hint="eastAsia" w:ascii="宋体" w:hAnsi="宋体" w:cs="宋体"/>
          <w:color w:val="auto"/>
          <w:highlight w:val="none"/>
        </w:rPr>
      </w:pPr>
    </w:p>
    <w:p w14:paraId="28D78B50">
      <w:pPr>
        <w:rPr>
          <w:rFonts w:hint="eastAsia" w:ascii="宋体" w:hAnsi="宋体" w:cs="宋体"/>
          <w:color w:val="auto"/>
          <w:highlight w:val="none"/>
        </w:rPr>
      </w:pPr>
    </w:p>
    <w:p w14:paraId="016588E6">
      <w:pPr>
        <w:rPr>
          <w:rFonts w:hint="eastAsia" w:ascii="宋体" w:hAnsi="宋体" w:cs="宋体"/>
          <w:color w:val="auto"/>
          <w:highlight w:val="none"/>
        </w:rPr>
      </w:pPr>
    </w:p>
    <w:p w14:paraId="368E907B">
      <w:pPr>
        <w:rPr>
          <w:rFonts w:hint="eastAsia" w:ascii="宋体" w:hAnsi="宋体" w:cs="宋体"/>
          <w:color w:val="auto"/>
          <w:highlight w:val="none"/>
        </w:rPr>
      </w:pPr>
    </w:p>
    <w:p w14:paraId="0B9369B7">
      <w:pPr>
        <w:rPr>
          <w:rFonts w:hint="eastAsia" w:ascii="宋体" w:hAnsi="宋体" w:cs="宋体"/>
          <w:color w:val="auto"/>
          <w:highlight w:val="none"/>
        </w:rPr>
      </w:pPr>
    </w:p>
    <w:p w14:paraId="3D17411C">
      <w:pPr>
        <w:rPr>
          <w:rFonts w:hint="eastAsia" w:ascii="宋体" w:hAnsi="宋体" w:cs="宋体"/>
          <w:color w:val="auto"/>
          <w:highlight w:val="none"/>
        </w:rPr>
      </w:pPr>
    </w:p>
    <w:p w14:paraId="4456DCFB">
      <w:pPr>
        <w:rPr>
          <w:rFonts w:hint="eastAsia" w:ascii="宋体" w:hAnsi="宋体" w:cs="宋体"/>
          <w:color w:val="auto"/>
          <w:highlight w:val="none"/>
        </w:rPr>
      </w:pPr>
    </w:p>
    <w:p w14:paraId="09AD7B8B">
      <w:pPr>
        <w:rPr>
          <w:rFonts w:hint="eastAsia" w:ascii="宋体" w:hAnsi="宋体" w:cs="宋体"/>
          <w:color w:val="auto"/>
          <w:highlight w:val="none"/>
        </w:rPr>
      </w:pPr>
    </w:p>
    <w:p w14:paraId="5F97777B">
      <w:pPr>
        <w:rPr>
          <w:rFonts w:hint="eastAsia" w:ascii="宋体" w:hAnsi="宋体" w:cs="宋体"/>
          <w:color w:val="auto"/>
          <w:highlight w:val="none"/>
        </w:rPr>
      </w:pPr>
    </w:p>
    <w:p w14:paraId="73E42CE8">
      <w:pPr>
        <w:rPr>
          <w:rFonts w:hint="eastAsia" w:ascii="宋体" w:hAnsi="宋体" w:cs="宋体"/>
          <w:color w:val="auto"/>
          <w:highlight w:val="none"/>
        </w:rPr>
      </w:pPr>
    </w:p>
    <w:p w14:paraId="71C355DE">
      <w:pPr>
        <w:rPr>
          <w:rFonts w:hint="eastAsia" w:ascii="宋体" w:hAnsi="宋体" w:cs="宋体"/>
          <w:color w:val="auto"/>
          <w:highlight w:val="none"/>
        </w:rPr>
      </w:pPr>
    </w:p>
    <w:p w14:paraId="40436699">
      <w:pPr>
        <w:rPr>
          <w:rFonts w:hint="eastAsia" w:ascii="宋体" w:hAnsi="宋体" w:cs="宋体"/>
          <w:color w:val="auto"/>
          <w:highlight w:val="none"/>
        </w:rPr>
      </w:pPr>
    </w:p>
    <w:p w14:paraId="4DC467CE">
      <w:pPr>
        <w:rPr>
          <w:rFonts w:hint="eastAsia" w:ascii="宋体" w:hAnsi="宋体" w:cs="宋体"/>
          <w:color w:val="auto"/>
          <w:highlight w:val="none"/>
        </w:rPr>
      </w:pPr>
    </w:p>
    <w:p w14:paraId="4408C5AC">
      <w:pPr>
        <w:rPr>
          <w:rFonts w:hint="eastAsia" w:ascii="宋体" w:hAnsi="宋体" w:cs="宋体"/>
          <w:color w:val="auto"/>
          <w:highlight w:val="none"/>
        </w:rPr>
      </w:pPr>
    </w:p>
    <w:p w14:paraId="5DCC744F">
      <w:pPr>
        <w:rPr>
          <w:rFonts w:hint="eastAsia" w:ascii="宋体" w:hAnsi="宋体" w:cs="宋体"/>
          <w:color w:val="auto"/>
          <w:highlight w:val="none"/>
        </w:rPr>
      </w:pPr>
    </w:p>
    <w:p w14:paraId="26D5F0E2">
      <w:pPr>
        <w:rPr>
          <w:rFonts w:hint="eastAsia" w:ascii="宋体" w:hAnsi="宋体" w:cs="宋体"/>
          <w:color w:val="auto"/>
          <w:highlight w:val="none"/>
        </w:rPr>
      </w:pPr>
    </w:p>
    <w:p w14:paraId="5FE63356">
      <w:pPr>
        <w:rPr>
          <w:rFonts w:hint="eastAsia" w:ascii="宋体" w:hAnsi="宋体" w:cs="宋体"/>
          <w:color w:val="auto"/>
          <w:highlight w:val="none"/>
        </w:rPr>
      </w:pPr>
    </w:p>
    <w:p w14:paraId="335C3A87">
      <w:pPr>
        <w:rPr>
          <w:rFonts w:hint="eastAsia" w:ascii="宋体" w:hAnsi="宋体" w:cs="宋体"/>
          <w:color w:val="auto"/>
          <w:highlight w:val="none"/>
        </w:rPr>
      </w:pPr>
    </w:p>
    <w:p w14:paraId="2A85138A">
      <w:pPr>
        <w:rPr>
          <w:rFonts w:hint="eastAsia" w:ascii="宋体" w:hAnsi="宋体" w:cs="宋体"/>
          <w:color w:val="auto"/>
          <w:highlight w:val="none"/>
        </w:rPr>
      </w:pPr>
    </w:p>
    <w:p w14:paraId="63B57B13">
      <w:pPr>
        <w:rPr>
          <w:rFonts w:hint="eastAsia" w:ascii="宋体" w:hAnsi="宋体" w:cs="宋体"/>
          <w:color w:val="auto"/>
          <w:highlight w:val="none"/>
        </w:rPr>
      </w:pPr>
    </w:p>
    <w:p w14:paraId="64A43239">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投标人须知前附表</w:t>
      </w:r>
    </w:p>
    <w:tbl>
      <w:tblPr>
        <w:tblStyle w:val="2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443"/>
      </w:tblGrid>
      <w:tr w14:paraId="0D5C0FF3">
        <w:tblPrEx>
          <w:tblCellMar>
            <w:top w:w="0" w:type="dxa"/>
            <w:left w:w="108" w:type="dxa"/>
            <w:bottom w:w="0" w:type="dxa"/>
            <w:right w:w="108" w:type="dxa"/>
          </w:tblCellMar>
        </w:tblPrEx>
        <w:trPr>
          <w:trHeight w:val="70" w:hRule="atLeast"/>
        </w:trPr>
        <w:tc>
          <w:tcPr>
            <w:tcW w:w="843" w:type="dxa"/>
            <w:noWrap w:val="0"/>
            <w:vAlign w:val="center"/>
          </w:tcPr>
          <w:p w14:paraId="46C923FF">
            <w:pPr>
              <w:pStyle w:val="23"/>
              <w:ind w:left="1265" w:right="42" w:rightChars="20" w:hanging="1265"/>
              <w:jc w:val="center"/>
              <w:rPr>
                <w:rFonts w:hint="eastAsia" w:hAnsi="宋体" w:cs="宋体"/>
                <w:b/>
                <w:bCs/>
                <w:color w:val="auto"/>
                <w:highlight w:val="none"/>
              </w:rPr>
            </w:pPr>
            <w:bookmarkStart w:id="49" w:name="_Toc476177888"/>
            <w:bookmarkStart w:id="50" w:name="_Toc476177333"/>
            <w:bookmarkStart w:id="51" w:name="_Toc119753876"/>
            <w:bookmarkStart w:id="52" w:name="_Toc30250"/>
            <w:r>
              <w:rPr>
                <w:rFonts w:hint="eastAsia" w:hAnsi="宋体" w:cs="宋体"/>
                <w:b/>
                <w:bCs/>
                <w:color w:val="auto"/>
                <w:highlight w:val="none"/>
              </w:rPr>
              <w:t>项号</w:t>
            </w:r>
          </w:p>
        </w:tc>
        <w:tc>
          <w:tcPr>
            <w:tcW w:w="8443" w:type="dxa"/>
            <w:noWrap w:val="0"/>
            <w:vAlign w:val="center"/>
          </w:tcPr>
          <w:p w14:paraId="216EF92A">
            <w:pPr>
              <w:pStyle w:val="23"/>
              <w:ind w:left="252" w:leftChars="120" w:firstLine="2509" w:firstLineChars="1190"/>
              <w:rPr>
                <w:rFonts w:hint="eastAsia" w:hAnsi="宋体" w:cs="宋体"/>
                <w:b/>
                <w:bCs/>
                <w:color w:val="auto"/>
                <w:highlight w:val="none"/>
              </w:rPr>
            </w:pPr>
            <w:r>
              <w:rPr>
                <w:rFonts w:hint="eastAsia" w:hAnsi="宋体" w:cs="宋体"/>
                <w:b/>
                <w:bCs/>
                <w:color w:val="auto"/>
                <w:highlight w:val="none"/>
              </w:rPr>
              <w:t>内容规定</w:t>
            </w:r>
          </w:p>
        </w:tc>
      </w:tr>
      <w:tr w14:paraId="4EA4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43" w:type="dxa"/>
            <w:noWrap w:val="0"/>
            <w:vAlign w:val="center"/>
          </w:tcPr>
          <w:p w14:paraId="69CC1F6A">
            <w:pPr>
              <w:pStyle w:val="23"/>
              <w:ind w:left="-2394" w:leftChars="-1140" w:right="-107" w:rightChars="-51" w:firstLine="2284" w:firstLineChars="1088"/>
              <w:jc w:val="center"/>
              <w:rPr>
                <w:rFonts w:hint="eastAsia" w:hAnsi="宋体" w:cs="宋体"/>
                <w:color w:val="auto"/>
                <w:highlight w:val="none"/>
              </w:rPr>
            </w:pPr>
            <w:r>
              <w:rPr>
                <w:rFonts w:hint="eastAsia" w:hAnsi="宋体" w:cs="宋体"/>
                <w:color w:val="auto"/>
                <w:highlight w:val="none"/>
              </w:rPr>
              <w:t>1</w:t>
            </w:r>
          </w:p>
        </w:tc>
        <w:tc>
          <w:tcPr>
            <w:tcW w:w="8443" w:type="dxa"/>
            <w:noWrap w:val="0"/>
            <w:vAlign w:val="top"/>
          </w:tcPr>
          <w:p w14:paraId="68F5598E">
            <w:pPr>
              <w:pStyle w:val="23"/>
              <w:ind w:left="1" w:firstLine="0"/>
              <w:rPr>
                <w:rFonts w:hint="eastAsia" w:hAnsi="宋体" w:eastAsia="宋体" w:cs="宋体"/>
                <w:b/>
                <w:color w:val="auto"/>
                <w:highlight w:val="none"/>
                <w:lang w:eastAsia="zh-CN"/>
              </w:rPr>
            </w:pPr>
            <w:r>
              <w:rPr>
                <w:rFonts w:hint="eastAsia" w:hAnsi="宋体" w:cs="宋体"/>
                <w:b/>
                <w:color w:val="auto"/>
                <w:highlight w:val="none"/>
              </w:rPr>
              <w:t>项目名称：</w:t>
            </w:r>
            <w:r>
              <w:rPr>
                <w:rFonts w:hint="eastAsia" w:hAnsi="宋体" w:cs="宋体"/>
                <w:b/>
                <w:color w:val="auto"/>
                <w:highlight w:val="none"/>
                <w:lang w:eastAsia="zh-CN"/>
              </w:rPr>
              <w:t>大型文化艺术活动执行服务保障与品牌影响力提升全媒体宣传推广服务（第二次）</w:t>
            </w:r>
          </w:p>
          <w:p w14:paraId="7B663957">
            <w:pPr>
              <w:pStyle w:val="23"/>
              <w:ind w:left="1265" w:hanging="1265"/>
              <w:rPr>
                <w:rFonts w:hint="eastAsia" w:hAnsi="宋体" w:eastAsia="宋体" w:cs="宋体"/>
                <w:color w:val="auto"/>
                <w:highlight w:val="none"/>
                <w:lang w:eastAsia="zh-CN"/>
              </w:rPr>
            </w:pPr>
            <w:r>
              <w:rPr>
                <w:rFonts w:hint="eastAsia" w:hAnsi="宋体" w:cs="宋体"/>
                <w:b/>
                <w:bCs/>
                <w:color w:val="auto"/>
                <w:highlight w:val="none"/>
              </w:rPr>
              <w:t>招标人名称：</w:t>
            </w:r>
            <w:r>
              <w:rPr>
                <w:rFonts w:hint="eastAsia" w:hAnsi="宋体" w:cs="宋体"/>
                <w:b/>
                <w:color w:val="auto"/>
                <w:highlight w:val="none"/>
                <w:lang w:eastAsia="zh-CN"/>
              </w:rPr>
              <w:t>广东南都娱乐传媒有限公司</w:t>
            </w:r>
          </w:p>
        </w:tc>
      </w:tr>
      <w:tr w14:paraId="0EBE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55538F7F">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2</w:t>
            </w:r>
          </w:p>
        </w:tc>
        <w:tc>
          <w:tcPr>
            <w:tcW w:w="8443" w:type="dxa"/>
            <w:noWrap w:val="0"/>
            <w:vAlign w:val="center"/>
          </w:tcPr>
          <w:p w14:paraId="19E39BD2">
            <w:pPr>
              <w:pStyle w:val="23"/>
              <w:ind w:left="1103" w:hanging="1103" w:hangingChars="523"/>
              <w:rPr>
                <w:rFonts w:hint="eastAsia" w:hAnsi="宋体" w:eastAsia="宋体" w:cs="宋体"/>
                <w:b/>
                <w:color w:val="auto"/>
                <w:highlight w:val="none"/>
                <w:u w:val="single"/>
                <w:lang w:eastAsia="zh-CN"/>
              </w:rPr>
            </w:pPr>
            <w:r>
              <w:rPr>
                <w:rFonts w:hint="eastAsia" w:hAnsi="宋体" w:cs="宋体"/>
                <w:b/>
                <w:bCs/>
                <w:color w:val="auto"/>
                <w:highlight w:val="none"/>
              </w:rPr>
              <w:t>资金来源：</w:t>
            </w:r>
            <w:r>
              <w:rPr>
                <w:rFonts w:hint="eastAsia" w:hAnsi="宋体" w:cs="宋体"/>
                <w:color w:val="auto"/>
                <w:highlight w:val="none"/>
                <w:lang w:val="en-US" w:eastAsia="zh-CN"/>
              </w:rPr>
              <w:t>已落实</w:t>
            </w:r>
          </w:p>
        </w:tc>
      </w:tr>
      <w:tr w14:paraId="54C8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72253B30">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3</w:t>
            </w:r>
          </w:p>
        </w:tc>
        <w:tc>
          <w:tcPr>
            <w:tcW w:w="8443" w:type="dxa"/>
            <w:noWrap w:val="0"/>
            <w:vAlign w:val="center"/>
          </w:tcPr>
          <w:p w14:paraId="4293E711">
            <w:pPr>
              <w:pStyle w:val="23"/>
              <w:ind w:left="1265" w:hanging="1265"/>
              <w:rPr>
                <w:rFonts w:hint="eastAsia" w:hAnsi="宋体" w:cs="宋体"/>
                <w:color w:val="auto"/>
                <w:highlight w:val="none"/>
              </w:rPr>
            </w:pPr>
            <w:r>
              <w:rPr>
                <w:rFonts w:hint="eastAsia" w:hAnsi="宋体" w:cs="宋体"/>
                <w:b/>
                <w:bCs/>
                <w:color w:val="auto"/>
                <w:highlight w:val="none"/>
              </w:rPr>
              <w:t>招标方式：</w:t>
            </w:r>
            <w:r>
              <w:rPr>
                <w:rFonts w:hint="eastAsia" w:hAnsi="宋体" w:cs="宋体"/>
                <w:color w:val="auto"/>
                <w:highlight w:val="none"/>
              </w:rPr>
              <w:t>国内公开招标</w:t>
            </w:r>
          </w:p>
        </w:tc>
      </w:tr>
      <w:tr w14:paraId="6789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53C9CC15">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4</w:t>
            </w:r>
          </w:p>
        </w:tc>
        <w:tc>
          <w:tcPr>
            <w:tcW w:w="8443" w:type="dxa"/>
            <w:noWrap w:val="0"/>
            <w:vAlign w:val="center"/>
          </w:tcPr>
          <w:p w14:paraId="037B504E">
            <w:pPr>
              <w:pStyle w:val="23"/>
              <w:ind w:left="1" w:firstLine="0"/>
              <w:jc w:val="left"/>
              <w:rPr>
                <w:rFonts w:hint="eastAsia" w:hAnsi="宋体" w:cs="宋体"/>
                <w:b/>
                <w:bCs/>
                <w:color w:val="auto"/>
                <w:highlight w:val="none"/>
              </w:rPr>
            </w:pPr>
            <w:r>
              <w:rPr>
                <w:rFonts w:hint="eastAsia" w:hAnsi="宋体" w:cs="宋体"/>
                <w:b/>
                <w:color w:val="auto"/>
                <w:highlight w:val="none"/>
              </w:rPr>
              <w:t>招标信息发布：</w:t>
            </w:r>
            <w:r>
              <w:rPr>
                <w:rFonts w:hint="eastAsia" w:ascii="宋体" w:hAnsi="宋体" w:cs="宋体"/>
                <w:color w:val="auto"/>
                <w:highlight w:val="none"/>
              </w:rPr>
              <w:t>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w:t>
            </w:r>
            <w:r>
              <w:rPr>
                <w:rFonts w:hint="eastAsia" w:ascii="宋体" w:hAnsi="宋体" w:cs="宋体"/>
                <w:color w:val="auto"/>
                <w:highlight w:val="none"/>
              </w:rPr>
              <w:t>《南方日报》、</w:t>
            </w:r>
            <w:r>
              <w:rPr>
                <w:rFonts w:hint="eastAsia" w:ascii="宋体" w:hAnsi="宋体" w:cs="宋体"/>
                <w:color w:val="auto"/>
                <w:highlight w:val="none"/>
                <w:lang w:val="en-US" w:eastAsia="zh-CN"/>
              </w:rPr>
              <w:t>南方＋客户端</w:t>
            </w:r>
            <w:r>
              <w:rPr>
                <w:rFonts w:hint="eastAsia" w:hAnsi="宋体" w:cs="宋体"/>
                <w:color w:val="auto"/>
                <w:highlight w:val="none"/>
              </w:rPr>
              <w:t>。</w:t>
            </w:r>
          </w:p>
        </w:tc>
      </w:tr>
      <w:tr w14:paraId="0B82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noWrap w:val="0"/>
            <w:vAlign w:val="center"/>
          </w:tcPr>
          <w:p w14:paraId="4D6F2B12">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5</w:t>
            </w:r>
          </w:p>
        </w:tc>
        <w:tc>
          <w:tcPr>
            <w:tcW w:w="8443" w:type="dxa"/>
            <w:noWrap w:val="0"/>
            <w:vAlign w:val="center"/>
          </w:tcPr>
          <w:p w14:paraId="5595F968">
            <w:pPr>
              <w:pStyle w:val="23"/>
              <w:ind w:left="1265" w:hanging="1265"/>
              <w:rPr>
                <w:rFonts w:hint="eastAsia" w:hAnsi="宋体" w:cs="宋体"/>
                <w:color w:val="auto"/>
                <w:highlight w:val="none"/>
              </w:rPr>
            </w:pPr>
            <w:r>
              <w:rPr>
                <w:rFonts w:hint="eastAsia" w:hAnsi="宋体" w:cs="宋体"/>
                <w:b/>
                <w:bCs/>
                <w:color w:val="auto"/>
                <w:highlight w:val="none"/>
              </w:rPr>
              <w:t>招标范围：</w:t>
            </w:r>
            <w:r>
              <w:rPr>
                <w:rFonts w:hint="eastAsia" w:hAnsi="宋体" w:cs="宋体"/>
                <w:color w:val="auto"/>
                <w:highlight w:val="none"/>
              </w:rPr>
              <w:t>详见投标人须知</w:t>
            </w:r>
          </w:p>
        </w:tc>
      </w:tr>
      <w:tr w14:paraId="705C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43" w:type="dxa"/>
            <w:noWrap w:val="0"/>
            <w:vAlign w:val="center"/>
          </w:tcPr>
          <w:p w14:paraId="24DCC55B">
            <w:pPr>
              <w:pStyle w:val="23"/>
              <w:ind w:left="-466" w:leftChars="-222" w:right="42" w:rightChars="20" w:firstLine="464" w:firstLineChars="221"/>
              <w:jc w:val="center"/>
              <w:rPr>
                <w:rFonts w:hint="eastAsia" w:hAnsi="宋体" w:eastAsia="宋体" w:cs="宋体"/>
                <w:color w:val="auto"/>
                <w:highlight w:val="none"/>
                <w:lang w:val="en-US" w:eastAsia="zh-CN"/>
              </w:rPr>
            </w:pPr>
            <w:r>
              <w:rPr>
                <w:rFonts w:hint="eastAsia" w:hAnsi="宋体" w:cs="宋体"/>
                <w:color w:val="auto"/>
                <w:highlight w:val="none"/>
                <w:lang w:val="en-US" w:eastAsia="zh-CN"/>
              </w:rPr>
              <w:t>6</w:t>
            </w:r>
          </w:p>
        </w:tc>
        <w:tc>
          <w:tcPr>
            <w:tcW w:w="8443" w:type="dxa"/>
            <w:noWrap w:val="0"/>
            <w:vAlign w:val="center"/>
          </w:tcPr>
          <w:p w14:paraId="2DEBE464">
            <w:pPr>
              <w:pStyle w:val="23"/>
              <w:ind w:left="1" w:firstLine="0"/>
              <w:jc w:val="left"/>
              <w:rPr>
                <w:rFonts w:hint="eastAsia" w:hAnsi="宋体" w:cs="宋体"/>
                <w:color w:val="auto"/>
                <w:highlight w:val="none"/>
              </w:rPr>
            </w:pPr>
            <w:r>
              <w:rPr>
                <w:rFonts w:hint="eastAsia"/>
                <w:color w:val="auto"/>
                <w:highlight w:val="none"/>
              </w:rPr>
              <w:t>纸质投标文件份数：中文正本1份；中文副本2份；投标文件电子文档1份（usb闪存盘）。以上投标文件，仅用于招标人存档使用，不作为评审依据。（纸质投标文件如采用邮递方式送达的，请务必提前寄出并通知招标代理项目联系人，保证投标文件在提交截止时间前送达指定地点并密封完好）。邮寄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r>
              <w:rPr>
                <w:rFonts w:hint="eastAsia"/>
                <w:color w:val="auto"/>
                <w:highlight w:val="none"/>
              </w:rPr>
              <w:t>，收件人：</w:t>
            </w:r>
            <w:r>
              <w:rPr>
                <w:rFonts w:hint="eastAsia"/>
                <w:color w:val="auto"/>
                <w:highlight w:val="none"/>
                <w:lang w:val="en-US" w:eastAsia="zh-CN"/>
              </w:rPr>
              <w:t>胡</w:t>
            </w:r>
            <w:r>
              <w:rPr>
                <w:rFonts w:hint="eastAsia"/>
                <w:color w:val="auto"/>
                <w:highlight w:val="none"/>
              </w:rPr>
              <w:t>工，联系方式：020-8354</w:t>
            </w:r>
            <w:r>
              <w:rPr>
                <w:rFonts w:hint="eastAsia"/>
                <w:color w:val="auto"/>
                <w:highlight w:val="none"/>
                <w:lang w:val="en-US" w:eastAsia="zh-CN"/>
              </w:rPr>
              <w:t>4332</w:t>
            </w:r>
            <w:r>
              <w:rPr>
                <w:rFonts w:hint="eastAsia"/>
                <w:color w:val="auto"/>
                <w:highlight w:val="none"/>
              </w:rPr>
              <w:t>。</w:t>
            </w:r>
          </w:p>
        </w:tc>
      </w:tr>
      <w:tr w14:paraId="56C4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noWrap w:val="0"/>
            <w:vAlign w:val="center"/>
          </w:tcPr>
          <w:p w14:paraId="6E2D7A2C">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7</w:t>
            </w:r>
          </w:p>
        </w:tc>
        <w:tc>
          <w:tcPr>
            <w:tcW w:w="8443" w:type="dxa"/>
            <w:noWrap w:val="0"/>
            <w:vAlign w:val="center"/>
          </w:tcPr>
          <w:p w14:paraId="644949D3">
            <w:pPr>
              <w:pStyle w:val="23"/>
              <w:ind w:left="1265" w:hanging="1265"/>
              <w:rPr>
                <w:rFonts w:hint="eastAsia" w:hAnsi="宋体" w:cs="宋体"/>
                <w:color w:val="auto"/>
                <w:highlight w:val="none"/>
              </w:rPr>
            </w:pPr>
            <w:r>
              <w:rPr>
                <w:rFonts w:hint="eastAsia" w:hAnsi="宋体" w:cs="宋体"/>
                <w:b/>
                <w:bCs/>
                <w:color w:val="auto"/>
                <w:highlight w:val="none"/>
              </w:rPr>
              <w:t>投标有效期：</w:t>
            </w:r>
            <w:r>
              <w:rPr>
                <w:rFonts w:hint="eastAsia" w:hAnsi="宋体" w:cs="宋体"/>
                <w:b/>
                <w:color w:val="auto"/>
                <w:highlight w:val="none"/>
                <w:u w:val="single"/>
              </w:rPr>
              <w:t>90天（日历天）</w:t>
            </w:r>
          </w:p>
        </w:tc>
      </w:tr>
      <w:tr w14:paraId="0517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noWrap w:val="0"/>
            <w:vAlign w:val="center"/>
          </w:tcPr>
          <w:p w14:paraId="2A922325">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8</w:t>
            </w:r>
          </w:p>
        </w:tc>
        <w:tc>
          <w:tcPr>
            <w:tcW w:w="8443" w:type="dxa"/>
            <w:noWrap w:val="0"/>
            <w:vAlign w:val="top"/>
          </w:tcPr>
          <w:p w14:paraId="0A06DEE8">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投标保证金：</w:t>
            </w:r>
          </w:p>
          <w:p w14:paraId="15703D70">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1、投标保证金金额：</w:t>
            </w:r>
          </w:p>
          <w:p w14:paraId="4F86BDE6">
            <w:pPr>
              <w:pStyle w:val="23"/>
              <w:spacing w:before="120" w:after="120"/>
              <w:ind w:left="1" w:firstLine="0"/>
              <w:rPr>
                <w:rFonts w:hint="eastAsia" w:hAnsi="宋体" w:cs="宋体"/>
                <w:b/>
                <w:bCs/>
                <w:color w:val="auto"/>
                <w:highlight w:val="none"/>
                <w:lang w:eastAsia="zh-CN"/>
              </w:rPr>
            </w:pPr>
            <w:r>
              <w:rPr>
                <w:rFonts w:hint="eastAsia" w:hAnsi="宋体" w:cs="宋体"/>
                <w:b/>
                <w:bCs/>
                <w:color w:val="auto"/>
                <w:highlight w:val="none"/>
                <w:lang w:val="en-US" w:eastAsia="zh-CN"/>
              </w:rPr>
              <w:t>子包四：</w:t>
            </w:r>
            <w:r>
              <w:rPr>
                <w:rFonts w:hint="eastAsia" w:hAnsi="宋体" w:cs="宋体"/>
                <w:b/>
                <w:bCs/>
                <w:color w:val="auto"/>
                <w:highlight w:val="none"/>
                <w:lang w:eastAsia="zh-CN"/>
              </w:rPr>
              <w:t>供应商</w:t>
            </w:r>
            <w:r>
              <w:rPr>
                <w:rFonts w:hint="eastAsia" w:hAnsi="宋体" w:cs="宋体"/>
                <w:b/>
                <w:bCs/>
                <w:color w:val="auto"/>
                <w:highlight w:val="none"/>
              </w:rPr>
              <w:t>必须提交</w:t>
            </w:r>
            <w:r>
              <w:rPr>
                <w:rFonts w:hint="eastAsia" w:hAnsi="宋体" w:cs="宋体"/>
                <w:b/>
                <w:bCs/>
                <w:color w:val="auto"/>
                <w:highlight w:val="none"/>
                <w:lang w:val="en-US" w:eastAsia="zh-CN"/>
              </w:rPr>
              <w:t>¥</w:t>
            </w:r>
            <w:r>
              <w:rPr>
                <w:rFonts w:hint="eastAsia" w:hAnsi="宋体" w:cs="宋体"/>
                <w:b/>
                <w:bCs/>
                <w:color w:val="auto"/>
                <w:highlight w:val="none"/>
                <w:u w:val="single"/>
                <w:lang w:val="en-US" w:eastAsia="zh-CN"/>
              </w:rPr>
              <w:t>5</w:t>
            </w:r>
            <w:r>
              <w:rPr>
                <w:rFonts w:hint="eastAsia" w:hAnsi="宋体" w:cs="宋体"/>
                <w:b/>
                <w:bCs/>
                <w:color w:val="auto"/>
                <w:highlight w:val="none"/>
                <w:u w:val="single"/>
              </w:rPr>
              <w:t>000.00</w:t>
            </w:r>
            <w:r>
              <w:rPr>
                <w:rFonts w:hint="eastAsia" w:hAnsi="宋体" w:cs="宋体"/>
                <w:b/>
                <w:bCs/>
                <w:color w:val="auto"/>
                <w:highlight w:val="none"/>
              </w:rPr>
              <w:t>元(大写：人民币</w:t>
            </w:r>
            <w:r>
              <w:rPr>
                <w:rFonts w:hint="eastAsia" w:hAnsi="宋体" w:cs="宋体"/>
                <w:b/>
                <w:bCs/>
                <w:color w:val="auto"/>
                <w:highlight w:val="none"/>
                <w:lang w:val="en-US" w:eastAsia="zh-CN"/>
              </w:rPr>
              <w:t>伍仟</w:t>
            </w:r>
            <w:r>
              <w:rPr>
                <w:rFonts w:hint="eastAsia" w:hAnsi="宋体" w:cs="宋体"/>
                <w:b/>
                <w:bCs/>
                <w:color w:val="auto"/>
                <w:highlight w:val="none"/>
              </w:rPr>
              <w:t>元整)的投标保证金</w:t>
            </w:r>
            <w:r>
              <w:rPr>
                <w:rFonts w:hint="eastAsia" w:hAnsi="宋体" w:cs="宋体"/>
                <w:b/>
                <w:bCs/>
                <w:color w:val="auto"/>
                <w:highlight w:val="none"/>
                <w:lang w:eastAsia="zh-CN"/>
              </w:rPr>
              <w:t>。</w:t>
            </w:r>
          </w:p>
          <w:p w14:paraId="1594F543">
            <w:pPr>
              <w:pStyle w:val="23"/>
              <w:spacing w:before="120" w:after="120" w:line="360" w:lineRule="auto"/>
              <w:ind w:left="1" w:firstLine="0"/>
              <w:rPr>
                <w:rFonts w:hint="eastAsia" w:hAnsi="宋体" w:cs="宋体"/>
                <w:color w:val="auto"/>
                <w:highlight w:val="none"/>
              </w:rPr>
            </w:pPr>
            <w:r>
              <w:rPr>
                <w:rFonts w:hint="eastAsia" w:hAnsi="宋体" w:cs="宋体"/>
                <w:b/>
                <w:bCs/>
                <w:color w:val="auto"/>
                <w:highlight w:val="none"/>
              </w:rPr>
              <w:t>2、投标保证金缴纳方式：</w:t>
            </w:r>
            <w:r>
              <w:rPr>
                <w:rFonts w:hint="eastAsia" w:hAnsi="宋体" w:cs="宋体"/>
                <w:color w:val="auto"/>
                <w:highlight w:val="none"/>
              </w:rPr>
              <w:t>（1）按银行子账号信息汇款/转账方式缴纳；或（2）电子保函线上缴纳方式：</w:t>
            </w:r>
          </w:p>
          <w:p w14:paraId="20DA15B1">
            <w:pPr>
              <w:pStyle w:val="23"/>
              <w:ind w:firstLine="0"/>
              <w:rPr>
                <w:rFonts w:hint="eastAsia" w:hAnsi="宋体" w:cs="宋体"/>
                <w:b/>
                <w:bCs/>
                <w:color w:val="auto"/>
                <w:highlight w:val="none"/>
              </w:rPr>
            </w:pPr>
            <w:r>
              <w:rPr>
                <w:rFonts w:hint="eastAsia" w:hAnsi="宋体" w:cs="宋体"/>
                <w:b/>
                <w:bCs/>
                <w:color w:val="auto"/>
                <w:highlight w:val="none"/>
              </w:rPr>
              <w:t>（1）银行子账号信息汇款/转账缴纳方式：</w:t>
            </w:r>
          </w:p>
          <w:p w14:paraId="70C41F2F">
            <w:pPr>
              <w:pStyle w:val="23"/>
              <w:ind w:firstLine="0"/>
              <w:rPr>
                <w:rFonts w:hint="eastAsia" w:hAnsi="宋体" w:cs="宋体"/>
                <w:color w:val="auto"/>
                <w:highlight w:val="none"/>
              </w:rPr>
            </w:pPr>
            <w:r>
              <w:rPr>
                <w:rFonts w:hint="eastAsia" w:hAnsi="宋体" w:cs="宋体"/>
                <w:color w:val="auto"/>
                <w:highlight w:val="none"/>
              </w:rPr>
              <w:t>①投标人网上登记成功后，应登录广东省机电设备招标有限公司广咨电子招投标交易平台网站（http://www.gzebid.cn）并选择对应项目获取缴纳投标保证金的银行子账号信息（每位投标人每个项目的保证金缴纳账户是唯一的，该账号是针对每位投标人随机生成的专属账号）。</w:t>
            </w:r>
          </w:p>
          <w:p w14:paraId="45540D82">
            <w:pPr>
              <w:pStyle w:val="23"/>
              <w:ind w:firstLine="0"/>
              <w:rPr>
                <w:rFonts w:hint="eastAsia" w:hAnsi="宋体" w:cs="宋体"/>
                <w:color w:val="auto"/>
                <w:highlight w:val="none"/>
              </w:rPr>
            </w:pPr>
            <w:r>
              <w:rPr>
                <w:rFonts w:hint="eastAsia" w:hAnsi="宋体" w:cs="宋体"/>
                <w:color w:val="auto"/>
                <w:highlight w:val="none"/>
              </w:rPr>
              <w:t>②投标保证金应从投标人的账号支付，并以资金到达该子账号的时间为准</w:t>
            </w:r>
            <w:r>
              <w:rPr>
                <w:rFonts w:hint="eastAsia" w:hAnsi="宋体" w:cs="宋体"/>
                <w:color w:val="auto"/>
                <w:highlight w:val="none"/>
                <w:lang w:eastAsia="zh-CN"/>
              </w:rPr>
              <w:t>，</w:t>
            </w:r>
            <w:r>
              <w:rPr>
                <w:rFonts w:hint="eastAsia" w:hAnsi="宋体" w:cs="宋体"/>
                <w:color w:val="auto"/>
                <w:highlight w:val="none"/>
              </w:rPr>
              <w:t>如从其他账户、或未缴纳到指定的子账号，视为无效投标保证金。</w:t>
            </w:r>
          </w:p>
          <w:p w14:paraId="45C30628">
            <w:pPr>
              <w:pStyle w:val="23"/>
              <w:ind w:firstLine="0"/>
              <w:rPr>
                <w:rFonts w:hint="eastAsia" w:hAnsi="宋体" w:cs="宋体"/>
                <w:color w:val="auto"/>
                <w:highlight w:val="none"/>
              </w:rPr>
            </w:pPr>
            <w:r>
              <w:rPr>
                <w:rFonts w:hint="eastAsia" w:hAnsi="宋体" w:cs="宋体"/>
                <w:color w:val="auto"/>
                <w:highlight w:val="none"/>
              </w:rPr>
              <w:t>③缴纳投标保证金时投标人须仔细阅读广咨电子招投标交易平台的缴纳保证金页面的所有内容（包括重要事项），如因投标人未按要求错误操作造成系统平台无法识别缴纳账号信息或投标保证金未在投标截止时间前到账的，视为未按要求缴纳保证金，由此造成后果由投标</w:t>
            </w:r>
            <w:r>
              <w:rPr>
                <w:rFonts w:hint="eastAsia" w:hAnsi="宋体" w:cs="宋体"/>
                <w:color w:val="auto"/>
                <w:highlight w:val="none"/>
                <w:lang w:val="en-US" w:eastAsia="zh-CN"/>
              </w:rPr>
              <w:t>人</w:t>
            </w:r>
            <w:r>
              <w:rPr>
                <w:rFonts w:hint="eastAsia" w:hAnsi="宋体" w:cs="宋体"/>
                <w:color w:val="auto"/>
                <w:highlight w:val="none"/>
              </w:rPr>
              <w:t>自行承担责任。</w:t>
            </w:r>
          </w:p>
          <w:p w14:paraId="414D50BA">
            <w:pPr>
              <w:pStyle w:val="23"/>
              <w:ind w:firstLine="0"/>
              <w:rPr>
                <w:rFonts w:hint="eastAsia" w:hAnsi="宋体" w:cs="宋体"/>
                <w:b/>
                <w:bCs/>
                <w:color w:val="auto"/>
                <w:highlight w:val="none"/>
              </w:rPr>
            </w:pPr>
            <w:r>
              <w:rPr>
                <w:rFonts w:hint="eastAsia" w:hAnsi="宋体" w:cs="宋体"/>
                <w:b/>
                <w:bCs/>
                <w:color w:val="auto"/>
                <w:highlight w:val="none"/>
              </w:rPr>
              <w:t>（2）电子保函线上缴纳方式：</w:t>
            </w:r>
          </w:p>
          <w:p w14:paraId="79BBD895">
            <w:pPr>
              <w:pStyle w:val="23"/>
              <w:ind w:firstLine="0"/>
              <w:rPr>
                <w:rFonts w:hint="eastAsia" w:hAnsi="宋体" w:cs="宋体"/>
                <w:color w:val="auto"/>
                <w:highlight w:val="none"/>
              </w:rPr>
            </w:pPr>
            <w:r>
              <w:rPr>
                <w:rFonts w:hint="eastAsia" w:hAnsi="宋体" w:cs="宋体"/>
                <w:color w:val="auto"/>
                <w:highlight w:val="none"/>
              </w:rPr>
              <w:t>①登录广咨电子招投标交易平台网站（www.gzebid.cn）并选择对应项目，选择“申请电子保函”，使用标信通APP进行扫码申请，选择开函机构并填写发票信息（如为首次在该开函机构申请电子保函需先完成准入），选择CA盾（如未办理移动CA，系统将自动赠送一个仅能用于开函的CA），确认提交并完成支付，成功出函后，投标人在标信通APP点击“确定提交”，电子保函同步提交至广咨电子招投标交易平台，还可在标信通APP手机下载所开具的电子保函。</w:t>
            </w:r>
          </w:p>
          <w:p w14:paraId="6AB90C92">
            <w:pPr>
              <w:pStyle w:val="23"/>
              <w:ind w:firstLine="0"/>
              <w:rPr>
                <w:rFonts w:hint="eastAsia" w:hAnsi="宋体" w:cs="宋体"/>
                <w:color w:val="auto"/>
                <w:highlight w:val="none"/>
              </w:rPr>
            </w:pPr>
            <w:r>
              <w:rPr>
                <w:rFonts w:hint="eastAsia" w:hAnsi="宋体" w:cs="宋体"/>
                <w:color w:val="auto"/>
                <w:highlight w:val="none"/>
              </w:rPr>
              <w:t>②登录标信通APP，点击“投标保函”-“申请保函”，选择“广咨电子招投标交易平台”并选择开函机构（如首次在该开函机构申请电子保函需先完成准入），选择项目申请保函（需先在广咨电子招投标交易平台完成项目投标登记，否则无法购买电子保函），填写发票信息，选择CA盾，确认提交并完成支付，成功出函后，投标人在标信通APP点击“确定提交”，电子保函同步提交至广咨电子招投标交易平台，投标人可在标信通APP手机下载所开具的电子保函。</w:t>
            </w:r>
          </w:p>
          <w:p w14:paraId="1D235F0F">
            <w:pPr>
              <w:pStyle w:val="23"/>
              <w:ind w:firstLineChars="200"/>
              <w:rPr>
                <w:rFonts w:hint="eastAsia" w:hAnsi="宋体" w:cs="宋体"/>
                <w:color w:val="auto"/>
                <w:highlight w:val="none"/>
              </w:rPr>
            </w:pPr>
            <w:r>
              <w:rPr>
                <w:rFonts w:hint="eastAsia" w:hAnsi="宋体" w:cs="宋体"/>
                <w:color w:val="auto"/>
                <w:highlight w:val="none"/>
              </w:rPr>
              <w:t>具体操作可访问广咨电子招投标交易平台：平台服务》办事指引》电子保函方式缴纳保证金。</w:t>
            </w:r>
          </w:p>
          <w:p w14:paraId="2CF95F19">
            <w:pPr>
              <w:pStyle w:val="23"/>
              <w:ind w:firstLine="0"/>
              <w:rPr>
                <w:rFonts w:hint="eastAsia" w:hAnsi="宋体" w:cs="宋体"/>
                <w:color w:val="auto"/>
                <w:highlight w:val="none"/>
              </w:rPr>
            </w:pPr>
            <w:r>
              <w:rPr>
                <w:rFonts w:hint="eastAsia" w:hAnsi="宋体" w:cs="宋体"/>
                <w:color w:val="auto"/>
                <w:highlight w:val="none"/>
              </w:rPr>
              <w:t>（投标保证金缴纳指南具体见：广咨电子招投标交易平台网站（www.gzebid.cn）首页&gt;平台服务&gt;办事指南&gt;广咨电子招投标交易平台网上缴纳投标保证金说明，咨询热线电话：</w:t>
            </w:r>
            <w:r>
              <w:rPr>
                <w:rFonts w:hint="eastAsia" w:hAnsi="宋体" w:cs="宋体"/>
                <w:color w:val="auto"/>
                <w:highlight w:val="none"/>
                <w:lang w:eastAsia="zh-CN"/>
              </w:rPr>
              <w:t>400-9030-870</w:t>
            </w:r>
            <w:r>
              <w:rPr>
                <w:rFonts w:hint="eastAsia" w:hAnsi="宋体" w:cs="宋体"/>
                <w:color w:val="auto"/>
                <w:highlight w:val="none"/>
              </w:rPr>
              <w:t xml:space="preserve"> 网站客服(QQ)：3151435402。）</w:t>
            </w:r>
          </w:p>
        </w:tc>
      </w:tr>
      <w:tr w14:paraId="245F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clear" w:color="auto" w:fill="auto"/>
            <w:noWrap w:val="0"/>
            <w:vAlign w:val="center"/>
          </w:tcPr>
          <w:p w14:paraId="08C93772">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9</w:t>
            </w:r>
          </w:p>
        </w:tc>
        <w:tc>
          <w:tcPr>
            <w:tcW w:w="8443" w:type="dxa"/>
            <w:noWrap w:val="0"/>
            <w:vAlign w:val="top"/>
          </w:tcPr>
          <w:p w14:paraId="2EE091F2">
            <w:pPr>
              <w:pStyle w:val="23"/>
              <w:ind w:left="1265" w:hanging="1265"/>
              <w:rPr>
                <w:rFonts w:hint="eastAsia" w:hAnsi="宋体" w:cs="宋体"/>
                <w:color w:val="auto"/>
                <w:highlight w:val="none"/>
              </w:rPr>
            </w:pPr>
            <w:r>
              <w:rPr>
                <w:rFonts w:hint="eastAsia" w:hAnsi="宋体" w:cs="宋体"/>
                <w:color w:val="auto"/>
                <w:highlight w:val="none"/>
              </w:rPr>
              <w:t>投标截止时间：</w:t>
            </w:r>
            <w:r>
              <w:rPr>
                <w:rFonts w:hint="eastAsia" w:hAnsi="宋体" w:cs="宋体"/>
                <w:color w:val="auto"/>
                <w:highlight w:val="none"/>
                <w:u w:val="single"/>
              </w:rPr>
              <w:t>详见投标邀请函</w:t>
            </w:r>
          </w:p>
          <w:p w14:paraId="73BFE110">
            <w:pPr>
              <w:pStyle w:val="23"/>
              <w:ind w:firstLine="0"/>
              <w:rPr>
                <w:rFonts w:hint="eastAsia" w:hAnsi="宋体" w:cs="宋体"/>
                <w:color w:val="auto"/>
                <w:highlight w:val="none"/>
              </w:rPr>
            </w:pPr>
            <w:r>
              <w:rPr>
                <w:rFonts w:hint="eastAsia" w:hAnsi="宋体" w:cs="宋体"/>
                <w:color w:val="auto"/>
                <w:highlight w:val="none"/>
              </w:rPr>
              <w:t>投标文件递交地址：</w:t>
            </w:r>
            <w:r>
              <w:rPr>
                <w:rFonts w:hint="eastAsia" w:hAnsi="宋体" w:cs="宋体"/>
                <w:color w:val="auto"/>
                <w:highlight w:val="none"/>
                <w:u w:val="single"/>
              </w:rPr>
              <w:t>详见投标邀请函</w:t>
            </w:r>
            <w:r>
              <w:rPr>
                <w:rFonts w:hint="eastAsia" w:hAnsi="宋体" w:cs="宋体"/>
                <w:color w:val="auto"/>
                <w:highlight w:val="none"/>
              </w:rPr>
              <w:t>。</w:t>
            </w:r>
          </w:p>
        </w:tc>
      </w:tr>
      <w:tr w14:paraId="6E0F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843" w:type="dxa"/>
            <w:shd w:val="clear" w:color="auto" w:fill="auto"/>
            <w:noWrap w:val="0"/>
            <w:vAlign w:val="center"/>
          </w:tcPr>
          <w:p w14:paraId="0E85ABA4">
            <w:pPr>
              <w:pStyle w:val="23"/>
              <w:ind w:left="-466" w:leftChars="-222" w:right="42" w:rightChars="20" w:firstLine="464" w:firstLineChars="221"/>
              <w:jc w:val="center"/>
              <w:rPr>
                <w:rFonts w:ascii="宋体" w:hAnsi="宋体" w:eastAsia="宋体" w:cs="宋体"/>
                <w:color w:val="auto"/>
                <w:kern w:val="2"/>
                <w:sz w:val="21"/>
                <w:szCs w:val="24"/>
                <w:highlight w:val="none"/>
                <w:lang w:val="en-US" w:eastAsia="zh-CN" w:bidi="ar-SA"/>
              </w:rPr>
            </w:pPr>
            <w:r>
              <w:rPr>
                <w:rFonts w:hint="eastAsia" w:hAnsi="宋体" w:cs="宋体"/>
                <w:color w:val="auto"/>
                <w:highlight w:val="none"/>
              </w:rPr>
              <w:t>10</w:t>
            </w:r>
          </w:p>
        </w:tc>
        <w:tc>
          <w:tcPr>
            <w:tcW w:w="8443" w:type="dxa"/>
            <w:noWrap w:val="0"/>
            <w:vAlign w:val="top"/>
          </w:tcPr>
          <w:p w14:paraId="27A28E86">
            <w:pPr>
              <w:pStyle w:val="23"/>
              <w:ind w:left="1265" w:hanging="1265"/>
              <w:rPr>
                <w:rFonts w:hint="eastAsia" w:hAnsi="宋体" w:cs="宋体"/>
                <w:color w:val="auto"/>
                <w:highlight w:val="none"/>
              </w:rPr>
            </w:pPr>
            <w:r>
              <w:rPr>
                <w:rFonts w:hint="eastAsia" w:hAnsi="宋体" w:cs="宋体"/>
                <w:color w:val="auto"/>
                <w:highlight w:val="none"/>
              </w:rPr>
              <w:t>开标时间：</w:t>
            </w:r>
            <w:r>
              <w:rPr>
                <w:rFonts w:hint="eastAsia" w:hAnsi="宋体" w:cs="宋体"/>
                <w:color w:val="auto"/>
                <w:highlight w:val="none"/>
                <w:u w:val="single"/>
              </w:rPr>
              <w:t>详见投标邀请函</w:t>
            </w:r>
          </w:p>
          <w:p w14:paraId="46E1AFA5">
            <w:pPr>
              <w:pStyle w:val="23"/>
              <w:ind w:left="1265" w:hanging="1265"/>
              <w:rPr>
                <w:rFonts w:hint="eastAsia" w:hAnsi="宋体" w:cs="宋体"/>
                <w:color w:val="auto"/>
                <w:highlight w:val="none"/>
              </w:rPr>
            </w:pPr>
            <w:r>
              <w:rPr>
                <w:rFonts w:hint="eastAsia" w:hAnsi="宋体" w:cs="宋体"/>
                <w:color w:val="auto"/>
                <w:highlight w:val="none"/>
              </w:rPr>
              <w:t>地址：</w:t>
            </w:r>
            <w:r>
              <w:rPr>
                <w:rFonts w:hint="eastAsia" w:hAnsi="宋体" w:cs="宋体"/>
                <w:color w:val="auto"/>
                <w:highlight w:val="none"/>
                <w:u w:val="single"/>
              </w:rPr>
              <w:t>详见投标邀请函</w:t>
            </w:r>
            <w:r>
              <w:rPr>
                <w:rFonts w:hint="eastAsia" w:hAnsi="宋体" w:cs="宋体"/>
                <w:color w:val="auto"/>
                <w:szCs w:val="21"/>
                <w:highlight w:val="none"/>
              </w:rPr>
              <w:t>。</w:t>
            </w:r>
          </w:p>
        </w:tc>
      </w:tr>
      <w:tr w14:paraId="29FB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43" w:type="dxa"/>
            <w:shd w:val="clear" w:color="auto" w:fill="auto"/>
            <w:noWrap w:val="0"/>
            <w:vAlign w:val="center"/>
          </w:tcPr>
          <w:p w14:paraId="367D3902">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11</w:t>
            </w:r>
          </w:p>
        </w:tc>
        <w:tc>
          <w:tcPr>
            <w:tcW w:w="8443" w:type="dxa"/>
            <w:noWrap w:val="0"/>
            <w:vAlign w:val="top"/>
          </w:tcPr>
          <w:p w14:paraId="1052936E">
            <w:pPr>
              <w:pStyle w:val="13"/>
              <w:rPr>
                <w:rFonts w:hint="eastAsia" w:ascii="宋体" w:hAnsi="宋体" w:eastAsia="宋体" w:cs="宋体"/>
                <w:color w:val="auto"/>
                <w:highlight w:val="none"/>
                <w:lang w:eastAsia="zh-CN"/>
              </w:rPr>
            </w:pPr>
            <w:r>
              <w:rPr>
                <w:rFonts w:hint="eastAsia" w:ascii="宋体" w:hAnsi="宋体" w:cs="宋体"/>
                <w:color w:val="auto"/>
                <w:highlight w:val="none"/>
              </w:rPr>
              <w:t>招 标 人：</w:t>
            </w:r>
            <w:r>
              <w:rPr>
                <w:rFonts w:hint="eastAsia" w:ascii="宋体" w:hAnsi="宋体" w:cs="宋体"/>
                <w:color w:val="auto"/>
                <w:highlight w:val="none"/>
                <w:lang w:eastAsia="zh-CN"/>
              </w:rPr>
              <w:t>广东南都娱乐传媒有限公司</w:t>
            </w:r>
          </w:p>
          <w:p w14:paraId="730AB81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地    址：广东省广州市越秀区广州大道中289号</w:t>
            </w:r>
          </w:p>
          <w:p w14:paraId="79D318C7">
            <w:pPr>
              <w:spacing w:line="360" w:lineRule="auto"/>
              <w:ind w:left="-359" w:leftChars="-171" w:firstLine="359" w:firstLineChars="171"/>
              <w:rPr>
                <w:rFonts w:hint="default" w:ascii="宋体" w:hAnsi="宋体" w:eastAsia="宋体" w:cs="宋体"/>
                <w:color w:val="auto"/>
                <w:highlight w:val="none"/>
                <w:lang w:val="en-US" w:eastAsia="zh-CN"/>
              </w:rPr>
            </w:pPr>
            <w:r>
              <w:rPr>
                <w:rFonts w:hint="eastAsia" w:ascii="宋体" w:hAnsi="宋体" w:cs="宋体"/>
                <w:color w:val="auto"/>
                <w:szCs w:val="21"/>
                <w:highlight w:val="none"/>
              </w:rPr>
              <w:t>联 系 人：翁</w:t>
            </w:r>
            <w:r>
              <w:rPr>
                <w:rFonts w:hint="eastAsia" w:ascii="宋体" w:hAnsi="宋体" w:cs="宋体"/>
                <w:color w:val="auto"/>
                <w:szCs w:val="21"/>
                <w:lang w:val="en-US" w:eastAsia="zh-CN"/>
              </w:rPr>
              <w:t>老师</w:t>
            </w:r>
          </w:p>
          <w:p w14:paraId="10AE72CD">
            <w:pPr>
              <w:pStyle w:val="13"/>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ascii="宋体" w:hAnsi="宋体" w:cs="宋体"/>
                <w:color w:val="auto"/>
                <w:szCs w:val="21"/>
                <w:highlight w:val="none"/>
                <w:lang w:eastAsia="zh-CN"/>
              </w:rPr>
              <w:t>020-</w:t>
            </w:r>
            <w:r>
              <w:rPr>
                <w:rFonts w:hint="eastAsia" w:ascii="宋体" w:hAnsi="宋体" w:cs="宋体"/>
                <w:color w:val="auto"/>
                <w:highlight w:val="none"/>
              </w:rPr>
              <w:t>83004420</w:t>
            </w:r>
          </w:p>
        </w:tc>
      </w:tr>
      <w:tr w14:paraId="0F21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843" w:type="dxa"/>
            <w:shd w:val="clear" w:color="auto" w:fill="auto"/>
            <w:noWrap w:val="0"/>
            <w:vAlign w:val="center"/>
          </w:tcPr>
          <w:p w14:paraId="633D960E">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12</w:t>
            </w:r>
          </w:p>
        </w:tc>
        <w:tc>
          <w:tcPr>
            <w:tcW w:w="8443" w:type="dxa"/>
            <w:noWrap w:val="0"/>
            <w:vAlign w:val="top"/>
          </w:tcPr>
          <w:p w14:paraId="5D117BD3">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4E4C0071">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rPr>
              <w:t>胡</w:t>
            </w:r>
            <w:r>
              <w:rPr>
                <w:rFonts w:hint="eastAsia" w:ascii="宋体" w:hAnsi="宋体" w:cs="宋体"/>
                <w:color w:val="auto"/>
                <w:szCs w:val="21"/>
                <w:lang w:val="en-US" w:eastAsia="zh-CN"/>
              </w:rPr>
              <w:t>工</w:t>
            </w:r>
            <w:r>
              <w:rPr>
                <w:rFonts w:hint="eastAsia" w:ascii="宋体" w:hAnsi="宋体" w:cs="宋体"/>
                <w:color w:val="auto"/>
                <w:szCs w:val="21"/>
              </w:rPr>
              <w:t>、王</w:t>
            </w:r>
            <w:r>
              <w:rPr>
                <w:rFonts w:hint="eastAsia" w:ascii="宋体" w:hAnsi="宋体" w:cs="宋体"/>
                <w:color w:val="auto"/>
                <w:szCs w:val="21"/>
                <w:lang w:val="en-US" w:eastAsia="zh-CN"/>
              </w:rPr>
              <w:t>工</w:t>
            </w:r>
            <w:r>
              <w:rPr>
                <w:rFonts w:hint="eastAsia" w:ascii="宋体" w:hAnsi="宋体" w:cs="宋体"/>
                <w:color w:val="auto"/>
                <w:szCs w:val="21"/>
              </w:rPr>
              <w:t>、刘</w:t>
            </w:r>
            <w:r>
              <w:rPr>
                <w:rFonts w:hint="eastAsia" w:ascii="宋体" w:hAnsi="宋体" w:cs="宋体"/>
                <w:color w:val="auto"/>
                <w:szCs w:val="21"/>
                <w:lang w:val="en-US" w:eastAsia="zh-CN"/>
              </w:rPr>
              <w:t>工</w:t>
            </w:r>
          </w:p>
          <w:p w14:paraId="07F5DD0D">
            <w:pPr>
              <w:spacing w:line="360" w:lineRule="auto"/>
              <w:ind w:left="-359" w:leftChars="-171" w:firstLine="359" w:firstLineChars="171"/>
              <w:rPr>
                <w:rFonts w:hint="eastAsia"/>
                <w:color w:val="auto"/>
                <w:highlight w:val="none"/>
                <w:lang w:val="en-US" w:eastAsia="zh-CN"/>
              </w:rPr>
            </w:pPr>
            <w:r>
              <w:rPr>
                <w:rFonts w:hint="eastAsia"/>
                <w:color w:val="auto"/>
                <w:highlight w:val="none"/>
              </w:rPr>
              <w:t>地址：广东省广州市越秀区环市中路316号金鹰大厦</w:t>
            </w:r>
            <w:r>
              <w:rPr>
                <w:rFonts w:hint="eastAsia"/>
                <w:color w:val="auto"/>
                <w:highlight w:val="none"/>
                <w:lang w:val="en-US" w:eastAsia="zh-CN"/>
              </w:rPr>
              <w:t>9</w:t>
            </w:r>
            <w:r>
              <w:rPr>
                <w:rFonts w:hint="eastAsia"/>
                <w:color w:val="auto"/>
                <w:highlight w:val="none"/>
              </w:rPr>
              <w:t>楼</w:t>
            </w:r>
            <w:r>
              <w:rPr>
                <w:rFonts w:hint="eastAsia"/>
                <w:color w:val="auto"/>
                <w:highlight w:val="none"/>
                <w:lang w:val="en-US" w:eastAsia="zh-CN"/>
              </w:rPr>
              <w:t>905</w:t>
            </w:r>
          </w:p>
          <w:p w14:paraId="2FEF4100">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3B31A8DF">
            <w:pPr>
              <w:spacing w:line="360" w:lineRule="auto"/>
              <w:ind w:left="-359" w:leftChars="-171" w:firstLine="359" w:firstLineChars="171"/>
              <w:rPr>
                <w:rFonts w:hint="eastAsia" w:ascii="宋体" w:hAnsi="宋体" w:eastAsia="宋体" w:cs="宋体"/>
                <w:color w:val="auto"/>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tc>
      </w:tr>
    </w:tbl>
    <w:p w14:paraId="469233FA">
      <w:pPr>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bookmarkEnd w:id="49"/>
    <w:bookmarkEnd w:id="50"/>
    <w:bookmarkEnd w:id="51"/>
    <w:bookmarkEnd w:id="52"/>
    <w:p w14:paraId="07FBA340">
      <w:pPr>
        <w:pStyle w:val="4"/>
        <w:numPr>
          <w:ilvl w:val="0"/>
          <w:numId w:val="0"/>
        </w:numPr>
        <w:ind w:left="422"/>
        <w:jc w:val="center"/>
        <w:rPr>
          <w:rFonts w:hint="eastAsia" w:hAnsi="宋体" w:cs="宋体"/>
          <w:b w:val="0"/>
          <w:bCs/>
          <w:color w:val="auto"/>
          <w:highlight w:val="none"/>
        </w:rPr>
      </w:pPr>
      <w:bookmarkStart w:id="53" w:name="_Toc513818901"/>
      <w:r>
        <w:rPr>
          <w:rFonts w:hint="eastAsia" w:hAnsi="宋体" w:cs="宋体"/>
          <w:color w:val="auto"/>
          <w:highlight w:val="none"/>
        </w:rPr>
        <w:t>一、总则</w:t>
      </w:r>
      <w:bookmarkEnd w:id="53"/>
    </w:p>
    <w:p w14:paraId="7E38A2B3">
      <w:pPr>
        <w:spacing w:line="360" w:lineRule="auto"/>
        <w:rPr>
          <w:rFonts w:hint="eastAsia" w:ascii="宋体" w:hAnsi="宋体" w:cs="宋体"/>
          <w:b/>
          <w:bCs/>
          <w:color w:val="auto"/>
          <w:highlight w:val="none"/>
        </w:rPr>
      </w:pPr>
      <w:r>
        <w:rPr>
          <w:rFonts w:hint="eastAsia" w:ascii="宋体" w:hAnsi="宋体" w:cs="宋体"/>
          <w:b/>
          <w:bCs/>
          <w:color w:val="auto"/>
          <w:highlight w:val="none"/>
        </w:rPr>
        <w:t>1、项目说明</w:t>
      </w:r>
    </w:p>
    <w:p w14:paraId="0F91F025">
      <w:pPr>
        <w:spacing w:line="360" w:lineRule="auto"/>
        <w:rPr>
          <w:rFonts w:hint="eastAsia" w:ascii="宋体" w:hAnsi="宋体" w:cs="宋体"/>
          <w:color w:val="auto"/>
          <w:highlight w:val="none"/>
        </w:rPr>
      </w:pPr>
      <w:r>
        <w:rPr>
          <w:rFonts w:hint="eastAsia" w:ascii="宋体" w:hAnsi="宋体" w:cs="宋体"/>
          <w:color w:val="auto"/>
          <w:highlight w:val="none"/>
        </w:rPr>
        <w:t>1.1项目说明</w:t>
      </w:r>
    </w:p>
    <w:p w14:paraId="6293CCCC">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广东省机电设备招标有限公司（以下简称“招标代理机构”）受</w:t>
      </w:r>
      <w:r>
        <w:rPr>
          <w:rFonts w:hint="eastAsia" w:ascii="宋体" w:hAnsi="宋体" w:cs="宋体"/>
          <w:bCs/>
          <w:color w:val="auto"/>
          <w:highlight w:val="none"/>
          <w:lang w:eastAsia="zh-CN"/>
        </w:rPr>
        <w:t>广东南都娱乐传媒有限公司</w:t>
      </w:r>
      <w:r>
        <w:rPr>
          <w:rFonts w:hint="eastAsia" w:ascii="宋体" w:hAnsi="宋体" w:cs="宋体"/>
          <w:bCs/>
          <w:color w:val="auto"/>
          <w:highlight w:val="none"/>
        </w:rPr>
        <w:t>委托（以下简称“招标人”），就“</w:t>
      </w:r>
      <w:r>
        <w:rPr>
          <w:rFonts w:hint="eastAsia" w:ascii="宋体" w:hAnsi="宋体" w:cs="宋体"/>
          <w:b/>
          <w:bCs/>
          <w:color w:val="auto"/>
          <w:highlight w:val="none"/>
          <w:lang w:eastAsia="zh-CN"/>
        </w:rPr>
        <w:t>大型文化艺术活动执行服务保障与品牌影响力提升全媒体宣传推广服务（第二次）</w:t>
      </w:r>
      <w:r>
        <w:rPr>
          <w:rFonts w:hint="eastAsia" w:ascii="宋体" w:hAnsi="宋体" w:cs="宋体"/>
          <w:color w:val="auto"/>
          <w:highlight w:val="none"/>
        </w:rPr>
        <w:t>”</w:t>
      </w:r>
      <w:r>
        <w:rPr>
          <w:rFonts w:hint="eastAsia" w:ascii="宋体" w:hAnsi="宋体" w:cs="宋体"/>
          <w:bCs/>
          <w:color w:val="auto"/>
          <w:highlight w:val="none"/>
        </w:rPr>
        <w:t>进行国内公开招标。</w:t>
      </w:r>
    </w:p>
    <w:p w14:paraId="143E99C7">
      <w:pPr>
        <w:spacing w:line="360" w:lineRule="auto"/>
        <w:rPr>
          <w:rFonts w:hint="eastAsia" w:ascii="宋体" w:hAnsi="宋体" w:cs="宋体"/>
          <w:color w:val="auto"/>
          <w:highlight w:val="none"/>
        </w:rPr>
      </w:pPr>
      <w:bookmarkStart w:id="54" w:name="_Toc409173217"/>
      <w:bookmarkStart w:id="55" w:name="_Toc409173103"/>
      <w:r>
        <w:rPr>
          <w:rFonts w:hint="eastAsia" w:ascii="宋体" w:hAnsi="宋体" w:cs="宋体"/>
          <w:color w:val="auto"/>
          <w:highlight w:val="none"/>
        </w:rPr>
        <w:t>1.2资金来源</w:t>
      </w:r>
      <w:bookmarkEnd w:id="54"/>
      <w:bookmarkEnd w:id="55"/>
    </w:p>
    <w:p w14:paraId="0A68043B">
      <w:pPr>
        <w:spacing w:line="360" w:lineRule="auto"/>
        <w:ind w:firstLine="420" w:firstLineChars="200"/>
        <w:rPr>
          <w:rFonts w:hint="eastAsia" w:ascii="宋体" w:hAnsi="宋体" w:eastAsia="宋体" w:cs="宋体"/>
          <w:bCs/>
          <w:color w:val="auto"/>
          <w:highlight w:val="none"/>
          <w:lang w:eastAsia="zh-CN"/>
        </w:rPr>
      </w:pPr>
      <w:r>
        <w:rPr>
          <w:rFonts w:hint="eastAsia" w:ascii="宋体" w:hAnsi="宋体" w:cs="宋体"/>
          <w:bCs/>
          <w:color w:val="auto"/>
          <w:highlight w:val="none"/>
          <w:lang w:val="en-US" w:eastAsia="zh-CN"/>
        </w:rPr>
        <w:t>已落实</w:t>
      </w:r>
    </w:p>
    <w:p w14:paraId="67289474">
      <w:pPr>
        <w:spacing w:line="360" w:lineRule="auto"/>
        <w:rPr>
          <w:rFonts w:hint="eastAsia" w:ascii="宋体" w:hAnsi="宋体" w:cs="宋体"/>
          <w:color w:val="auto"/>
          <w:highlight w:val="none"/>
        </w:rPr>
      </w:pPr>
      <w:r>
        <w:rPr>
          <w:rFonts w:hint="eastAsia" w:ascii="宋体" w:hAnsi="宋体" w:cs="宋体"/>
          <w:color w:val="auto"/>
          <w:highlight w:val="none"/>
        </w:rPr>
        <w:t>1.3招标方式</w:t>
      </w:r>
    </w:p>
    <w:p w14:paraId="59E5AB4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公开招标方式</w:t>
      </w:r>
    </w:p>
    <w:p w14:paraId="13C4653E">
      <w:pPr>
        <w:spacing w:line="360" w:lineRule="auto"/>
        <w:jc w:val="left"/>
        <w:rPr>
          <w:rFonts w:hint="eastAsia" w:ascii="宋体" w:hAnsi="宋体" w:cs="宋体"/>
          <w:color w:val="auto"/>
          <w:highlight w:val="none"/>
        </w:rPr>
      </w:pPr>
      <w:r>
        <w:rPr>
          <w:rFonts w:hint="eastAsia" w:ascii="宋体" w:hAnsi="宋体" w:cs="宋体"/>
          <w:color w:val="auto"/>
          <w:highlight w:val="none"/>
        </w:rPr>
        <w:t>1.4招标项目</w:t>
      </w:r>
    </w:p>
    <w:p w14:paraId="6C1F7D3A">
      <w:pPr>
        <w:spacing w:line="360" w:lineRule="auto"/>
        <w:ind w:firstLine="422" w:firstLineChars="200"/>
        <w:rPr>
          <w:rFonts w:hint="eastAsia" w:ascii="宋体" w:hAnsi="宋体" w:cs="宋体"/>
          <w:b/>
          <w:color w:val="auto"/>
          <w:highlight w:val="none"/>
          <w:u w:val="single"/>
        </w:rPr>
      </w:pPr>
      <w:r>
        <w:rPr>
          <w:rFonts w:hint="eastAsia" w:ascii="宋体" w:hAnsi="宋体" w:cs="宋体"/>
          <w:b/>
          <w:color w:val="auto"/>
          <w:highlight w:val="none"/>
          <w:u w:val="single"/>
          <w:lang w:eastAsia="zh-CN"/>
        </w:rPr>
        <w:t>大型文化艺术活动执行服务保障与品牌影响力提升全媒体宣传推广服务（第二次）</w:t>
      </w:r>
      <w:r>
        <w:rPr>
          <w:rFonts w:hint="eastAsia" w:ascii="宋体" w:hAnsi="宋体" w:cs="宋体"/>
          <w:b/>
          <w:color w:val="auto"/>
          <w:highlight w:val="none"/>
          <w:u w:val="single"/>
        </w:rPr>
        <w:t>（下称“本项目”）</w:t>
      </w:r>
    </w:p>
    <w:p w14:paraId="7D07B1C7">
      <w:pPr>
        <w:tabs>
          <w:tab w:val="left" w:pos="720"/>
        </w:tabs>
        <w:spacing w:line="360" w:lineRule="auto"/>
        <w:ind w:firstLine="210" w:firstLineChars="100"/>
        <w:rPr>
          <w:rFonts w:hint="eastAsia" w:ascii="宋体" w:hAnsi="宋体" w:cs="宋体"/>
          <w:b/>
          <w:color w:val="auto"/>
          <w:sz w:val="24"/>
          <w:highlight w:val="none"/>
        </w:rPr>
      </w:pPr>
      <w:r>
        <w:rPr>
          <w:rFonts w:hint="eastAsia" w:ascii="宋体" w:hAnsi="宋体" w:cs="宋体"/>
          <w:color w:val="auto"/>
          <w:highlight w:val="none"/>
        </w:rPr>
        <w:t>（详细内容请参阅招标文件中“用户需求书”的相关内容）</w:t>
      </w:r>
    </w:p>
    <w:p w14:paraId="4E06CA5D">
      <w:pPr>
        <w:tabs>
          <w:tab w:val="left" w:pos="720"/>
        </w:tabs>
        <w:spacing w:line="360" w:lineRule="auto"/>
        <w:rPr>
          <w:rFonts w:hint="eastAsia" w:ascii="宋体" w:hAnsi="宋体" w:cs="宋体"/>
          <w:b/>
          <w:color w:val="auto"/>
          <w:sz w:val="24"/>
          <w:highlight w:val="none"/>
          <w:u w:val="single"/>
        </w:rPr>
      </w:pPr>
      <w:r>
        <w:rPr>
          <w:rFonts w:hint="eastAsia" w:ascii="宋体" w:hAnsi="宋体" w:cs="宋体"/>
          <w:b/>
          <w:color w:val="auto"/>
          <w:sz w:val="24"/>
          <w:highlight w:val="none"/>
        </w:rPr>
        <w:t>2、</w:t>
      </w:r>
      <w:r>
        <w:rPr>
          <w:rFonts w:hint="eastAsia" w:ascii="宋体" w:hAnsi="宋体" w:cs="宋体"/>
          <w:b/>
          <w:bCs/>
          <w:color w:val="auto"/>
          <w:highlight w:val="none"/>
        </w:rPr>
        <w:t>定义及解释</w:t>
      </w:r>
    </w:p>
    <w:p w14:paraId="3CEB2FD2">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2.1公开招标方式：招标人参照《中华人民共和国招标投标法》及相关法律法规，在指定的网站发布相关采购信息，邀请不特定法人单位购买招标文件，法人单位并按照招标文件的约定，编制投标文件，参与投标，随后，招标人组织评标委员会，按照招标文件的要求投标文件进行评审，并最终推荐中标单位的过程。</w:t>
      </w:r>
    </w:p>
    <w:p w14:paraId="49B959E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业主/招标人/甲方/使用单位/采购人/用户：均指</w:t>
      </w:r>
      <w:r>
        <w:rPr>
          <w:rFonts w:hint="eastAsia" w:ascii="宋体" w:hAnsi="宋体" w:cs="宋体"/>
          <w:color w:val="auto"/>
          <w:highlight w:val="none"/>
          <w:lang w:eastAsia="zh-CN"/>
        </w:rPr>
        <w:t>广东南都娱乐传媒有限公司</w:t>
      </w:r>
      <w:r>
        <w:rPr>
          <w:rFonts w:hint="eastAsia" w:ascii="宋体" w:hAnsi="宋体" w:cs="宋体"/>
          <w:color w:val="auto"/>
          <w:highlight w:val="none"/>
        </w:rPr>
        <w:t>；招标代理机构：</w:t>
      </w:r>
      <w:r>
        <w:rPr>
          <w:rFonts w:hint="eastAsia" w:ascii="宋体" w:hAnsi="宋体" w:cs="宋体"/>
          <w:color w:val="auto"/>
          <w:szCs w:val="21"/>
          <w:highlight w:val="none"/>
        </w:rPr>
        <w:t>广东省机电设备招标有限公司。</w:t>
      </w:r>
    </w:p>
    <w:p w14:paraId="5C53EA36">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 xml:space="preserve"> 投标人/供应商：指</w:t>
      </w:r>
      <w:r>
        <w:rPr>
          <w:rFonts w:hint="eastAsia" w:ascii="宋体" w:hAnsi="宋体" w:cs="宋体"/>
          <w:color w:val="auto"/>
          <w:spacing w:val="8"/>
          <w:szCs w:val="21"/>
          <w:highlight w:val="none"/>
        </w:rPr>
        <w:t>响应招标、参加投标竞争的法人或者其他组织</w:t>
      </w:r>
      <w:r>
        <w:rPr>
          <w:rFonts w:hint="eastAsia" w:ascii="宋体" w:hAnsi="宋体" w:cs="宋体"/>
          <w:color w:val="auto"/>
          <w:highlight w:val="none"/>
        </w:rPr>
        <w:t>。</w:t>
      </w:r>
    </w:p>
    <w:p w14:paraId="06C02C59">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评标委员会：评标委员会是依法组织的专门负责本次招标及评标工作的临时性机构。</w:t>
      </w:r>
    </w:p>
    <w:p w14:paraId="12B2F8FB">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日期：是指公历日。</w:t>
      </w:r>
    </w:p>
    <w:p w14:paraId="3B60209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合同：指本次招标所产生的合同或合约文件。</w:t>
      </w:r>
    </w:p>
    <w:p w14:paraId="0E336C4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招标文件中的标题或标名仅起引导作用，而不应视为对招标文件内容的理解和解释。</w:t>
      </w:r>
    </w:p>
    <w:p w14:paraId="29418F5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8</w:t>
      </w:r>
      <w:r>
        <w:rPr>
          <w:rFonts w:hint="eastAsia" w:ascii="宋体" w:hAnsi="宋体" w:cs="宋体"/>
          <w:color w:val="auto"/>
          <w:highlight w:val="none"/>
        </w:rPr>
        <w:t>“</w:t>
      </w:r>
      <w:r>
        <w:rPr>
          <w:rFonts w:hint="eastAsia" w:ascii="宋体" w:hAnsi="宋体" w:cs="宋体"/>
          <w:color w:val="auto"/>
          <w:highlight w:val="none"/>
          <w:lang w:eastAsia="zh-CN"/>
        </w:rPr>
        <w:t>招标人</w:t>
      </w:r>
      <w:r>
        <w:rPr>
          <w:rFonts w:hint="eastAsia" w:ascii="宋体" w:hAnsi="宋体" w:cs="宋体"/>
          <w:color w:val="auto"/>
          <w:highlight w:val="none"/>
        </w:rPr>
        <w:t>”、“投标人”、“成员”和“各方”等人或有关组织的用词均是指依法成立的公司、组织或行政事业单位下属机构。根据上下文的需要，这些用词的单复数具有相同的定义。</w:t>
      </w:r>
    </w:p>
    <w:p w14:paraId="310652CD">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9</w:t>
      </w:r>
      <w:r>
        <w:rPr>
          <w:rFonts w:hint="eastAsia" w:ascii="宋体" w:hAnsi="宋体" w:cs="宋体"/>
          <w:color w:val="auto"/>
          <w:highlight w:val="none"/>
        </w:rPr>
        <w:t>招标文件中所规定的“书面形式”，是指任何手写的、打印的或印刷的通讯，包括电报和传真发送。</w:t>
      </w:r>
    </w:p>
    <w:p w14:paraId="1829C8E5">
      <w:pPr>
        <w:spacing w:line="360" w:lineRule="auto"/>
        <w:ind w:left="422" w:hanging="422" w:hangingChars="200"/>
        <w:rPr>
          <w:rFonts w:hint="eastAsia" w:ascii="宋体" w:hAnsi="宋体" w:cs="宋体"/>
          <w:b/>
          <w:color w:val="auto"/>
          <w:highlight w:val="none"/>
        </w:rPr>
      </w:pPr>
      <w:r>
        <w:rPr>
          <w:rFonts w:hint="eastAsia" w:ascii="宋体" w:hAnsi="宋体" w:cs="宋体"/>
          <w:b/>
          <w:color w:val="auto"/>
          <w:highlight w:val="none"/>
        </w:rPr>
        <w:t>3、合格的投标人</w:t>
      </w:r>
    </w:p>
    <w:p w14:paraId="0D308861">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3.1与本项目招标公告（或投标人须知前附表）中合格投标人资格条件一致。</w:t>
      </w:r>
    </w:p>
    <w:p w14:paraId="3FE675DE">
      <w:pPr>
        <w:spacing w:line="360" w:lineRule="auto"/>
        <w:rPr>
          <w:rFonts w:hint="eastAsia" w:ascii="宋体" w:hAnsi="宋体" w:cs="宋体"/>
          <w:b/>
          <w:bCs/>
          <w:color w:val="auto"/>
          <w:highlight w:val="none"/>
        </w:rPr>
      </w:pPr>
      <w:r>
        <w:rPr>
          <w:rFonts w:hint="eastAsia" w:ascii="宋体" w:hAnsi="宋体" w:cs="宋体"/>
          <w:b/>
          <w:bCs/>
          <w:color w:val="auto"/>
          <w:highlight w:val="none"/>
        </w:rPr>
        <w:t>4、纪律与保密事项</w:t>
      </w:r>
    </w:p>
    <w:p w14:paraId="241DB59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4.1凡参与招标工作的有关人员均应自觉接受有关主管部门的监督，不得向他人透露已获得招标文件的潜在投标人的名称、数量以及可能影响公平竞争的有关招投标的其他情况。</w:t>
      </w:r>
    </w:p>
    <w:p w14:paraId="612069B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4.2开标后，直至向</w:t>
      </w:r>
      <w:r>
        <w:rPr>
          <w:rFonts w:hint="eastAsia" w:ascii="宋体" w:hAnsi="宋体" w:cs="宋体"/>
          <w:color w:val="auto"/>
          <w:highlight w:val="none"/>
          <w:lang w:val="en-US" w:eastAsia="zh-CN"/>
        </w:rPr>
        <w:t>中标人</w:t>
      </w:r>
      <w:r>
        <w:rPr>
          <w:rFonts w:hint="eastAsia" w:ascii="宋体" w:hAnsi="宋体" w:cs="宋体"/>
          <w:color w:val="auto"/>
          <w:highlight w:val="none"/>
        </w:rPr>
        <w:t>发出《中标通知书》时止，凡与审查、澄清、评价和比较投标的有关资料以及授标意见等，参与招标工作的有关人员均不得向投标人及与评标无关的其他人透露。</w:t>
      </w:r>
    </w:p>
    <w:p w14:paraId="0F72D1F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4.3除投标人被要求对投标文件进行澄清外，从开标之日起至授予合同期间，投标人不得就与其投标文件有关的事项主动与评标委员会及</w:t>
      </w:r>
      <w:r>
        <w:rPr>
          <w:rFonts w:hint="eastAsia" w:ascii="宋体" w:hAnsi="宋体" w:cs="宋体"/>
          <w:color w:val="auto"/>
          <w:highlight w:val="none"/>
          <w:lang w:eastAsia="zh-CN"/>
        </w:rPr>
        <w:t>招标人</w:t>
      </w:r>
      <w:r>
        <w:rPr>
          <w:rFonts w:hint="eastAsia" w:ascii="宋体" w:hAnsi="宋体" w:cs="宋体"/>
          <w:color w:val="auto"/>
          <w:highlight w:val="none"/>
        </w:rPr>
        <w:t>联系。</w:t>
      </w:r>
    </w:p>
    <w:p w14:paraId="2DD1A4C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4.4从开标之日起至授予合同期间，投标人试图在投标文件审查、澄清、比较和评价时对评标委员会施加任何影响或对</w:t>
      </w:r>
      <w:r>
        <w:rPr>
          <w:rFonts w:hint="eastAsia" w:ascii="宋体" w:hAnsi="宋体" w:cs="宋体"/>
          <w:color w:val="auto"/>
          <w:highlight w:val="none"/>
          <w:lang w:eastAsia="zh-CN"/>
        </w:rPr>
        <w:t>招标人</w:t>
      </w:r>
      <w:r>
        <w:rPr>
          <w:rFonts w:hint="eastAsia" w:ascii="宋体" w:hAnsi="宋体" w:cs="宋体"/>
          <w:color w:val="auto"/>
          <w:highlight w:val="none"/>
        </w:rPr>
        <w:t>的比较及授予合同的决定进行影响，都可能导致其投标文件被拒绝。</w:t>
      </w:r>
    </w:p>
    <w:p w14:paraId="5437081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4.5投标人不得串通作弊，以不正当的手段妨碍、排挤其他人，扰乱招标市场，破坏公平竞争原则。</w:t>
      </w:r>
    </w:p>
    <w:p w14:paraId="3459912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4.6获得本招标文件者，应对文件进行保密，不得用作本次投标以外的任何用途。若有要求，开标后，投标人应归还招标文件中的保密文件和资料。</w:t>
      </w:r>
    </w:p>
    <w:p w14:paraId="50BDDC66">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4.7由</w:t>
      </w:r>
      <w:r>
        <w:rPr>
          <w:rFonts w:hint="eastAsia" w:ascii="宋体" w:hAnsi="宋体" w:cs="宋体"/>
          <w:color w:val="auto"/>
          <w:highlight w:val="none"/>
          <w:lang w:val="en-US" w:eastAsia="zh-CN"/>
        </w:rPr>
        <w:t>招标人</w:t>
      </w:r>
      <w:r>
        <w:rPr>
          <w:rFonts w:hint="eastAsia" w:ascii="宋体" w:hAnsi="宋体" w:cs="宋体"/>
          <w:color w:val="auto"/>
          <w:highlight w:val="none"/>
        </w:rPr>
        <w:t>向投标人提供的</w:t>
      </w:r>
      <w:r>
        <w:rPr>
          <w:rFonts w:hint="eastAsia" w:ascii="宋体" w:hAnsi="宋体" w:cs="宋体"/>
          <w:color w:val="auto"/>
          <w:highlight w:val="none"/>
          <w:lang w:val="en-US" w:eastAsia="zh-CN"/>
        </w:rPr>
        <w:t>服务要求等相关</w:t>
      </w:r>
      <w:r>
        <w:rPr>
          <w:rFonts w:hint="eastAsia" w:ascii="宋体" w:hAnsi="宋体" w:cs="宋体"/>
          <w:color w:val="auto"/>
          <w:highlight w:val="none"/>
        </w:rPr>
        <w:t>资料，被视为保密资料，仅被用于它所规定的用途，除非得到</w:t>
      </w:r>
      <w:r>
        <w:rPr>
          <w:rFonts w:hint="eastAsia" w:ascii="宋体" w:hAnsi="宋体" w:cs="宋体"/>
          <w:color w:val="auto"/>
          <w:highlight w:val="none"/>
          <w:lang w:eastAsia="zh-CN"/>
        </w:rPr>
        <w:t>招标人</w:t>
      </w:r>
      <w:r>
        <w:rPr>
          <w:rFonts w:hint="eastAsia" w:ascii="宋体" w:hAnsi="宋体" w:cs="宋体"/>
          <w:color w:val="auto"/>
          <w:highlight w:val="none"/>
        </w:rPr>
        <w:t>或招标人的同意，不能向任何第三方透露。开标完成后，投标人应归还所有从</w:t>
      </w:r>
      <w:r>
        <w:rPr>
          <w:rFonts w:hint="eastAsia" w:ascii="宋体" w:hAnsi="宋体" w:cs="宋体"/>
          <w:color w:val="auto"/>
          <w:highlight w:val="none"/>
          <w:lang w:eastAsia="zh-CN"/>
        </w:rPr>
        <w:t>招标人</w:t>
      </w:r>
      <w:r>
        <w:rPr>
          <w:rFonts w:hint="eastAsia" w:ascii="宋体" w:hAnsi="宋体" w:cs="宋体"/>
          <w:color w:val="auto"/>
          <w:highlight w:val="none"/>
        </w:rPr>
        <w:t>处获得的保密资料。</w:t>
      </w:r>
    </w:p>
    <w:p w14:paraId="4186322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5、投标人须知</w:t>
      </w:r>
    </w:p>
    <w:p w14:paraId="3850DBB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5.1凡参加本次投标的投标人视为已充分认识和理解了任何与本项目有关的事项及各种困难情况。</w:t>
      </w:r>
    </w:p>
    <w:p w14:paraId="0229B98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5.2 投标人应保证所提供给</w:t>
      </w:r>
      <w:r>
        <w:rPr>
          <w:rFonts w:hint="eastAsia" w:ascii="宋体" w:hAnsi="宋体" w:cs="宋体"/>
          <w:color w:val="auto"/>
          <w:highlight w:val="none"/>
          <w:lang w:eastAsia="zh-CN"/>
        </w:rPr>
        <w:t>招标人</w:t>
      </w:r>
      <w:r>
        <w:rPr>
          <w:rFonts w:hint="eastAsia" w:ascii="宋体" w:hAnsi="宋体" w:cs="宋体"/>
          <w:color w:val="auto"/>
          <w:highlight w:val="none"/>
        </w:rPr>
        <w:t>的资料和数据是真实的。</w:t>
      </w:r>
    </w:p>
    <w:p w14:paraId="71A1E0C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6、投标费用</w:t>
      </w:r>
    </w:p>
    <w:p w14:paraId="52600F3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6.1投标人应承担获取招标文件及所有与编写和提交投标文件有关的费用，不论投标的结果如何，</w:t>
      </w:r>
      <w:r>
        <w:rPr>
          <w:rFonts w:hint="eastAsia" w:ascii="宋体" w:hAnsi="宋体" w:cs="宋体"/>
          <w:color w:val="auto"/>
          <w:highlight w:val="none"/>
          <w:lang w:eastAsia="zh-CN"/>
        </w:rPr>
        <w:t>招标人</w:t>
      </w:r>
      <w:r>
        <w:rPr>
          <w:rFonts w:hint="eastAsia" w:ascii="宋体" w:hAnsi="宋体" w:cs="宋体"/>
          <w:color w:val="auto"/>
          <w:highlight w:val="none"/>
        </w:rPr>
        <w:t>在任何情况下均无义务和责任承担这些费用。</w:t>
      </w:r>
    </w:p>
    <w:p w14:paraId="4804B520">
      <w:pPr>
        <w:pStyle w:val="4"/>
        <w:numPr>
          <w:ilvl w:val="0"/>
          <w:numId w:val="0"/>
        </w:numPr>
        <w:ind w:left="422"/>
        <w:jc w:val="center"/>
        <w:rPr>
          <w:rFonts w:hint="eastAsia" w:hAnsi="宋体" w:cs="宋体"/>
          <w:b w:val="0"/>
          <w:bCs/>
          <w:color w:val="auto"/>
          <w:highlight w:val="none"/>
        </w:rPr>
      </w:pPr>
      <w:bookmarkStart w:id="56" w:name="_Toc513818902"/>
      <w:bookmarkStart w:id="57" w:name="_Toc409173104"/>
      <w:bookmarkStart w:id="58" w:name="_Toc409173218"/>
      <w:r>
        <w:rPr>
          <w:rFonts w:hint="eastAsia" w:hAnsi="宋体" w:cs="宋体"/>
          <w:color w:val="auto"/>
          <w:highlight w:val="none"/>
        </w:rPr>
        <w:t>二、招标文件</w:t>
      </w:r>
      <w:bookmarkEnd w:id="56"/>
      <w:bookmarkEnd w:id="57"/>
      <w:bookmarkEnd w:id="58"/>
    </w:p>
    <w:p w14:paraId="4A598708">
      <w:pPr>
        <w:spacing w:line="360" w:lineRule="auto"/>
        <w:ind w:left="542" w:hanging="542" w:hangingChars="257"/>
        <w:rPr>
          <w:rFonts w:hint="eastAsia" w:ascii="宋体" w:hAnsi="宋体" w:cs="宋体"/>
          <w:b/>
          <w:bCs/>
          <w:color w:val="auto"/>
          <w:highlight w:val="none"/>
        </w:rPr>
      </w:pPr>
      <w:r>
        <w:rPr>
          <w:rFonts w:hint="eastAsia" w:ascii="宋体" w:hAnsi="宋体" w:cs="宋体"/>
          <w:b/>
          <w:bCs/>
          <w:color w:val="auto"/>
          <w:highlight w:val="none"/>
        </w:rPr>
        <w:t>7、招标文件的构成</w:t>
      </w:r>
    </w:p>
    <w:p w14:paraId="5E3914B0">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7.1本次招标的有关内容和要求在招标文件中均有说明。招标文件包括：</w:t>
      </w:r>
    </w:p>
    <w:p w14:paraId="00EAC0FD">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第一章  投标邀请函</w:t>
      </w:r>
    </w:p>
    <w:p w14:paraId="0FD78124">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第二章  投标人须知</w:t>
      </w:r>
    </w:p>
    <w:p w14:paraId="4F84FF59">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第三章  用户需求书</w:t>
      </w:r>
    </w:p>
    <w:p w14:paraId="52F3748F">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第四章  合同格式</w:t>
      </w:r>
    </w:p>
    <w:p w14:paraId="43456EC6">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第五章  投标文件格式</w:t>
      </w:r>
    </w:p>
    <w:p w14:paraId="23E0129D">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第六章  评标办法</w:t>
      </w:r>
    </w:p>
    <w:p w14:paraId="157C0EC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7.2投标人应认真阅读招标文件中所有的事项、格式、条款和规范等要求。投标人没有按照招标文件要求提交全部资料，或者投标文件没有对招标文件各方面都有做出实质性响应是投标人的风险，因为没有实质性响应招标文件要求的投标将被拒绝。</w:t>
      </w:r>
    </w:p>
    <w:p w14:paraId="1B862F12">
      <w:pPr>
        <w:spacing w:line="360" w:lineRule="auto"/>
        <w:rPr>
          <w:rFonts w:hint="eastAsia" w:ascii="宋体" w:hAnsi="宋体" w:cs="宋体"/>
          <w:b/>
          <w:bCs/>
          <w:color w:val="auto"/>
          <w:highlight w:val="none"/>
        </w:rPr>
      </w:pPr>
      <w:r>
        <w:rPr>
          <w:rFonts w:hint="eastAsia" w:ascii="宋体" w:hAnsi="宋体" w:cs="宋体"/>
          <w:b/>
          <w:bCs/>
          <w:color w:val="auto"/>
          <w:highlight w:val="none"/>
        </w:rPr>
        <w:t>8、招标文件的澄清</w:t>
      </w:r>
    </w:p>
    <w:p w14:paraId="5A43D1CC">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8.1任何要求对招标文件进行澄清的投标人，均应以书面形式通知招标代理机构。招标代理机构对其在投标人须知规定的投标截止时间</w:t>
      </w:r>
      <w:r>
        <w:rPr>
          <w:rFonts w:hint="eastAsia" w:ascii="宋体" w:hAnsi="宋体" w:cs="宋体"/>
          <w:b/>
          <w:color w:val="auto"/>
          <w:highlight w:val="none"/>
          <w:u w:val="single"/>
        </w:rPr>
        <w:t>15日以前</w:t>
      </w:r>
      <w:r>
        <w:rPr>
          <w:rFonts w:hint="eastAsia" w:ascii="宋体" w:hAnsi="宋体" w:cs="宋体"/>
          <w:color w:val="auto"/>
          <w:highlight w:val="none"/>
        </w:rPr>
        <w:t>收到的对招标文件的澄清要求将以书面形式予以答复，同时将书面答复</w:t>
      </w:r>
      <w:r>
        <w:rPr>
          <w:rFonts w:hint="eastAsia" w:ascii="宋体" w:hAnsi="宋体" w:cs="宋体"/>
          <w:color w:val="auto"/>
          <w:highlight w:val="none"/>
          <w:lang w:val="en-US" w:eastAsia="zh-CN"/>
        </w:rPr>
        <w:t>发送</w:t>
      </w:r>
      <w:r>
        <w:rPr>
          <w:rFonts w:hint="eastAsia" w:ascii="宋体" w:hAnsi="宋体" w:cs="宋体"/>
          <w:color w:val="auto"/>
          <w:highlight w:val="none"/>
        </w:rPr>
        <w:t>给每个购买招标文件的投标人（答复中包括所有问题，但不包括问题的来源）。</w:t>
      </w:r>
    </w:p>
    <w:p w14:paraId="01BF714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8.2对于投标</w:t>
      </w:r>
      <w:r>
        <w:rPr>
          <w:rFonts w:hint="eastAsia" w:ascii="宋体" w:hAnsi="宋体" w:cs="宋体"/>
          <w:color w:val="auto"/>
          <w:highlight w:val="none"/>
          <w:lang w:eastAsia="zh-CN"/>
        </w:rPr>
        <w:t>人</w:t>
      </w:r>
      <w:r>
        <w:rPr>
          <w:rFonts w:hint="eastAsia" w:ascii="宋体" w:hAnsi="宋体" w:cs="宋体"/>
          <w:color w:val="auto"/>
          <w:highlight w:val="none"/>
        </w:rPr>
        <w:t>澄清要求的回复，招标代理机构均将以书面形式或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05F6787D">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9、招标文件的修改</w:t>
      </w:r>
    </w:p>
    <w:p w14:paraId="16F04FAD">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9.1在截止投标时间</w:t>
      </w:r>
      <w:r>
        <w:rPr>
          <w:rFonts w:hint="eastAsia" w:ascii="宋体" w:hAnsi="宋体" w:cs="宋体"/>
          <w:b/>
          <w:color w:val="auto"/>
          <w:highlight w:val="none"/>
          <w:u w:val="single"/>
        </w:rPr>
        <w:t>15日前</w:t>
      </w:r>
      <w:r>
        <w:rPr>
          <w:rFonts w:hint="eastAsia" w:ascii="宋体" w:hAnsi="宋体" w:cs="宋体"/>
          <w:color w:val="auto"/>
          <w:highlight w:val="none"/>
        </w:rPr>
        <w:t>的任何时候，无论出于何种原因，</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或招标代理机构可主动地或在解答投标人提出的需澄清的问题时向投标人发修改文件对招标文件进行修改。</w:t>
      </w:r>
    </w:p>
    <w:p w14:paraId="593C1DCE">
      <w:pPr>
        <w:pStyle w:val="18"/>
        <w:spacing w:line="360" w:lineRule="auto"/>
        <w:ind w:left="359" w:leftChars="0" w:hanging="359" w:hangingChars="171"/>
        <w:rPr>
          <w:rFonts w:hint="eastAsia" w:ascii="宋体" w:hAnsi="宋体" w:cs="宋体"/>
          <w:color w:val="auto"/>
          <w:highlight w:val="none"/>
        </w:rPr>
      </w:pPr>
      <w:r>
        <w:rPr>
          <w:rFonts w:hint="eastAsia" w:ascii="宋体" w:hAnsi="宋体" w:cs="宋体"/>
          <w:color w:val="auto"/>
          <w:highlight w:val="none"/>
        </w:rPr>
        <w:t>9.2文件的澄清和修改文件将以书面形式通知所有购买招标文件的投标人，该澄清文件也是招标文件的组成部分，并对投标人具有约束力。</w:t>
      </w:r>
    </w:p>
    <w:p w14:paraId="7E44C142">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9.3为使投标人编写招标文件时有充分时间对招标文件的修改部分进行研究，</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w:t>
      </w:r>
      <w:r>
        <w:rPr>
          <w:rFonts w:hint="eastAsia" w:ascii="宋体" w:hAnsi="宋体" w:cs="宋体"/>
          <w:color w:val="auto"/>
          <w:highlight w:val="none"/>
          <w:lang w:val="en-US" w:eastAsia="zh-CN"/>
        </w:rPr>
        <w:t>自</w:t>
      </w:r>
      <w:r>
        <w:rPr>
          <w:rFonts w:hint="eastAsia" w:ascii="宋体" w:hAnsi="宋体" w:cs="宋体"/>
          <w:color w:val="auto"/>
          <w:highlight w:val="none"/>
        </w:rPr>
        <w:t>行决定，酌情延长投标截止日期，同时将决定以书面形式通知所有购买招标文件的投标人。</w:t>
      </w:r>
    </w:p>
    <w:p w14:paraId="1F57EF96">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rPr>
        <w:t>9.4投标人在收到招标代理机构发给的任何澄清和修改文件时，都应在收到后立即以书面形式向招标代理机构确认。</w:t>
      </w:r>
    </w:p>
    <w:p w14:paraId="7780B3C6">
      <w:pPr>
        <w:spacing w:line="360" w:lineRule="auto"/>
        <w:ind w:left="491" w:hanging="491" w:hangingChars="234"/>
        <w:rPr>
          <w:rFonts w:hint="eastAsia" w:ascii="宋体" w:hAnsi="宋体" w:cs="宋体"/>
          <w:color w:val="auto"/>
          <w:highlight w:val="none"/>
        </w:rPr>
      </w:pPr>
      <w:r>
        <w:rPr>
          <w:rFonts w:hint="eastAsia" w:ascii="宋体" w:hAnsi="宋体" w:cs="宋体"/>
          <w:color w:val="auto"/>
          <w:highlight w:val="none"/>
        </w:rPr>
        <w:t>9.5对于招标文件的修改或补充文件，招标代理机构均将以书面形式或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val="en-US"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28F6114E">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10、招标语言及计量</w:t>
      </w:r>
    </w:p>
    <w:p w14:paraId="68CF8411">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10.1投标文件和来往函件应用中文书写，投标</w:t>
      </w:r>
      <w:r>
        <w:rPr>
          <w:rFonts w:hint="eastAsia" w:ascii="宋体" w:hAnsi="宋体" w:cs="宋体"/>
          <w:color w:val="auto"/>
          <w:highlight w:val="none"/>
          <w:lang w:val="en-US" w:eastAsia="zh-CN"/>
        </w:rPr>
        <w:t>人</w:t>
      </w:r>
      <w:r>
        <w:rPr>
          <w:rFonts w:hint="eastAsia" w:ascii="宋体" w:hAnsi="宋体" w:cs="宋体"/>
          <w:color w:val="auto"/>
          <w:highlight w:val="none"/>
        </w:rPr>
        <w:t>提供的支持文件、技术资料和印刷的文献可以用其它语言，但相应内容应附有中文翻译本（经公证处公证），以中文为准，对不同文字文本投标文件的解释发生异议的，以中文文本为准。</w:t>
      </w:r>
    </w:p>
    <w:p w14:paraId="674E91F9">
      <w:pPr>
        <w:spacing w:line="360" w:lineRule="auto"/>
        <w:rPr>
          <w:rFonts w:hint="eastAsia" w:ascii="宋体" w:hAnsi="宋体" w:cs="宋体"/>
          <w:color w:val="auto"/>
          <w:highlight w:val="none"/>
        </w:rPr>
      </w:pPr>
      <w:r>
        <w:rPr>
          <w:rFonts w:hint="eastAsia" w:ascii="宋体" w:hAnsi="宋体" w:cs="宋体"/>
          <w:color w:val="auto"/>
          <w:highlight w:val="none"/>
        </w:rPr>
        <w:t>10.2招标文件中的所有计量单位和规格说明都使用国家法定计量单位表示。</w:t>
      </w:r>
    </w:p>
    <w:p w14:paraId="00F0EEB6">
      <w:pPr>
        <w:pStyle w:val="4"/>
        <w:numPr>
          <w:ilvl w:val="0"/>
          <w:numId w:val="0"/>
        </w:numPr>
        <w:ind w:left="422"/>
        <w:jc w:val="center"/>
        <w:rPr>
          <w:rFonts w:hint="eastAsia" w:hAnsi="宋体" w:cs="宋体"/>
          <w:b w:val="0"/>
          <w:bCs/>
          <w:color w:val="auto"/>
          <w:highlight w:val="none"/>
        </w:rPr>
      </w:pPr>
      <w:bookmarkStart w:id="59" w:name="_Toc513818903"/>
      <w:bookmarkStart w:id="60" w:name="_Toc409173219"/>
      <w:bookmarkStart w:id="61" w:name="_Toc409173105"/>
      <w:r>
        <w:rPr>
          <w:rFonts w:hint="eastAsia" w:hAnsi="宋体" w:cs="宋体"/>
          <w:color w:val="auto"/>
          <w:highlight w:val="none"/>
        </w:rPr>
        <w:t>三、投标文件的编制</w:t>
      </w:r>
      <w:bookmarkEnd w:id="59"/>
      <w:bookmarkEnd w:id="60"/>
      <w:bookmarkEnd w:id="61"/>
    </w:p>
    <w:p w14:paraId="6E773396">
      <w:pPr>
        <w:tabs>
          <w:tab w:val="left" w:pos="540"/>
        </w:tabs>
        <w:spacing w:line="360" w:lineRule="auto"/>
        <w:rPr>
          <w:rFonts w:hint="eastAsia" w:ascii="宋体" w:hAnsi="宋体" w:cs="宋体"/>
          <w:b/>
          <w:bCs/>
          <w:color w:val="auto"/>
          <w:highlight w:val="none"/>
        </w:rPr>
      </w:pPr>
      <w:r>
        <w:rPr>
          <w:rFonts w:hint="eastAsia" w:ascii="宋体" w:hAnsi="宋体" w:cs="宋体"/>
          <w:b/>
          <w:bCs/>
          <w:color w:val="auto"/>
          <w:highlight w:val="none"/>
        </w:rPr>
        <w:t>11、特别说明</w:t>
      </w:r>
    </w:p>
    <w:p w14:paraId="639002A2">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11.1本招标文件服务指标要求中，重要的、关键的服务指标要求或性能要求，投标人要特别注意，必须对此响应或完全满足或优于这些要求。否则若有一项重要指标未响应或存在负偏差，将按投标无效处理，即废标。</w:t>
      </w:r>
    </w:p>
    <w:p w14:paraId="0C324346">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11.2本招标文件的商务合同条款部分除保险、终止和合同生效条款外，均不允许实质性偏离。投标人必须对本招标文件的每一项要求给予实质性的响应，否则其投标将被拒绝。</w:t>
      </w:r>
    </w:p>
    <w:p w14:paraId="72097A54">
      <w:pPr>
        <w:spacing w:line="360" w:lineRule="auto"/>
        <w:rPr>
          <w:rFonts w:hint="eastAsia" w:ascii="宋体" w:hAnsi="宋体" w:cs="宋体"/>
          <w:color w:val="auto"/>
          <w:highlight w:val="none"/>
        </w:rPr>
      </w:pPr>
      <w:r>
        <w:rPr>
          <w:rFonts w:hint="eastAsia" w:ascii="宋体" w:hAnsi="宋体" w:cs="宋体"/>
          <w:color w:val="auto"/>
          <w:highlight w:val="none"/>
        </w:rPr>
        <w:t>11.3 投标人对本投标文件的每一项要求所给予的响应必须是唯一的，否则将视为不响应。</w:t>
      </w:r>
    </w:p>
    <w:p w14:paraId="16D433D5">
      <w:pPr>
        <w:spacing w:line="360" w:lineRule="auto"/>
        <w:rPr>
          <w:rFonts w:hint="eastAsia" w:ascii="宋体" w:hAnsi="宋体" w:cs="宋体"/>
          <w:b/>
          <w:bCs/>
          <w:color w:val="auto"/>
          <w:highlight w:val="none"/>
        </w:rPr>
      </w:pPr>
      <w:r>
        <w:rPr>
          <w:rFonts w:hint="eastAsia" w:ascii="宋体" w:hAnsi="宋体" w:cs="宋体"/>
          <w:b/>
          <w:bCs/>
          <w:color w:val="auto"/>
          <w:highlight w:val="none"/>
        </w:rPr>
        <w:t>12、投标语言及计量</w:t>
      </w:r>
    </w:p>
    <w:p w14:paraId="6814148F">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12.1投标人提交的投标文件以及投标人与</w:t>
      </w:r>
      <w:r>
        <w:rPr>
          <w:rFonts w:hint="eastAsia" w:ascii="宋体" w:hAnsi="宋体" w:cs="宋体"/>
          <w:color w:val="auto"/>
          <w:highlight w:val="none"/>
          <w:lang w:eastAsia="zh-CN"/>
        </w:rPr>
        <w:t>招标人</w:t>
      </w:r>
      <w:r>
        <w:rPr>
          <w:rFonts w:hint="eastAsia" w:ascii="宋体" w:hAnsi="宋体" w:cs="宋体"/>
          <w:color w:val="auto"/>
          <w:highlight w:val="none"/>
        </w:rPr>
        <w:t>就有关投标的所有往来函电均使用中文。投标人提供的支持文件和印刷的文件可以使用英文，但相应内容应附有中文翻译本，在解释时以中文翻译为准。</w:t>
      </w:r>
    </w:p>
    <w:p w14:paraId="676E96FB">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12.2在投标文件及所有投标人与</w:t>
      </w:r>
      <w:r>
        <w:rPr>
          <w:rFonts w:hint="eastAsia" w:ascii="宋体" w:hAnsi="宋体" w:cs="宋体"/>
          <w:color w:val="auto"/>
          <w:highlight w:val="none"/>
          <w:lang w:eastAsia="zh-CN"/>
        </w:rPr>
        <w:t>招标人</w:t>
      </w:r>
      <w:r>
        <w:rPr>
          <w:rFonts w:hint="eastAsia" w:ascii="宋体" w:hAnsi="宋体" w:cs="宋体"/>
          <w:color w:val="auto"/>
          <w:highlight w:val="none"/>
        </w:rPr>
        <w:t>往来文件中所有计量单位和规格说明均须用国家法定计量单位表示。</w:t>
      </w:r>
    </w:p>
    <w:p w14:paraId="0F1167EC">
      <w:pPr>
        <w:spacing w:line="360" w:lineRule="auto"/>
        <w:rPr>
          <w:rFonts w:hint="eastAsia" w:ascii="宋体" w:hAnsi="宋体" w:cs="宋体"/>
          <w:b/>
          <w:bCs/>
          <w:color w:val="auto"/>
          <w:highlight w:val="none"/>
        </w:rPr>
      </w:pPr>
      <w:r>
        <w:rPr>
          <w:rFonts w:hint="eastAsia" w:ascii="宋体" w:hAnsi="宋体" w:cs="宋体"/>
          <w:b/>
          <w:bCs/>
          <w:color w:val="auto"/>
          <w:highlight w:val="none"/>
        </w:rPr>
        <w:t>13、投标文件的构成</w:t>
      </w:r>
    </w:p>
    <w:p w14:paraId="4E30673F">
      <w:pPr>
        <w:spacing w:line="360" w:lineRule="auto"/>
        <w:rPr>
          <w:rFonts w:hint="eastAsia" w:ascii="宋体" w:hAnsi="宋体" w:cs="宋体"/>
          <w:color w:val="auto"/>
          <w:highlight w:val="none"/>
        </w:rPr>
      </w:pPr>
      <w:r>
        <w:rPr>
          <w:rFonts w:hint="eastAsia" w:ascii="宋体" w:hAnsi="宋体" w:cs="宋体"/>
          <w:color w:val="auto"/>
          <w:highlight w:val="none"/>
        </w:rPr>
        <w:t>13.1投标人编写的投标文件应包括下列部分：</w:t>
      </w:r>
    </w:p>
    <w:p w14:paraId="205DCF6B">
      <w:pPr>
        <w:spacing w:line="360" w:lineRule="auto"/>
        <w:ind w:firstLine="540"/>
        <w:rPr>
          <w:rFonts w:hint="eastAsia" w:ascii="宋体" w:hAnsi="宋体" w:cs="宋体"/>
          <w:color w:val="auto"/>
          <w:highlight w:val="none"/>
        </w:rPr>
      </w:pPr>
      <w:r>
        <w:rPr>
          <w:rFonts w:hint="eastAsia" w:ascii="宋体" w:hAnsi="宋体" w:cs="宋体"/>
          <w:color w:val="auto"/>
          <w:highlight w:val="none"/>
        </w:rPr>
        <w:t>（1）按投标人须知规定填写投标函、投标报价表。</w:t>
      </w:r>
    </w:p>
    <w:p w14:paraId="0A75CE79">
      <w:pPr>
        <w:spacing w:line="360" w:lineRule="auto"/>
        <w:ind w:firstLine="540"/>
        <w:rPr>
          <w:rFonts w:hint="eastAsia" w:ascii="宋体" w:hAnsi="宋体" w:cs="宋体"/>
          <w:color w:val="auto"/>
          <w:highlight w:val="none"/>
        </w:rPr>
      </w:pPr>
      <w:r>
        <w:rPr>
          <w:rFonts w:hint="eastAsia" w:ascii="宋体" w:hAnsi="宋体" w:cs="宋体"/>
          <w:color w:val="auto"/>
          <w:highlight w:val="none"/>
        </w:rPr>
        <w:t>（2）按投标人须知出具的资格证明文件，证明投标人是合格的且中标后有能力履行合同。</w:t>
      </w:r>
    </w:p>
    <w:p w14:paraId="1E5C8569">
      <w:pPr>
        <w:spacing w:line="360" w:lineRule="auto"/>
        <w:ind w:firstLine="540"/>
        <w:rPr>
          <w:rFonts w:hint="eastAsia" w:ascii="宋体" w:hAnsi="宋体" w:cs="宋体"/>
          <w:color w:val="auto"/>
          <w:highlight w:val="none"/>
        </w:rPr>
      </w:pPr>
      <w:r>
        <w:rPr>
          <w:rFonts w:hint="eastAsia" w:ascii="宋体" w:hAnsi="宋体" w:cs="宋体"/>
          <w:color w:val="auto"/>
          <w:highlight w:val="none"/>
        </w:rPr>
        <w:t>（3）按招标文件的规定出具的证明文件。</w:t>
      </w:r>
    </w:p>
    <w:p w14:paraId="61C1CBAD">
      <w:pPr>
        <w:spacing w:line="360" w:lineRule="auto"/>
        <w:ind w:firstLine="540"/>
        <w:rPr>
          <w:rFonts w:hint="eastAsia" w:ascii="宋体" w:hAnsi="宋体" w:cs="宋体"/>
          <w:color w:val="auto"/>
          <w:highlight w:val="none"/>
        </w:rPr>
      </w:pPr>
      <w:r>
        <w:rPr>
          <w:rFonts w:hint="eastAsia" w:ascii="宋体" w:hAnsi="宋体" w:cs="宋体"/>
          <w:color w:val="auto"/>
          <w:highlight w:val="none"/>
        </w:rPr>
        <w:t>（4）按投标人须知规定提交的投标保证金。</w:t>
      </w:r>
    </w:p>
    <w:p w14:paraId="66D17496">
      <w:pPr>
        <w:spacing w:line="360" w:lineRule="auto"/>
        <w:ind w:firstLine="540"/>
        <w:rPr>
          <w:rFonts w:hint="eastAsia" w:ascii="宋体" w:hAnsi="宋体" w:cs="宋体"/>
          <w:color w:val="auto"/>
          <w:highlight w:val="none"/>
        </w:rPr>
      </w:pPr>
      <w:r>
        <w:rPr>
          <w:rFonts w:hint="eastAsia" w:ascii="宋体" w:hAnsi="宋体" w:cs="宋体"/>
          <w:color w:val="auto"/>
          <w:highlight w:val="none"/>
        </w:rPr>
        <w:t>（5）对招标文件第三章做出书面响应。</w:t>
      </w:r>
    </w:p>
    <w:p w14:paraId="247F0F20">
      <w:pPr>
        <w:spacing w:line="360" w:lineRule="auto"/>
        <w:ind w:firstLine="540"/>
        <w:rPr>
          <w:rFonts w:hint="eastAsia" w:ascii="宋体" w:hAnsi="宋体" w:cs="宋体"/>
          <w:color w:val="auto"/>
          <w:highlight w:val="none"/>
        </w:rPr>
      </w:pPr>
      <w:r>
        <w:rPr>
          <w:rFonts w:hint="eastAsia" w:ascii="宋体" w:hAnsi="宋体" w:cs="宋体"/>
          <w:color w:val="auto"/>
          <w:highlight w:val="none"/>
        </w:rPr>
        <w:t>（6）投标人应参照招标文件第五章的内容格式提供全面的响应的文件。</w:t>
      </w:r>
    </w:p>
    <w:p w14:paraId="670EEF72">
      <w:pPr>
        <w:spacing w:line="360" w:lineRule="auto"/>
        <w:rPr>
          <w:rFonts w:hint="eastAsia" w:ascii="宋体" w:hAnsi="宋体" w:cs="宋体"/>
          <w:color w:val="auto"/>
          <w:highlight w:val="none"/>
        </w:rPr>
      </w:pPr>
      <w:r>
        <w:rPr>
          <w:rFonts w:hint="eastAsia" w:ascii="宋体" w:hAnsi="宋体" w:cs="宋体"/>
          <w:b/>
          <w:bCs/>
          <w:color w:val="auto"/>
          <w:highlight w:val="none"/>
        </w:rPr>
        <w:t>14、投标文件的要求</w:t>
      </w:r>
    </w:p>
    <w:p w14:paraId="5F97D748">
      <w:pPr>
        <w:spacing w:line="360" w:lineRule="auto"/>
        <w:rPr>
          <w:rFonts w:hint="eastAsia" w:ascii="宋体" w:hAnsi="宋体" w:cs="宋体"/>
          <w:color w:val="auto"/>
          <w:highlight w:val="none"/>
        </w:rPr>
      </w:pPr>
      <w:r>
        <w:rPr>
          <w:rFonts w:hint="eastAsia" w:ascii="宋体" w:hAnsi="宋体" w:cs="宋体"/>
          <w:color w:val="auto"/>
          <w:highlight w:val="none"/>
        </w:rPr>
        <w:t>14.1投标人应依照招标文件中投标文件格式填写，并真正对招标文件的要求做实质性的响应。</w:t>
      </w:r>
    </w:p>
    <w:p w14:paraId="24961DCE">
      <w:pPr>
        <w:spacing w:line="360" w:lineRule="auto"/>
        <w:rPr>
          <w:rFonts w:hint="eastAsia" w:ascii="宋体" w:hAnsi="宋体" w:cs="宋体"/>
          <w:color w:val="auto"/>
          <w:highlight w:val="none"/>
        </w:rPr>
      </w:pPr>
      <w:r>
        <w:rPr>
          <w:rFonts w:hint="eastAsia" w:ascii="宋体" w:hAnsi="宋体" w:cs="宋体"/>
          <w:color w:val="auto"/>
          <w:highlight w:val="none"/>
        </w:rPr>
        <w:t>14.2投标人必须按照招标文件要求，正面回答所有的问题，并按所附格式要求正式签署。</w:t>
      </w:r>
    </w:p>
    <w:p w14:paraId="26C2D3B7">
      <w:pPr>
        <w:spacing w:line="360" w:lineRule="auto"/>
        <w:rPr>
          <w:rFonts w:hint="eastAsia" w:ascii="宋体" w:hAnsi="宋体" w:cs="宋体"/>
          <w:color w:val="auto"/>
          <w:highlight w:val="none"/>
        </w:rPr>
      </w:pPr>
      <w:r>
        <w:rPr>
          <w:rFonts w:hint="eastAsia" w:ascii="宋体" w:hAnsi="宋体" w:cs="宋体"/>
          <w:color w:val="auto"/>
          <w:highlight w:val="none"/>
        </w:rPr>
        <w:t>14.3投标人对于招标文件的所有“★”号要求，必须作出真实满足的响应，否则将作无效投标处理。</w:t>
      </w:r>
    </w:p>
    <w:p w14:paraId="73D479B8">
      <w:pPr>
        <w:spacing w:line="360" w:lineRule="auto"/>
        <w:rPr>
          <w:rFonts w:hint="eastAsia" w:ascii="宋体" w:hAnsi="宋体" w:cs="宋体"/>
          <w:b/>
          <w:bCs/>
          <w:color w:val="auto"/>
          <w:highlight w:val="none"/>
        </w:rPr>
      </w:pPr>
      <w:r>
        <w:rPr>
          <w:rFonts w:hint="eastAsia" w:ascii="宋体" w:hAnsi="宋体" w:cs="宋体"/>
          <w:b/>
          <w:bCs/>
          <w:color w:val="auto"/>
          <w:highlight w:val="none"/>
        </w:rPr>
        <w:t>15、投标报价</w:t>
      </w:r>
    </w:p>
    <w:p w14:paraId="7C17D457">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highlight w:val="none"/>
        </w:rPr>
        <w:t>15.1</w:t>
      </w:r>
      <w:r>
        <w:rPr>
          <w:rFonts w:hint="eastAsia" w:ascii="宋体" w:hAnsi="宋体" w:cs="宋体"/>
          <w:color w:val="auto"/>
          <w:highlight w:val="none"/>
          <w:u w:val="single"/>
        </w:rPr>
        <w:t>投标人必须按招标文件中“用户需求书”等规定的报价方案报价，否则视为非实质响应性投标。</w:t>
      </w:r>
    </w:p>
    <w:p w14:paraId="6149B265">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highlight w:val="none"/>
        </w:rPr>
        <w:t>15.</w:t>
      </w:r>
      <w:r>
        <w:rPr>
          <w:rFonts w:hint="eastAsia" w:ascii="宋体" w:hAnsi="宋体" w:cs="宋体"/>
          <w:color w:val="auto"/>
          <w:highlight w:val="none"/>
          <w:lang w:val="en-US" w:eastAsia="zh-CN"/>
        </w:rPr>
        <w:t>2</w:t>
      </w:r>
      <w:r>
        <w:rPr>
          <w:rFonts w:hint="eastAsia" w:ascii="宋体" w:hAnsi="宋体" w:cs="宋体"/>
          <w:color w:val="auto"/>
          <w:szCs w:val="22"/>
          <w:highlight w:val="none"/>
        </w:rPr>
        <w:t>投标人所报的投标价在合同执行期间是固定不变的，不得以任何理由予以变更。以可调整的价格提交的投标文件将作为非响应性投标而予以拒绝。</w:t>
      </w:r>
    </w:p>
    <w:p w14:paraId="2F4079B6">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16、投标货币</w:t>
      </w:r>
    </w:p>
    <w:p w14:paraId="67CA3620">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16.1投标人提供的服务须用人民币报价；</w:t>
      </w:r>
    </w:p>
    <w:p w14:paraId="6D844295">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16.2投标文件中的大写金额和小写金额不一致的，以大写金额为准；总价金额与单价金额和数量乘积不一致的，以单价金额和数量乘积为准，但单价金额小数点有明显错误的除外。</w:t>
      </w:r>
    </w:p>
    <w:p w14:paraId="2BC9884D">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17、证明投标人合格和资格的文件</w:t>
      </w:r>
    </w:p>
    <w:p w14:paraId="7FCFFB6D">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szCs w:val="22"/>
          <w:highlight w:val="none"/>
        </w:rPr>
        <w:t>17.1如投标人须知规定，投标人应提交证明</w:t>
      </w:r>
      <w:r>
        <w:rPr>
          <w:rFonts w:hint="eastAsia" w:ascii="宋体" w:hAnsi="宋体" w:cs="宋体"/>
          <w:color w:val="auto"/>
          <w:highlight w:val="none"/>
        </w:rPr>
        <w:t>其有资格参加投标和中标后有能力履行合同的文件，并作为其投标文件的一部分。</w:t>
      </w:r>
    </w:p>
    <w:p w14:paraId="2B0FA7F3">
      <w:pPr>
        <w:spacing w:line="360" w:lineRule="auto"/>
        <w:rPr>
          <w:rFonts w:hint="eastAsia" w:ascii="宋体" w:hAnsi="宋体" w:cs="宋体"/>
          <w:color w:val="auto"/>
          <w:highlight w:val="none"/>
        </w:rPr>
      </w:pPr>
      <w:r>
        <w:rPr>
          <w:rFonts w:hint="eastAsia" w:ascii="宋体" w:hAnsi="宋体" w:cs="宋体"/>
          <w:color w:val="auto"/>
          <w:highlight w:val="none"/>
        </w:rPr>
        <w:t>17.2投标人提交的中标后履行合同的资格证明文件应满足招标文件的要求：</w:t>
      </w:r>
    </w:p>
    <w:p w14:paraId="14263F19">
      <w:pPr>
        <w:numPr>
          <w:ilvl w:val="0"/>
          <w:numId w:val="2"/>
        </w:numPr>
        <w:tabs>
          <w:tab w:val="left" w:pos="-180"/>
          <w:tab w:val="clear" w:pos="1365"/>
        </w:tabs>
        <w:spacing w:line="360" w:lineRule="auto"/>
        <w:ind w:left="1260" w:hanging="615"/>
        <w:rPr>
          <w:rFonts w:hint="eastAsia" w:ascii="宋体" w:hAnsi="宋体" w:cs="宋体"/>
          <w:color w:val="auto"/>
          <w:highlight w:val="none"/>
        </w:rPr>
      </w:pPr>
      <w:r>
        <w:rPr>
          <w:rFonts w:hint="eastAsia" w:ascii="宋体" w:hAnsi="宋体" w:cs="宋体"/>
          <w:color w:val="auto"/>
          <w:highlight w:val="none"/>
        </w:rPr>
        <w:t>投标人与本次招标项目类似案例的业绩（提供合同复印件）；（如需）</w:t>
      </w:r>
    </w:p>
    <w:p w14:paraId="492BF1CA">
      <w:pPr>
        <w:numPr>
          <w:ilvl w:val="0"/>
          <w:numId w:val="2"/>
        </w:numPr>
        <w:tabs>
          <w:tab w:val="clear" w:pos="1365"/>
        </w:tabs>
        <w:spacing w:line="360" w:lineRule="auto"/>
        <w:rPr>
          <w:rFonts w:hint="eastAsia" w:ascii="宋体" w:hAnsi="宋体" w:cs="宋体"/>
          <w:color w:val="auto"/>
          <w:highlight w:val="none"/>
        </w:rPr>
      </w:pPr>
      <w:r>
        <w:rPr>
          <w:rFonts w:hint="eastAsia" w:ascii="宋体" w:hAnsi="宋体" w:cs="宋体"/>
          <w:color w:val="auto"/>
          <w:highlight w:val="none"/>
        </w:rPr>
        <w:t>投标人已具备履行合同所需的人力、财力、物力和服务能力；（如需）</w:t>
      </w:r>
    </w:p>
    <w:p w14:paraId="64FD86DF">
      <w:pPr>
        <w:numPr>
          <w:ilvl w:val="0"/>
          <w:numId w:val="2"/>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color w:val="auto"/>
        </w:rPr>
        <w:t>投标人应具有</w:t>
      </w:r>
      <w:r>
        <w:rPr>
          <w:rFonts w:hint="eastAsia" w:ascii="宋体" w:hAnsi="宋体" w:cs="宋体"/>
          <w:color w:val="auto"/>
          <w:szCs w:val="21"/>
        </w:rPr>
        <w:t>本招标采购的设备</w:t>
      </w:r>
      <w:r>
        <w:rPr>
          <w:rFonts w:hint="eastAsia" w:ascii="宋体" w:hAnsi="宋体" w:cs="宋体"/>
          <w:color w:val="auto"/>
        </w:rPr>
        <w:t>提供长期售后服务和备品备件的能力证明；（如需）</w:t>
      </w:r>
    </w:p>
    <w:p w14:paraId="5F3CE704">
      <w:pPr>
        <w:numPr>
          <w:ilvl w:val="0"/>
          <w:numId w:val="2"/>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color w:val="auto"/>
          <w:highlight w:val="none"/>
        </w:rPr>
        <w:t>有关确立投标人法律地位和专业服务能力的原始文件副本复印件（如营业执照等资格证书）。（如需）</w:t>
      </w:r>
    </w:p>
    <w:p w14:paraId="4F3EC6A4">
      <w:pPr>
        <w:spacing w:line="360" w:lineRule="auto"/>
        <w:rPr>
          <w:rFonts w:hint="eastAsia" w:ascii="宋体" w:hAnsi="宋体" w:cs="宋体"/>
          <w:b/>
          <w:bCs/>
          <w:color w:val="auto"/>
          <w:highlight w:val="none"/>
        </w:rPr>
      </w:pPr>
      <w:r>
        <w:rPr>
          <w:rFonts w:hint="eastAsia" w:ascii="宋体" w:hAnsi="宋体" w:cs="宋体"/>
          <w:b/>
          <w:bCs/>
          <w:color w:val="auto"/>
          <w:highlight w:val="none"/>
        </w:rPr>
        <w:t>1</w:t>
      </w:r>
      <w:r>
        <w:rPr>
          <w:rFonts w:hint="eastAsia" w:ascii="宋体" w:hAnsi="宋体" w:cs="宋体"/>
          <w:b/>
          <w:bCs/>
          <w:color w:val="auto"/>
          <w:highlight w:val="none"/>
          <w:lang w:val="en-US" w:eastAsia="zh-CN"/>
        </w:rPr>
        <w:t>8</w:t>
      </w:r>
      <w:r>
        <w:rPr>
          <w:rFonts w:hint="eastAsia" w:ascii="宋体" w:hAnsi="宋体" w:cs="宋体"/>
          <w:b/>
          <w:bCs/>
          <w:color w:val="auto"/>
          <w:highlight w:val="none"/>
        </w:rPr>
        <w:t>、投标保证金</w:t>
      </w:r>
    </w:p>
    <w:p w14:paraId="3898A464">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1招标代理机构受招标人委托代理招标人收取本项目投标保证金。所有投标人必须就所投项目按规定提交投标保证金。投标保证金金额详见投标人须知前附表规定。投标保证金应在投标截止时间前到达广东省机电设备招标有限公司帐户上。</w:t>
      </w:r>
    </w:p>
    <w:p w14:paraId="5449F88D">
      <w:pPr>
        <w:spacing w:line="360" w:lineRule="auto"/>
        <w:ind w:left="718" w:hanging="718" w:hangingChars="342"/>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.2投标保证金是为了保护</w:t>
      </w:r>
      <w:r>
        <w:rPr>
          <w:rFonts w:hint="eastAsia" w:ascii="宋体" w:hAnsi="宋体" w:cs="宋体"/>
          <w:color w:val="auto"/>
          <w:highlight w:val="none"/>
          <w:lang w:eastAsia="zh-CN"/>
        </w:rPr>
        <w:t>招标人</w:t>
      </w:r>
      <w:r>
        <w:rPr>
          <w:rFonts w:hint="eastAsia" w:ascii="宋体" w:hAnsi="宋体" w:cs="宋体"/>
          <w:color w:val="auto"/>
          <w:highlight w:val="none"/>
        </w:rPr>
        <w:t>免遭因投标人的行为而蒙受损失，</w:t>
      </w:r>
      <w:r>
        <w:rPr>
          <w:rFonts w:hint="eastAsia" w:ascii="宋体" w:hAnsi="宋体" w:cs="宋体"/>
          <w:color w:val="auto"/>
          <w:highlight w:val="none"/>
          <w:lang w:eastAsia="zh-CN"/>
        </w:rPr>
        <w:t>招标人</w:t>
      </w:r>
      <w:r>
        <w:rPr>
          <w:rFonts w:hint="eastAsia" w:ascii="宋体" w:hAnsi="宋体" w:cs="宋体"/>
          <w:color w:val="auto"/>
          <w:highlight w:val="none"/>
        </w:rPr>
        <w:t>在因投标人的行为受到损害时可以依法没收投标人的投标保证金。</w:t>
      </w:r>
    </w:p>
    <w:p w14:paraId="35738687">
      <w:pPr>
        <w:spacing w:line="360" w:lineRule="auto"/>
        <w:ind w:left="525" w:hanging="525" w:hangingChars="250"/>
        <w:rPr>
          <w:rFonts w:hint="eastAsia" w:ascii="宋体" w:hAnsi="宋体" w:cs="宋体"/>
          <w:color w:val="auto"/>
          <w:highlight w:val="none"/>
        </w:rPr>
      </w:pPr>
      <w:r>
        <w:rPr>
          <w:rFonts w:hint="eastAsia" w:ascii="宋体" w:hAnsi="宋体" w:cs="宋体"/>
          <w:bCs/>
          <w:color w:val="auto"/>
          <w:highlight w:val="none"/>
        </w:rPr>
        <w:t>1</w:t>
      </w:r>
      <w:r>
        <w:rPr>
          <w:rFonts w:hint="eastAsia" w:ascii="宋体" w:hAnsi="宋体" w:cs="宋体"/>
          <w:bCs/>
          <w:color w:val="auto"/>
          <w:highlight w:val="none"/>
          <w:lang w:val="en-US" w:eastAsia="zh-CN"/>
        </w:rPr>
        <w:t>8</w:t>
      </w:r>
      <w:r>
        <w:rPr>
          <w:rFonts w:hint="eastAsia" w:ascii="宋体" w:hAnsi="宋体" w:cs="宋体"/>
          <w:bCs/>
          <w:color w:val="auto"/>
          <w:highlight w:val="none"/>
        </w:rPr>
        <w:t>.3投</w:t>
      </w:r>
      <w:r>
        <w:rPr>
          <w:rFonts w:hint="eastAsia" w:ascii="宋体" w:hAnsi="宋体" w:cs="宋体"/>
          <w:color w:val="auto"/>
          <w:highlight w:val="none"/>
        </w:rPr>
        <w:t>标保证金投标保证金缴纳方式：子账号方式缴纳。投标人网上登记成功后，应登录广东省机电设备招标有限公司广咨电子招投标交易平台网站（http://www.gzebid.cn）并选择对应项目获取缴纳投标保证金的子账号（每位</w:t>
      </w:r>
      <w:r>
        <w:rPr>
          <w:rFonts w:hint="eastAsia" w:ascii="宋体" w:hAnsi="宋体" w:cs="宋体"/>
          <w:bCs/>
          <w:color w:val="auto"/>
          <w:highlight w:val="none"/>
        </w:rPr>
        <w:t>投标人</w:t>
      </w:r>
      <w:r>
        <w:rPr>
          <w:rFonts w:hint="eastAsia" w:ascii="宋体" w:hAnsi="宋体" w:cs="宋体"/>
          <w:color w:val="auto"/>
          <w:highlight w:val="none"/>
        </w:rPr>
        <w:t>每个项目的保证金缴纳账户是唯一的，该账号是针对每位</w:t>
      </w:r>
      <w:r>
        <w:rPr>
          <w:rFonts w:hint="eastAsia" w:ascii="宋体" w:hAnsi="宋体" w:cs="宋体"/>
          <w:bCs/>
          <w:color w:val="auto"/>
          <w:highlight w:val="none"/>
        </w:rPr>
        <w:t>投标人</w:t>
      </w:r>
      <w:r>
        <w:rPr>
          <w:rFonts w:hint="eastAsia" w:ascii="宋体" w:hAnsi="宋体" w:cs="宋体"/>
          <w:color w:val="auto"/>
          <w:highlight w:val="none"/>
        </w:rPr>
        <w:t>随机生成的专属账号）。</w:t>
      </w:r>
    </w:p>
    <w:p w14:paraId="7CB0CFF3">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①投标保证金应从投标人的账号支付，并以资金到达该子账号的时间为准，如从其他账户、或未缴纳到指定的子账号，视为无效投标保证金。</w:t>
      </w:r>
    </w:p>
    <w:p w14:paraId="11676F10">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②投标人严禁采用EFT系统(广东金融结算系统/广州银行)方式缴纳投标保证，如采用此方式导致招投标系统无法识别缴纳账号信息的，视为未按要求缴纳保证金，由此造成后果由投标</w:t>
      </w:r>
      <w:r>
        <w:rPr>
          <w:rFonts w:hint="eastAsia" w:ascii="宋体" w:hAnsi="宋体" w:cs="宋体"/>
          <w:color w:val="auto"/>
          <w:highlight w:val="none"/>
          <w:lang w:val="en-US" w:eastAsia="zh-CN"/>
        </w:rPr>
        <w:t>人</w:t>
      </w:r>
      <w:r>
        <w:rPr>
          <w:rFonts w:hint="eastAsia" w:ascii="宋体" w:hAnsi="宋体" w:cs="宋体"/>
          <w:color w:val="auto"/>
          <w:highlight w:val="none"/>
        </w:rPr>
        <w:t>自行承担责任。</w:t>
      </w:r>
    </w:p>
    <w:p w14:paraId="701FB7B0">
      <w:pPr>
        <w:spacing w:line="360" w:lineRule="auto"/>
        <w:ind w:firstLine="617" w:firstLineChars="294"/>
        <w:rPr>
          <w:rFonts w:hint="eastAsia" w:ascii="宋体" w:hAnsi="宋体" w:cs="宋体"/>
          <w:b/>
          <w:bCs/>
          <w:color w:val="auto"/>
          <w:highlight w:val="none"/>
        </w:rPr>
      </w:pPr>
      <w:r>
        <w:rPr>
          <w:rFonts w:hint="eastAsia" w:ascii="宋体" w:hAnsi="宋体" w:cs="宋体"/>
          <w:color w:val="auto"/>
          <w:highlight w:val="none"/>
        </w:rPr>
        <w:t>③根据银行跨行转账时间惯例，一般需要2个工作日到帐，部分银行需要3至5个工作日到账。为确保投标保证金有效，请投标人预留足够的时间提前转账，以免影响投标。</w:t>
      </w:r>
    </w:p>
    <w:p w14:paraId="5AED6499">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.4凡没有根据投标人须知的规定提交投标保证金的投标，将按投标人须知的规定视为非响应性投标予以拒绝。</w:t>
      </w:r>
    </w:p>
    <w:p w14:paraId="1901325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.5未中标的投标人的保证金，将按投标人须知发出中标结果通知之日起5个工作日内由收款人原额退还</w:t>
      </w:r>
      <w:r>
        <w:rPr>
          <w:rFonts w:hint="eastAsia" w:ascii="宋体" w:hAnsi="宋体" w:cs="宋体"/>
          <w:b/>
          <w:bCs/>
          <w:color w:val="auto"/>
          <w:highlight w:val="none"/>
        </w:rPr>
        <w:t>（保证金不计利息）</w:t>
      </w:r>
      <w:r>
        <w:rPr>
          <w:rFonts w:hint="eastAsia" w:ascii="宋体" w:hAnsi="宋体" w:cs="宋体"/>
          <w:color w:val="auto"/>
          <w:highlight w:val="none"/>
        </w:rPr>
        <w:t>。为了便于投标保证金顺利退还，所有投标人务必详细填写好投标保证金退还说明并在开标时与标书一起递交。</w:t>
      </w:r>
    </w:p>
    <w:p w14:paraId="0A20BD53">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.6</w:t>
      </w:r>
      <w:r>
        <w:rPr>
          <w:rFonts w:hint="eastAsia" w:ascii="宋体" w:hAnsi="宋体" w:cs="宋体"/>
          <w:color w:val="auto"/>
          <w:highlight w:val="none"/>
          <w:lang w:val="en-US" w:eastAsia="zh-CN"/>
        </w:rPr>
        <w:t>中标人</w:t>
      </w:r>
      <w:r>
        <w:rPr>
          <w:rFonts w:hint="eastAsia" w:ascii="宋体" w:hAnsi="宋体" w:cs="宋体"/>
          <w:color w:val="auto"/>
          <w:highlight w:val="none"/>
        </w:rPr>
        <w:t>的投标保证金的退还必须同时满足以下要求：</w:t>
      </w:r>
    </w:p>
    <w:p w14:paraId="0A615264">
      <w:pPr>
        <w:spacing w:line="360" w:lineRule="auto"/>
        <w:ind w:left="720"/>
        <w:rPr>
          <w:rFonts w:hint="eastAsia" w:ascii="宋体" w:hAnsi="宋体" w:cs="宋体"/>
          <w:color w:val="auto"/>
          <w:szCs w:val="22"/>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按投标人须知规定签订合同；</w:t>
      </w:r>
    </w:p>
    <w:p w14:paraId="269734BF">
      <w:pPr>
        <w:spacing w:line="360" w:lineRule="auto"/>
        <w:ind w:left="7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按投标人须知规定支付招标代理服务费。如果</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拒绝支付规定的招标代理服务费，</w:t>
      </w:r>
      <w:r>
        <w:rPr>
          <w:rFonts w:hint="eastAsia" w:ascii="宋体" w:hAnsi="宋体" w:cs="宋体"/>
          <w:color w:val="auto"/>
          <w:szCs w:val="22"/>
          <w:highlight w:val="none"/>
          <w:lang w:eastAsia="zh-CN"/>
        </w:rPr>
        <w:t>招标人</w:t>
      </w:r>
      <w:r>
        <w:rPr>
          <w:rFonts w:hint="eastAsia" w:ascii="宋体" w:hAnsi="宋体" w:cs="宋体"/>
          <w:color w:val="auto"/>
          <w:szCs w:val="22"/>
          <w:highlight w:val="none"/>
        </w:rPr>
        <w:t>有</w:t>
      </w:r>
      <w:r>
        <w:rPr>
          <w:rFonts w:hint="eastAsia" w:ascii="宋体" w:hAnsi="宋体" w:cs="宋体"/>
          <w:color w:val="auto"/>
          <w:highlight w:val="none"/>
        </w:rPr>
        <w:t>权在投标人所交的投标保证金中扣除相应费用。</w:t>
      </w:r>
    </w:p>
    <w:p w14:paraId="7BB59CA5">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.7下列任何一种情况发生时，投标保证金将被没收：</w:t>
      </w:r>
    </w:p>
    <w:p w14:paraId="0AD82AAE">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（1）投标人在投标文件中规定的投标有效期内撤回其投标；</w:t>
      </w:r>
    </w:p>
    <w:p w14:paraId="655D28D8">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（2）</w:t>
      </w:r>
      <w:r>
        <w:rPr>
          <w:rFonts w:hint="eastAsia" w:ascii="宋体" w:hAnsi="宋体" w:cs="宋体"/>
          <w:color w:val="auto"/>
          <w:szCs w:val="22"/>
          <w:highlight w:val="none"/>
          <w:lang w:eastAsia="zh-CN"/>
        </w:rPr>
        <w:t>投标人</w:t>
      </w:r>
      <w:r>
        <w:rPr>
          <w:rFonts w:hint="eastAsia" w:ascii="宋体" w:hAnsi="宋体" w:cs="宋体"/>
          <w:color w:val="auto"/>
          <w:szCs w:val="22"/>
          <w:highlight w:val="none"/>
        </w:rPr>
        <w:t>在规定期限内未能根据投标人须知规定签订合同；或未能根据投标人须知规定接受对错误的修正；</w:t>
      </w:r>
    </w:p>
    <w:p w14:paraId="40E9F576">
      <w:pPr>
        <w:spacing w:line="360" w:lineRule="auto"/>
        <w:ind w:left="720"/>
        <w:rPr>
          <w:rFonts w:hint="eastAsia" w:ascii="宋体" w:hAnsi="宋体" w:cs="宋体"/>
          <w:color w:val="auto"/>
          <w:highlight w:val="none"/>
        </w:rPr>
      </w:pPr>
      <w:r>
        <w:rPr>
          <w:rFonts w:hint="eastAsia" w:ascii="宋体" w:hAnsi="宋体" w:cs="宋体"/>
          <w:color w:val="auto"/>
          <w:szCs w:val="22"/>
          <w:highlight w:val="none"/>
        </w:rPr>
        <w:t>（3）投标人在</w:t>
      </w:r>
      <w:r>
        <w:rPr>
          <w:rFonts w:hint="eastAsia" w:ascii="宋体" w:hAnsi="宋体" w:cs="宋体"/>
          <w:color w:val="auto"/>
          <w:highlight w:val="none"/>
        </w:rPr>
        <w:t>投标过程中提供虚假材料。</w:t>
      </w:r>
    </w:p>
    <w:p w14:paraId="1AB2E206">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19</w:t>
      </w:r>
      <w:r>
        <w:rPr>
          <w:rFonts w:hint="eastAsia" w:ascii="宋体" w:hAnsi="宋体" w:cs="宋体"/>
          <w:b/>
          <w:bCs/>
          <w:color w:val="auto"/>
          <w:highlight w:val="none"/>
        </w:rPr>
        <w:t>、投标有效期</w:t>
      </w:r>
    </w:p>
    <w:p w14:paraId="2F4E2D93">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.1投标文件应根据投标人须知的规定保持有效，比规定期限短的将视为非响应投标而予以拒绝。</w:t>
      </w:r>
    </w:p>
    <w:p w14:paraId="3A2CAB94">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.2特殊情况下在原有投标有效期截止之前，</w:t>
      </w:r>
      <w:r>
        <w:rPr>
          <w:rFonts w:hint="eastAsia" w:ascii="宋体" w:hAnsi="宋体" w:cs="宋体"/>
          <w:color w:val="auto"/>
          <w:highlight w:val="none"/>
          <w:lang w:eastAsia="zh-CN"/>
        </w:rPr>
        <w:t>招标人</w:t>
      </w:r>
      <w:r>
        <w:rPr>
          <w:rFonts w:hint="eastAsia" w:ascii="宋体" w:hAnsi="宋体" w:cs="宋体"/>
          <w:color w:val="auto"/>
          <w:highlight w:val="none"/>
        </w:rPr>
        <w:t>可征求投标人同意延长投标有效期。这种要求与答复均为书面形式提交。投标人可以拒绝</w:t>
      </w:r>
      <w:r>
        <w:rPr>
          <w:rFonts w:hint="eastAsia" w:ascii="宋体" w:hAnsi="宋体" w:cs="宋体"/>
          <w:color w:val="auto"/>
          <w:highlight w:val="none"/>
          <w:lang w:eastAsia="zh-CN"/>
        </w:rPr>
        <w:t>招标人</w:t>
      </w:r>
      <w:r>
        <w:rPr>
          <w:rFonts w:hint="eastAsia" w:ascii="宋体" w:hAnsi="宋体" w:cs="宋体"/>
          <w:color w:val="auto"/>
          <w:highlight w:val="none"/>
        </w:rPr>
        <w:t>的这种要求，其投标保证金将不会被没收。接受投标的有效期延长的投标人将不会被要求和允许修正其投标文件，而只会要求其相应地延长其投标保证金的有效期。在这种情况下，本须知有关投标保证金的退还和没收的规定将在延长了的有效期内继续有效。</w:t>
      </w:r>
    </w:p>
    <w:p w14:paraId="30C831B0">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0</w:t>
      </w:r>
      <w:r>
        <w:rPr>
          <w:rFonts w:hint="eastAsia" w:ascii="宋体" w:hAnsi="宋体" w:cs="宋体"/>
          <w:b/>
          <w:bCs/>
          <w:color w:val="auto"/>
          <w:highlight w:val="none"/>
        </w:rPr>
        <w:t>、投标文件的样式和签署</w:t>
      </w:r>
    </w:p>
    <w:p w14:paraId="2D182FE7">
      <w:pPr>
        <w:spacing w:line="360" w:lineRule="auto"/>
        <w:ind w:left="357" w:leftChars="8" w:hanging="340" w:hangingChars="162"/>
        <w:rPr>
          <w:rFonts w:hint="eastAsia" w:ascii="宋体" w:hAnsi="宋体" w:cs="宋体"/>
          <w:color w:val="auto"/>
          <w:highlight w:val="none"/>
        </w:rPr>
      </w:pPr>
      <w:bookmarkStart w:id="62" w:name="_Toc409173106"/>
      <w:bookmarkStart w:id="63" w:name="_Toc409173220"/>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.1投标文件应按第五章要求</w:t>
      </w:r>
      <w:bookmarkEnd w:id="62"/>
      <w:bookmarkEnd w:id="63"/>
      <w:r>
        <w:rPr>
          <w:rFonts w:hint="eastAsia" w:ascii="宋体" w:hAnsi="宋体" w:cs="宋体"/>
          <w:color w:val="auto"/>
          <w:highlight w:val="none"/>
        </w:rPr>
        <w:t>编制。</w:t>
      </w:r>
    </w:p>
    <w:p w14:paraId="677ADEAE">
      <w:pPr>
        <w:spacing w:line="360" w:lineRule="auto"/>
        <w:ind w:left="462" w:leftChars="8" w:hanging="445" w:hangingChars="212"/>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2投标人应准备纸质投标文件1份（正本），2份（副本），1份（投标文件电子文档）。每份投标文件清楚标明“正本”或“副本”，如果“正本”与“副本”或“投标系统上传的电子投标文件”不符，以“投标系统上传的电子投标文件”为准。</w:t>
      </w:r>
    </w:p>
    <w:p w14:paraId="49250A21">
      <w:pPr>
        <w:spacing w:line="360" w:lineRule="auto"/>
        <w:ind w:left="437" w:leftChars="208"/>
        <w:rPr>
          <w:rFonts w:hint="eastAsia" w:ascii="宋体" w:hAnsi="宋体" w:cs="宋体"/>
          <w:b/>
          <w:bCs/>
          <w:color w:val="auto"/>
          <w:highlight w:val="none"/>
        </w:rPr>
      </w:pPr>
      <w:r>
        <w:rPr>
          <w:rFonts w:hint="eastAsia" w:ascii="宋体" w:hAnsi="宋体" w:cs="宋体"/>
          <w:b/>
          <w:bCs/>
          <w:color w:val="auto"/>
          <w:highlight w:val="none"/>
        </w:rPr>
        <w:t>电子文件的内容</w:t>
      </w:r>
      <w:r>
        <w:rPr>
          <w:rFonts w:hint="eastAsia" w:ascii="宋体" w:hAnsi="宋体" w:cs="宋体"/>
          <w:b/>
          <w:bCs/>
          <w:color w:val="auto"/>
          <w:szCs w:val="21"/>
          <w:highlight w:val="none"/>
        </w:rPr>
        <w:t>为投标文件可</w:t>
      </w:r>
      <w:r>
        <w:rPr>
          <w:rFonts w:hint="eastAsia" w:ascii="宋体" w:hAnsi="宋体" w:cs="宋体"/>
          <w:b/>
          <w:bCs/>
          <w:color w:val="auto"/>
          <w:szCs w:val="21"/>
          <w:highlight w:val="none"/>
          <w:lang w:val="zh-CN"/>
        </w:rPr>
        <w:t>编辑电子版</w:t>
      </w:r>
      <w:r>
        <w:rPr>
          <w:rFonts w:hint="eastAsia" w:ascii="宋体" w:hAnsi="宋体" w:cs="宋体"/>
          <w:b/>
          <w:bCs/>
          <w:color w:val="auto"/>
          <w:szCs w:val="21"/>
          <w:highlight w:val="none"/>
        </w:rPr>
        <w:t>及正本盖章签字PDF扫描件</w:t>
      </w:r>
      <w:r>
        <w:rPr>
          <w:rFonts w:hint="eastAsia" w:ascii="宋体" w:hAnsi="宋体" w:cs="宋体"/>
          <w:b/>
          <w:bCs/>
          <w:color w:val="auto"/>
          <w:highlight w:val="none"/>
        </w:rPr>
        <w:t>保存至usb闪存盘介质。</w:t>
      </w:r>
    </w:p>
    <w:p w14:paraId="2ED3846D">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.3投标人文件“正本”是属于投标人自己制作的，均需用不褪色墨水书写或打印。</w:t>
      </w:r>
    </w:p>
    <w:p w14:paraId="63E3B261">
      <w:pPr>
        <w:spacing w:line="360" w:lineRule="auto"/>
        <w:ind w:left="462" w:hanging="462" w:hangingChars="2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.4投标文件的任何行间插字、涂改和增删，必须由投标文件的签字人用姓氏或首字母在旁边签字并加盖修改章或法人公章才有效。</w:t>
      </w:r>
    </w:p>
    <w:p w14:paraId="6C0BCB27">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.5投标文件（副本），所有资料都有可以用投标文件的（正本）复印而成。</w:t>
      </w:r>
    </w:p>
    <w:p w14:paraId="0AF59079">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.6投标文件的正本及所有副本的封面均须由投标人加盖公章。</w:t>
      </w:r>
    </w:p>
    <w:p w14:paraId="4D212961">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.7投标人须为其投标文件的正本及所有副本</w:t>
      </w:r>
      <w:r>
        <w:rPr>
          <w:rFonts w:hint="eastAsia" w:ascii="宋体" w:hAnsi="宋体" w:cs="宋体"/>
          <w:b/>
          <w:bCs/>
          <w:color w:val="auto"/>
          <w:highlight w:val="none"/>
          <w:u w:val="single"/>
        </w:rPr>
        <w:t>制作目录并标明页码</w:t>
      </w:r>
      <w:r>
        <w:rPr>
          <w:rFonts w:hint="eastAsia" w:ascii="宋体" w:hAnsi="宋体" w:cs="宋体"/>
          <w:color w:val="auto"/>
          <w:highlight w:val="none"/>
        </w:rPr>
        <w:t>。</w:t>
      </w:r>
    </w:p>
    <w:p w14:paraId="27C860F2">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.8电报、电话、电传、传真的投标文件将被拒绝。</w:t>
      </w:r>
    </w:p>
    <w:p w14:paraId="03DDD14D">
      <w:pPr>
        <w:pStyle w:val="4"/>
        <w:numPr>
          <w:ilvl w:val="0"/>
          <w:numId w:val="0"/>
        </w:numPr>
        <w:jc w:val="center"/>
        <w:rPr>
          <w:rFonts w:hint="eastAsia" w:hAnsi="宋体" w:cs="宋体"/>
          <w:color w:val="auto"/>
          <w:highlight w:val="none"/>
        </w:rPr>
      </w:pPr>
      <w:bookmarkStart w:id="64" w:name="_Toc513818904"/>
      <w:bookmarkStart w:id="65" w:name="_Toc409173107"/>
      <w:bookmarkStart w:id="66" w:name="_Toc409173221"/>
      <w:r>
        <w:rPr>
          <w:rFonts w:hint="eastAsia" w:hAnsi="宋体" w:cs="宋体"/>
          <w:color w:val="auto"/>
          <w:highlight w:val="none"/>
        </w:rPr>
        <w:t>四、投标文件的递交</w:t>
      </w:r>
      <w:bookmarkEnd w:id="64"/>
      <w:bookmarkEnd w:id="65"/>
      <w:bookmarkEnd w:id="66"/>
    </w:p>
    <w:p w14:paraId="47356CA6">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1</w:t>
      </w:r>
      <w:r>
        <w:rPr>
          <w:rFonts w:hint="eastAsia" w:ascii="宋体" w:hAnsi="宋体" w:cs="宋体"/>
          <w:b/>
          <w:bCs/>
          <w:color w:val="auto"/>
          <w:highlight w:val="none"/>
        </w:rPr>
        <w:t>、投标文件的密封和标记</w:t>
      </w:r>
    </w:p>
    <w:p w14:paraId="1BA0F3ED">
      <w:pPr>
        <w:tabs>
          <w:tab w:val="left" w:pos="360"/>
          <w:tab w:val="left" w:pos="540"/>
          <w:tab w:val="left" w:pos="900"/>
          <w:tab w:val="left" w:pos="1680"/>
        </w:tabs>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 xml:space="preserve">.1  </w:t>
      </w:r>
      <w:r>
        <w:rPr>
          <w:rFonts w:hint="eastAsia" w:ascii="宋体" w:hAnsi="宋体" w:cs="宋体"/>
          <w:b/>
          <w:color w:val="auto"/>
          <w:highlight w:val="none"/>
          <w:u w:val="single"/>
        </w:rPr>
        <w:t>投标文件的包封要求；投标人最好按以下规定分别独立包封投标文件，独自分开的封包数共为3包:</w:t>
      </w:r>
    </w:p>
    <w:p w14:paraId="0B076ACC">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（1）投标文件正本包封为一包，并在外包装上清晰标明“正本”字样；</w:t>
      </w:r>
    </w:p>
    <w:p w14:paraId="70231F51">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（2）投标文件所有的副本一起包封为一包，并在外包装上清晰标明“副本”字样；</w:t>
      </w:r>
    </w:p>
    <w:p w14:paraId="29A92D18">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（3）投标文件的电子文件封为一包，并在外包装上清晰标明“电子文件”字样；</w:t>
      </w:r>
    </w:p>
    <w:p w14:paraId="46AF5570">
      <w:pPr>
        <w:spacing w:line="360" w:lineRule="auto"/>
        <w:ind w:left="359" w:hanging="359" w:hangingChars="171"/>
        <w:rPr>
          <w:rFonts w:hint="eastAsia" w:ascii="宋体" w:hAnsi="宋体" w:cs="宋体"/>
          <w:color w:val="auto"/>
          <w:highlight w:val="none"/>
        </w:rPr>
      </w:pPr>
      <w:bookmarkStart w:id="67" w:name="_Toc409173222"/>
      <w:bookmarkStart w:id="68" w:name="_Toc409173108"/>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.2</w:t>
      </w:r>
      <w:bookmarkEnd w:id="67"/>
      <w:bookmarkEnd w:id="68"/>
      <w:r>
        <w:rPr>
          <w:rFonts w:hint="eastAsia" w:ascii="宋体" w:hAnsi="宋体" w:cs="宋体"/>
          <w:color w:val="auto"/>
          <w:highlight w:val="none"/>
        </w:rPr>
        <w:t>投标文件的密封要求：投标人应确保上述各包分别独立密闭封装，外包装材料不应留有可在包封后添加或抽取投标文件的空隙。</w:t>
      </w:r>
    </w:p>
    <w:p w14:paraId="7E5A757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.3信封或外包装封套上应当注明项目名称、投标人名称</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子包名称</w:t>
      </w:r>
      <w:r>
        <w:rPr>
          <w:rFonts w:hint="eastAsia" w:ascii="宋体" w:hAnsi="宋体" w:cs="宋体"/>
          <w:color w:val="auto"/>
          <w:highlight w:val="none"/>
        </w:rPr>
        <w:t>。如果未按要求标记，招标人和招标代理机构对误投或提前启封概不负责。</w:t>
      </w:r>
    </w:p>
    <w:p w14:paraId="258528BF">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.4招标代理机构对不可抗力事件造成的投标文件的损坏、丢失不承担任何责任。</w:t>
      </w:r>
    </w:p>
    <w:p w14:paraId="68BBD018">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2</w:t>
      </w:r>
      <w:r>
        <w:rPr>
          <w:rFonts w:hint="eastAsia" w:ascii="宋体" w:hAnsi="宋体" w:cs="宋体"/>
          <w:b/>
          <w:bCs/>
          <w:color w:val="auto"/>
          <w:highlight w:val="none"/>
        </w:rPr>
        <w:t>、投标截止日期</w:t>
      </w:r>
    </w:p>
    <w:p w14:paraId="6365D6D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.1所有投标文件应在投标截止时间前送达投标、开标地点，并交予招标代理机构工作人员，任何迟于这个时间的投标将被拒绝。</w:t>
      </w:r>
    </w:p>
    <w:p w14:paraId="147BF6D7">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3</w:t>
      </w:r>
      <w:r>
        <w:rPr>
          <w:rFonts w:hint="eastAsia" w:ascii="宋体" w:hAnsi="宋体" w:cs="宋体"/>
          <w:b/>
          <w:bCs/>
          <w:color w:val="auto"/>
          <w:highlight w:val="none"/>
        </w:rPr>
        <w:t>、迟交的投标文件</w:t>
      </w:r>
    </w:p>
    <w:p w14:paraId="1C45A0AA">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.1按照投标人须知规定，招标代理机构将拒绝并原封退回在规定的投标截止时间后收到的任何投标证明文件。</w:t>
      </w:r>
    </w:p>
    <w:p w14:paraId="20A759DC">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4</w:t>
      </w:r>
      <w:r>
        <w:rPr>
          <w:rFonts w:hint="eastAsia" w:ascii="宋体" w:hAnsi="宋体" w:cs="宋体"/>
          <w:b/>
          <w:bCs/>
          <w:color w:val="auto"/>
          <w:highlight w:val="none"/>
        </w:rPr>
        <w:t>、投标文件的修改与撤回</w:t>
      </w:r>
    </w:p>
    <w:p w14:paraId="5200335F">
      <w:pPr>
        <w:spacing w:line="360" w:lineRule="auto"/>
        <w:ind w:left="359" w:hanging="359" w:hangingChars="171"/>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24</w:t>
      </w:r>
      <w:r>
        <w:rPr>
          <w:rFonts w:hint="eastAsia" w:ascii="宋体" w:hAnsi="宋体" w:cs="宋体"/>
          <w:color w:val="auto"/>
          <w:highlight w:val="none"/>
        </w:rPr>
        <w:t>.1投标人在递交电子投标文件后，在投标截止时间前投标人可以修改其投标，需在交易平台发出修改或撤回通知，并按要求加盖供应商印章。投标截止时间后不得修改其投标</w:t>
      </w:r>
      <w:r>
        <w:rPr>
          <w:rFonts w:hint="eastAsia" w:ascii="宋体" w:hAnsi="宋体" w:cs="宋体"/>
          <w:color w:val="auto"/>
          <w:highlight w:val="none"/>
          <w:lang w:eastAsia="zh-CN"/>
        </w:rPr>
        <w:t>。</w:t>
      </w:r>
    </w:p>
    <w:p w14:paraId="3293A965">
      <w:pPr>
        <w:spacing w:line="360" w:lineRule="auto"/>
        <w:ind w:left="360" w:hanging="360"/>
        <w:rPr>
          <w:rFonts w:hint="eastAsia" w:ascii="宋体" w:hAnsi="宋体" w:cs="宋体"/>
          <w:b/>
          <w:bCs/>
          <w:color w:val="auto"/>
          <w:sz w:val="32"/>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.2 投标人可以在投标截止时间前撤回其投标。</w:t>
      </w:r>
    </w:p>
    <w:p w14:paraId="798057CB">
      <w:pPr>
        <w:pStyle w:val="4"/>
        <w:numPr>
          <w:ilvl w:val="0"/>
          <w:numId w:val="0"/>
        </w:numPr>
        <w:ind w:left="422"/>
        <w:jc w:val="center"/>
        <w:rPr>
          <w:rFonts w:hint="eastAsia" w:hAnsi="宋体" w:cs="宋体"/>
          <w:b w:val="0"/>
          <w:bCs/>
          <w:color w:val="auto"/>
          <w:sz w:val="32"/>
          <w:highlight w:val="none"/>
        </w:rPr>
      </w:pPr>
      <w:bookmarkStart w:id="69" w:name="_Toc513818905"/>
      <w:bookmarkStart w:id="70" w:name="_Toc409173109"/>
      <w:bookmarkStart w:id="71" w:name="_Toc409173223"/>
      <w:r>
        <w:rPr>
          <w:rFonts w:hint="eastAsia" w:hAnsi="宋体" w:cs="宋体"/>
          <w:color w:val="auto"/>
          <w:szCs w:val="30"/>
          <w:highlight w:val="none"/>
        </w:rPr>
        <w:t>五、开标与评标</w:t>
      </w:r>
      <w:bookmarkEnd w:id="69"/>
      <w:bookmarkEnd w:id="70"/>
      <w:bookmarkEnd w:id="71"/>
    </w:p>
    <w:p w14:paraId="2135EF22">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5</w:t>
      </w:r>
      <w:r>
        <w:rPr>
          <w:rFonts w:hint="eastAsia" w:ascii="宋体" w:hAnsi="宋体" w:cs="宋体"/>
          <w:b/>
          <w:bCs/>
          <w:color w:val="auto"/>
          <w:highlight w:val="none"/>
        </w:rPr>
        <w:t>、开标</w:t>
      </w:r>
    </w:p>
    <w:p w14:paraId="641B4D60">
      <w:pPr>
        <w:spacing w:line="360" w:lineRule="auto"/>
        <w:ind w:left="359" w:hanging="359" w:hangingChars="171"/>
        <w:rPr>
          <w:rFonts w:hint="eastAsia" w:ascii="宋体" w:hAnsi="宋体" w:cs="宋体"/>
          <w:color w:val="auto"/>
        </w:rPr>
      </w:pPr>
      <w:r>
        <w:rPr>
          <w:rFonts w:hint="eastAsia" w:ascii="宋体" w:hAnsi="宋体" w:cs="宋体"/>
          <w:color w:val="auto"/>
        </w:rPr>
        <w:t>2</w:t>
      </w:r>
      <w:r>
        <w:rPr>
          <w:rFonts w:hint="eastAsia" w:ascii="宋体" w:hAnsi="宋体" w:cs="宋体"/>
          <w:color w:val="auto"/>
          <w:lang w:val="en-US" w:eastAsia="zh-CN"/>
        </w:rPr>
        <w:t>5</w:t>
      </w:r>
      <w:r>
        <w:rPr>
          <w:rFonts w:hint="eastAsia" w:ascii="宋体" w:hAnsi="宋体" w:cs="宋体"/>
          <w:color w:val="auto"/>
        </w:rPr>
        <w:t>.1.1.招标人在指定地点和时间组织公开开标，如有改变，以招标代理机构的最新通知为准。届时投标人代表应现场或在线参与。现场出席开标仪式的代表应签名报到以证明其出席。投标人不参加开标会的，视其放弃见证、监督、申辩有关开标活动的权利。</w:t>
      </w:r>
    </w:p>
    <w:p w14:paraId="418A504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1.2.在投标截止时间后，招标代理通过广咨电子招投标交易平台对已递交的电子投标文件进行系统解密。系统解密完成后，招标代理机构工作人员公布招标项目名称、投标人名称、投标总报价等主要内容及开标记录表中的其他必要内容。投标总报价以数字和文字两种方式表述的，应公布文字表述的投标报价。</w:t>
      </w:r>
    </w:p>
    <w:p w14:paraId="4314520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.1.3.投标人对开标有异议的，远程在线参加开标会议的，应当通过电子投标平台在线限时内提出异议。现场参加开标会议的，应在开标现场提出。</w:t>
      </w:r>
    </w:p>
    <w:p w14:paraId="1B6568F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.1.4.招标人或招标代理机构当场或线上作出答复，并制作开标记录，各投标人需在开标确认截止时间前对开标一览表确认。</w:t>
      </w:r>
    </w:p>
    <w:p w14:paraId="14757CCE">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.2开标时间采用北京时间计时（以国家授时中心标准时间为准）。</w:t>
      </w:r>
    </w:p>
    <w:p w14:paraId="5FB89AA6">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.3开标地点：详见投标人须知前附表规定。</w:t>
      </w:r>
    </w:p>
    <w:p w14:paraId="3EA5F42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4开标由招标代理机构主持，投标人代表应准时参加开标会议。投标人代表未出席开标会，不影响开标，且不得对开标程序、结果等提出任何异议。未递交投标文件的投标人广东省机电设备招标有限公司有权拒绝其参加开标会。</w:t>
      </w:r>
    </w:p>
    <w:p w14:paraId="0658CE55">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.5 开标时，招标代理机构当众宣读投标人名称、修改和撤回投标的通知（如果有）、投标报价及其他必要的内容，除照规定原封退回迟到的投标之外，开标将不得拒绝在投标截止时间前收到的投标文件，开标会过程中不接受已提交投标文件的投标人撤回投标文件。发现</w:t>
      </w:r>
      <w:r>
        <w:rPr>
          <w:rFonts w:hint="eastAsia" w:ascii="宋体" w:hAnsi="宋体" w:cs="宋体"/>
          <w:color w:val="auto"/>
          <w:highlight w:val="none"/>
          <w:lang w:val="en-US" w:eastAsia="zh-CN"/>
        </w:rPr>
        <w:t>对应子包</w:t>
      </w:r>
      <w:r>
        <w:rPr>
          <w:rFonts w:hint="eastAsia" w:ascii="宋体" w:hAnsi="宋体" w:cs="宋体"/>
          <w:color w:val="auto"/>
          <w:highlight w:val="none"/>
        </w:rPr>
        <w:t>投标人不足三家的公开招标项目，做废标处理。</w:t>
      </w:r>
    </w:p>
    <w:p w14:paraId="57154E45">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.6迟到或撤回的投标文件将被原封退回给投标人。</w:t>
      </w:r>
    </w:p>
    <w:p w14:paraId="62A651D0">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.7招标代理机构将做开标记录，开标记录包括在开标时宣读的全部内容，并由投标人签字确认，存档备查。</w:t>
      </w:r>
    </w:p>
    <w:p w14:paraId="7F65DA2D">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6</w:t>
      </w:r>
      <w:r>
        <w:rPr>
          <w:rFonts w:hint="eastAsia" w:ascii="宋体" w:hAnsi="宋体" w:cs="宋体"/>
          <w:b/>
          <w:bCs/>
          <w:color w:val="auto"/>
          <w:highlight w:val="none"/>
        </w:rPr>
        <w:t>、评标委员会</w:t>
      </w:r>
    </w:p>
    <w:p w14:paraId="0A86B584">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.1本次招标，招标人参照相关法律法规组成评标委员会。</w:t>
      </w:r>
    </w:p>
    <w:p w14:paraId="61D0D6B8">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.2 评标委员会</w:t>
      </w:r>
    </w:p>
    <w:p w14:paraId="2624DAE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.3评标委员会只对确定为实质上响应招标文件要求的投标，即通过符合性</w:t>
      </w:r>
      <w:r>
        <w:rPr>
          <w:rFonts w:hint="eastAsia" w:ascii="宋体" w:hAnsi="宋体" w:cs="宋体"/>
          <w:color w:val="auto"/>
          <w:highlight w:val="none"/>
          <w:lang w:val="en-US" w:eastAsia="zh-CN"/>
        </w:rPr>
        <w:t>审</w:t>
      </w:r>
      <w:r>
        <w:rPr>
          <w:rFonts w:hint="eastAsia" w:ascii="宋体" w:hAnsi="宋体" w:cs="宋体"/>
          <w:color w:val="auto"/>
          <w:highlight w:val="none"/>
        </w:rPr>
        <w:t>查的投标进行评价和比较，响应的依据是招标文件本身的内容，而不寻求其它证据。实质上响应的投标应该是与招标文件要求的全部主要条款、条件和规格相符，没有重大偏离的投标、关键条文的偏离、保留或反对。</w:t>
      </w:r>
    </w:p>
    <w:p w14:paraId="70A9B081">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7</w:t>
      </w:r>
      <w:r>
        <w:rPr>
          <w:rFonts w:hint="eastAsia" w:ascii="宋体" w:hAnsi="宋体" w:cs="宋体"/>
          <w:b/>
          <w:bCs/>
          <w:color w:val="auto"/>
          <w:highlight w:val="none"/>
        </w:rPr>
        <w:t>、评标原则和评标方法</w:t>
      </w:r>
    </w:p>
    <w:p w14:paraId="1DFD412D">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.1评标遵循公平、公正、科学、择优的原则。评标委员会将按照规定只对通过初步评审的招标文件进行详细评审。</w:t>
      </w:r>
    </w:p>
    <w:p w14:paraId="1BD6316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.2评标方法：本次招标的评标方法采用综合评分法。</w:t>
      </w:r>
    </w:p>
    <w:p w14:paraId="5B4CD67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.3评标规则与步骤：详见第六章；</w:t>
      </w:r>
    </w:p>
    <w:p w14:paraId="7EDF09A0">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28</w:t>
      </w:r>
      <w:r>
        <w:rPr>
          <w:rFonts w:hint="eastAsia" w:ascii="宋体" w:hAnsi="宋体" w:cs="宋体"/>
          <w:b/>
          <w:bCs/>
          <w:color w:val="auto"/>
          <w:highlight w:val="none"/>
        </w:rPr>
        <w:t>、投标文件的修正和澄清</w:t>
      </w:r>
    </w:p>
    <w:p w14:paraId="279FEF7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1为有助于投标文件的审核、评价和比较，评标委员会可分别要求投标人对其投标文件进行澄清，有关澄清的要求和答复先以口头形式答辩，然后在要求的时间内以书面形式提交，但不得寻求、提供或允许对投标价格或实质性内容做任何更改。</w:t>
      </w:r>
    </w:p>
    <w:p w14:paraId="29DA61F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.2投标人不得通过修正和撤销不合要求的偏离或保留从而使其没有实质上响应招标文件要求的投标成为实质上响应的投标。</w:t>
      </w:r>
    </w:p>
    <w:p w14:paraId="0C9E8BD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.3所谓实质上响应投标应是与招标文件要求的全部条款、条件和规格相符，没有重大偏离或保留。所谓重大偏离和保留是指实质上与招标文件不一致，而且限制了合同中</w:t>
      </w:r>
      <w:r>
        <w:rPr>
          <w:rFonts w:hint="eastAsia" w:ascii="宋体" w:hAnsi="宋体" w:cs="宋体"/>
          <w:color w:val="auto"/>
          <w:highlight w:val="none"/>
          <w:lang w:eastAsia="zh-CN"/>
        </w:rPr>
        <w:t>招标人</w:t>
      </w:r>
      <w:r>
        <w:rPr>
          <w:rFonts w:hint="eastAsia" w:ascii="宋体" w:hAnsi="宋体" w:cs="宋体"/>
          <w:color w:val="auto"/>
          <w:highlight w:val="none"/>
        </w:rPr>
        <w:t>的权力或投标人的业务。纠正这些偏离或保留将会对其他实质上的响应要求的投标人的竞争地位产生不公正的影响，评标委员会决定投标文件的响应性只根据投标文件本身内容，而不寻求外部的证据。对于在技术响应/差异表中的描述与投标文件其他地方的描述有差异的，以该表为准。评标委员会若注意到该差异，可要求投标人澄清（除不允许偏离的★条款外）或视为完全响应；若未注意到，则视为完全响应。</w:t>
      </w:r>
      <w:r>
        <w:rPr>
          <w:rFonts w:hint="eastAsia" w:ascii="宋体" w:hAnsi="宋体" w:cs="宋体"/>
          <w:color w:val="auto"/>
          <w:highlight w:val="none"/>
          <w:lang w:val="en-US" w:eastAsia="zh-CN"/>
        </w:rPr>
        <w:t>投标人</w:t>
      </w:r>
      <w:r>
        <w:rPr>
          <w:rFonts w:hint="eastAsia" w:ascii="宋体" w:hAnsi="宋体" w:cs="宋体"/>
          <w:color w:val="auto"/>
          <w:highlight w:val="none"/>
        </w:rPr>
        <w:t>必须按照技术响应表中对用户需求书的实际响应情况提供服务，否则按提供虚假材料处理，已中标的可取消中标资格。</w:t>
      </w:r>
    </w:p>
    <w:p w14:paraId="5A8B19B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.4评标委员会将允许修正投标文件中的不构成重大偏离的、微小的、非正规的、不一致的或不规则的地方，但这些修正不能影响任何投标人相应的名次排列。</w:t>
      </w:r>
    </w:p>
    <w:p w14:paraId="3AB8AE92">
      <w:pPr>
        <w:spacing w:line="360" w:lineRule="auto"/>
        <w:rPr>
          <w:rFonts w:hint="eastAsia" w:ascii="宋体" w:hAnsi="宋体" w:cs="宋体"/>
          <w:b/>
          <w:bCs/>
          <w:color w:val="auto"/>
          <w:highlight w:val="none"/>
        </w:rPr>
      </w:pPr>
      <w:r>
        <w:rPr>
          <w:rFonts w:hint="eastAsia" w:ascii="宋体" w:hAnsi="宋体" w:cs="宋体"/>
          <w:b/>
          <w:color w:val="auto"/>
          <w:highlight w:val="none"/>
          <w:lang w:val="en-US" w:eastAsia="zh-CN"/>
        </w:rPr>
        <w:t>29</w:t>
      </w:r>
      <w:r>
        <w:rPr>
          <w:rFonts w:hint="eastAsia" w:ascii="宋体" w:hAnsi="宋体" w:cs="宋体"/>
          <w:b/>
          <w:color w:val="auto"/>
          <w:highlight w:val="none"/>
        </w:rPr>
        <w:t>、</w:t>
      </w:r>
      <w:r>
        <w:rPr>
          <w:rFonts w:hint="eastAsia" w:ascii="宋体" w:hAnsi="宋体" w:cs="宋体"/>
          <w:b/>
          <w:bCs/>
          <w:color w:val="auto"/>
          <w:highlight w:val="none"/>
        </w:rPr>
        <w:t>拒绝任何或所有投标的权力</w:t>
      </w:r>
    </w:p>
    <w:p w14:paraId="04F6C7F2">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.1评标委员会经评审，认为所有投标都不符合招标文件实质性要求的，可以否决所有投标。</w:t>
      </w:r>
    </w:p>
    <w:p w14:paraId="2D62D1FC">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.2当</w:t>
      </w:r>
      <w:bookmarkStart w:id="72" w:name="OLE_LINK4"/>
      <w:r>
        <w:rPr>
          <w:rFonts w:hint="eastAsia" w:ascii="宋体" w:hAnsi="宋体" w:cs="宋体"/>
          <w:color w:val="auto"/>
          <w:highlight w:val="none"/>
          <w:lang w:val="en-US" w:eastAsia="zh-CN"/>
        </w:rPr>
        <w:t>对应子包</w:t>
      </w:r>
      <w:bookmarkEnd w:id="72"/>
      <w:r>
        <w:rPr>
          <w:rFonts w:hint="eastAsia" w:ascii="宋体" w:hAnsi="宋体" w:cs="宋体"/>
          <w:color w:val="auto"/>
          <w:highlight w:val="none"/>
          <w:lang w:val="en-US" w:eastAsia="zh-CN"/>
        </w:rPr>
        <w:t>的</w:t>
      </w:r>
      <w:r>
        <w:rPr>
          <w:rFonts w:hint="eastAsia" w:ascii="宋体" w:hAnsi="宋体" w:cs="宋体"/>
          <w:color w:val="auto"/>
          <w:highlight w:val="none"/>
        </w:rPr>
        <w:t>有效投标人少于3名时，可以拒绝</w:t>
      </w:r>
      <w:r>
        <w:rPr>
          <w:rFonts w:hint="eastAsia" w:ascii="宋体" w:hAnsi="宋体" w:cs="宋体"/>
          <w:color w:val="auto"/>
          <w:highlight w:val="none"/>
          <w:lang w:val="en-US" w:eastAsia="zh-CN"/>
        </w:rPr>
        <w:t>对应子包</w:t>
      </w:r>
      <w:r>
        <w:rPr>
          <w:rFonts w:hint="eastAsia" w:ascii="宋体" w:hAnsi="宋体" w:cs="宋体"/>
          <w:color w:val="auto"/>
          <w:highlight w:val="none"/>
        </w:rPr>
        <w:t>所有投标并重新组织招标。</w:t>
      </w:r>
    </w:p>
    <w:p w14:paraId="1A51AA1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.3如果</w:t>
      </w:r>
      <w:r>
        <w:rPr>
          <w:rFonts w:hint="eastAsia" w:ascii="宋体" w:hAnsi="宋体" w:cs="宋体"/>
          <w:color w:val="auto"/>
          <w:highlight w:val="none"/>
          <w:lang w:val="en-US" w:eastAsia="zh-CN"/>
        </w:rPr>
        <w:t>对应子包</w:t>
      </w:r>
      <w:r>
        <w:rPr>
          <w:rFonts w:hint="eastAsia" w:ascii="宋体" w:hAnsi="宋体" w:cs="宋体"/>
          <w:color w:val="auto"/>
          <w:highlight w:val="none"/>
        </w:rPr>
        <w:t>第一、或二、或三中标候选人不能按照招标文件要求及其投标文件的承诺签订合同或其投标文件与事实不符，</w:t>
      </w:r>
      <w:r>
        <w:rPr>
          <w:rFonts w:hint="eastAsia" w:ascii="宋体" w:hAnsi="宋体" w:cs="宋体"/>
          <w:color w:val="auto"/>
          <w:highlight w:val="none"/>
          <w:lang w:eastAsia="zh-CN"/>
        </w:rPr>
        <w:t>招标人</w:t>
      </w:r>
      <w:r>
        <w:rPr>
          <w:rFonts w:hint="eastAsia" w:ascii="宋体" w:hAnsi="宋体" w:cs="宋体"/>
          <w:color w:val="auto"/>
          <w:highlight w:val="none"/>
        </w:rPr>
        <w:t>有权依照法定程序将合同按顺序授予其他中标候选人或重新开启招标程序，对受影响的投标人不承担任何责任，也无义务向受影响的投标人解释采取这一行动的理由。</w:t>
      </w:r>
    </w:p>
    <w:p w14:paraId="06BAC4F9">
      <w:pPr>
        <w:pStyle w:val="4"/>
        <w:numPr>
          <w:ilvl w:val="0"/>
          <w:numId w:val="0"/>
        </w:numPr>
        <w:ind w:left="422"/>
        <w:jc w:val="center"/>
        <w:rPr>
          <w:rFonts w:hint="eastAsia" w:hAnsi="宋体" w:cs="宋体"/>
          <w:color w:val="auto"/>
          <w:sz w:val="32"/>
          <w:highlight w:val="none"/>
        </w:rPr>
      </w:pPr>
      <w:bookmarkStart w:id="73" w:name="_Toc513818906"/>
      <w:r>
        <w:rPr>
          <w:rFonts w:hint="eastAsia" w:hAnsi="宋体" w:cs="宋体"/>
          <w:color w:val="auto"/>
          <w:szCs w:val="30"/>
          <w:highlight w:val="none"/>
        </w:rPr>
        <w:t>六、授予合同</w:t>
      </w:r>
      <w:bookmarkEnd w:id="73"/>
    </w:p>
    <w:p w14:paraId="5C466C0B">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0</w:t>
      </w:r>
      <w:r>
        <w:rPr>
          <w:rFonts w:hint="eastAsia" w:ascii="宋体" w:hAnsi="宋体" w:cs="宋体"/>
          <w:b/>
          <w:bCs/>
          <w:color w:val="auto"/>
          <w:highlight w:val="none"/>
        </w:rPr>
        <w:t>、中标人的确定</w:t>
      </w:r>
    </w:p>
    <w:p w14:paraId="17281835">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.1根据评标结果，招标人将按照招标文件的约定确定中标人。</w:t>
      </w:r>
    </w:p>
    <w:p w14:paraId="1FCDCC1C">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.2评标委员会无义务将合同授予投标报价最低的投标人。</w:t>
      </w:r>
    </w:p>
    <w:p w14:paraId="179977EA">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1</w:t>
      </w:r>
      <w:r>
        <w:rPr>
          <w:rFonts w:hint="eastAsia" w:ascii="宋体" w:hAnsi="宋体" w:cs="宋体"/>
          <w:b/>
          <w:bCs/>
          <w:color w:val="auto"/>
          <w:highlight w:val="none"/>
        </w:rPr>
        <w:t>、中标结果公示</w:t>
      </w:r>
    </w:p>
    <w:p w14:paraId="4ABA2AD8">
      <w:pPr>
        <w:spacing w:line="360" w:lineRule="auto"/>
        <w:rPr>
          <w:rFonts w:hint="eastAsia" w:ascii="宋体" w:hAnsi="宋体" w:cs="宋体"/>
          <w:b/>
          <w:color w:val="auto"/>
          <w:highlight w:val="none"/>
        </w:rPr>
      </w:pPr>
      <w:r>
        <w:rPr>
          <w:rFonts w:hint="eastAsia" w:ascii="宋体" w:hAnsi="宋体" w:cs="宋体"/>
          <w:b/>
          <w:color w:val="auto"/>
          <w:highlight w:val="none"/>
        </w:rPr>
        <w:t>3</w:t>
      </w:r>
      <w:r>
        <w:rPr>
          <w:rFonts w:hint="eastAsia" w:ascii="宋体" w:hAnsi="宋体" w:cs="宋体"/>
          <w:b/>
          <w:color w:val="auto"/>
          <w:highlight w:val="none"/>
          <w:lang w:val="en-US" w:eastAsia="zh-CN"/>
        </w:rPr>
        <w:t>1</w:t>
      </w:r>
      <w:r>
        <w:rPr>
          <w:rFonts w:hint="eastAsia" w:ascii="宋体" w:hAnsi="宋体" w:cs="宋体"/>
          <w:b/>
          <w:color w:val="auto"/>
          <w:highlight w:val="none"/>
        </w:rPr>
        <w:t>.1</w:t>
      </w:r>
      <w:r>
        <w:rPr>
          <w:rFonts w:hint="eastAsia" w:ascii="宋体" w:hAnsi="宋体" w:cs="宋体"/>
          <w:b/>
          <w:color w:val="auto"/>
          <w:szCs w:val="21"/>
          <w:highlight w:val="none"/>
        </w:rPr>
        <w:t>广东省机电设备招标有限公司</w:t>
      </w:r>
      <w:r>
        <w:rPr>
          <w:rFonts w:hint="eastAsia" w:ascii="宋体" w:hAnsi="宋体" w:cs="宋体"/>
          <w:b/>
          <w:color w:val="auto"/>
          <w:highlight w:val="none"/>
        </w:rPr>
        <w:t>将在规定的时间通过指定网址公示中标结果。</w:t>
      </w:r>
    </w:p>
    <w:p w14:paraId="185DC072">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.2在投标有效期满之前，广东省机电设备招标有限公司将在指定网址公告中标结果，并将招标结果通知</w:t>
      </w:r>
      <w:r>
        <w:rPr>
          <w:rFonts w:hint="eastAsia" w:ascii="宋体" w:hAnsi="宋体" w:cs="宋体"/>
          <w:color w:val="auto"/>
          <w:highlight w:val="none"/>
          <w:lang w:eastAsia="zh-CN"/>
        </w:rPr>
        <w:t>招标人</w:t>
      </w:r>
      <w:r>
        <w:rPr>
          <w:rFonts w:hint="eastAsia" w:ascii="宋体" w:hAnsi="宋体" w:cs="宋体"/>
          <w:color w:val="auto"/>
          <w:highlight w:val="none"/>
        </w:rPr>
        <w:t>。</w:t>
      </w:r>
    </w:p>
    <w:p w14:paraId="7C4A1AA7">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2</w:t>
      </w:r>
      <w:r>
        <w:rPr>
          <w:rFonts w:hint="eastAsia" w:ascii="宋体" w:hAnsi="宋体" w:cs="宋体"/>
          <w:b/>
          <w:bCs/>
          <w:color w:val="auto"/>
          <w:highlight w:val="none"/>
        </w:rPr>
        <w:t>、合同授予</w:t>
      </w:r>
    </w:p>
    <w:p w14:paraId="3BF5BB34">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.1</w:t>
      </w:r>
      <w:r>
        <w:rPr>
          <w:rFonts w:hint="eastAsia" w:ascii="宋体" w:hAnsi="宋体" w:cs="宋体"/>
          <w:color w:val="auto"/>
          <w:highlight w:val="none"/>
          <w:lang w:eastAsia="zh-CN"/>
        </w:rPr>
        <w:t>招标人</w:t>
      </w:r>
      <w:r>
        <w:rPr>
          <w:rFonts w:hint="eastAsia" w:ascii="宋体" w:hAnsi="宋体" w:cs="宋体"/>
          <w:color w:val="auto"/>
          <w:highlight w:val="none"/>
        </w:rPr>
        <w:t>将合同授予被确定的中标人，中标人必须以中标人名义签订合同，若中标人为分公司或子公司的，应当在合同签订前提交由总公司出具的授权函。</w:t>
      </w:r>
    </w:p>
    <w:p w14:paraId="733EBAD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.2</w:t>
      </w:r>
      <w:r>
        <w:rPr>
          <w:rFonts w:hint="eastAsia" w:ascii="宋体" w:hAnsi="宋体" w:cs="宋体"/>
          <w:color w:val="auto"/>
          <w:highlight w:val="none"/>
          <w:lang w:eastAsia="zh-CN"/>
        </w:rPr>
        <w:t>招标人</w:t>
      </w:r>
      <w:r>
        <w:rPr>
          <w:rFonts w:hint="eastAsia" w:ascii="宋体" w:hAnsi="宋体" w:cs="宋体"/>
          <w:color w:val="auto"/>
          <w:highlight w:val="none"/>
        </w:rPr>
        <w:t>在授予合同时根据实际的需要有权对“用户需求书”中列举的涉及内容予以适当的增减，涉及内容的增减，该等增减行为不得对整个“用户需求”产生实际背离。按实际内容变化修正相应的价格。</w:t>
      </w:r>
    </w:p>
    <w:p w14:paraId="1BC777BA">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3</w:t>
      </w:r>
      <w:r>
        <w:rPr>
          <w:rFonts w:hint="eastAsia" w:ascii="宋体" w:hAnsi="宋体" w:cs="宋体"/>
          <w:b/>
          <w:bCs/>
          <w:color w:val="auto"/>
          <w:highlight w:val="none"/>
        </w:rPr>
        <w:t>、中标通知书及中标结果通知书</w:t>
      </w:r>
    </w:p>
    <w:p w14:paraId="115A68C0">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.1招标代理机构将用书面的方式向中标人发出经确认的书面《中标通知书》，中标人收到《中标通知书》后及时书面向广东省机电设备招标有限公司确认。</w:t>
      </w:r>
    </w:p>
    <w:p w14:paraId="7634D14D">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.2 《中标通知书》将是合同的一个组成部分。</w:t>
      </w:r>
    </w:p>
    <w:p w14:paraId="7E29AACA">
      <w:pPr>
        <w:spacing w:line="360" w:lineRule="auto"/>
        <w:ind w:left="359" w:hanging="359" w:hangingChars="171"/>
        <w:rPr>
          <w:rFonts w:hint="eastAsia" w:ascii="宋体" w:hAnsi="宋体" w:cs="宋体"/>
          <w:color w:val="auto"/>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.3广东省机电设备招标有限公司发出《中标通知书》时，向所有未中标人公告中标结果，对不中标的投标人不另行</w:t>
      </w:r>
      <w:r>
        <w:rPr>
          <w:rFonts w:hint="eastAsia" w:ascii="宋体" w:hAnsi="宋体" w:cs="宋体"/>
          <w:color w:val="auto"/>
          <w:highlight w:val="none"/>
        </w:rPr>
        <w:t>通知，亦不作任何解释。</w:t>
      </w:r>
    </w:p>
    <w:p w14:paraId="529B3184">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4</w:t>
      </w:r>
      <w:r>
        <w:rPr>
          <w:rFonts w:hint="eastAsia" w:ascii="宋体" w:hAnsi="宋体" w:cs="宋体"/>
          <w:b/>
          <w:bCs/>
          <w:color w:val="auto"/>
          <w:highlight w:val="none"/>
        </w:rPr>
        <w:t>、签订合同</w:t>
      </w:r>
    </w:p>
    <w:p w14:paraId="2AAFD07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.1中标人应自《中标通知书》发出之日起三十日内，应按照《中标通知书》指定的时间、地点，派遣其授权代表前往与</w:t>
      </w:r>
      <w:r>
        <w:rPr>
          <w:rFonts w:hint="eastAsia" w:ascii="宋体" w:hAnsi="宋体" w:cs="宋体"/>
          <w:color w:val="auto"/>
          <w:highlight w:val="none"/>
          <w:lang w:val="en-US" w:eastAsia="zh-CN"/>
        </w:rPr>
        <w:t>招标人</w:t>
      </w:r>
      <w:r>
        <w:rPr>
          <w:rFonts w:hint="eastAsia" w:ascii="宋体" w:hAnsi="宋体" w:cs="宋体"/>
          <w:color w:val="auto"/>
          <w:highlight w:val="none"/>
        </w:rPr>
        <w:t>签署合同。</w:t>
      </w:r>
    </w:p>
    <w:p w14:paraId="01482754">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.2合同的组成基于但不限于以下部分：</w:t>
      </w:r>
    </w:p>
    <w:p w14:paraId="1BD87753">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（1）《合同条款》；</w:t>
      </w:r>
    </w:p>
    <w:p w14:paraId="27ADCE49">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（2）招标文件及澄清、补充、修改文件；</w:t>
      </w:r>
    </w:p>
    <w:p w14:paraId="623B9A39">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（3）中标人的投标文件及澄清、补充、修改文件；</w:t>
      </w:r>
    </w:p>
    <w:p w14:paraId="1AF7533D">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（4）相关资料；</w:t>
      </w:r>
    </w:p>
    <w:p w14:paraId="63A4B56D">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（5）《中标通知书》。</w:t>
      </w:r>
    </w:p>
    <w:p w14:paraId="65EDEB3A">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.3签定合同过程中的解释顺序：1、中标通知书；2、中标单位投标文件；3、招标文件；当上述三份文件中的表述有冲突之处，以上述文件顺序列前的文件表述为准。</w:t>
      </w:r>
    </w:p>
    <w:p w14:paraId="29DE0119">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.4不接受中标人授权其分公司或者分支机构签订合同。</w:t>
      </w:r>
    </w:p>
    <w:p w14:paraId="4F51525F">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、招标代理服务费</w:t>
      </w:r>
    </w:p>
    <w:p w14:paraId="30066B15">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.1.中标人应按中标通知书要求与招标人签订合同。</w:t>
      </w:r>
    </w:p>
    <w:p w14:paraId="4342D7D7">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2.中标人须向招标代理机构交纳的招标代理服务费，收费按照《国家计委关于印发《招标代理服务收费管理暂行办法》的通知》（计价格[2002]1980号）及《国家发展改革委员会办公厅关于招标代理服务收费有关问题的通知</w:t>
      </w:r>
      <w:bookmarkStart w:id="74" w:name="_Hlt263413520"/>
      <w:bookmarkEnd w:id="74"/>
      <w:r>
        <w:rPr>
          <w:rFonts w:hint="eastAsia" w:ascii="宋体" w:hAnsi="宋体" w:cs="宋体"/>
          <w:b/>
          <w:bCs/>
          <w:color w:val="auto"/>
          <w:highlight w:val="none"/>
        </w:rPr>
        <w:t>》（发改办价格【2003】857号）的标准，以</w:t>
      </w:r>
      <w:r>
        <w:rPr>
          <w:rFonts w:hint="eastAsia" w:ascii="宋体" w:hAnsi="宋体" w:cs="宋体"/>
          <w:b/>
          <w:bCs/>
          <w:color w:val="auto"/>
          <w:highlight w:val="none"/>
          <w:u w:val="single"/>
        </w:rPr>
        <w:t>中标金额</w:t>
      </w:r>
      <w:r>
        <w:rPr>
          <w:rFonts w:hint="eastAsia" w:ascii="宋体" w:hAnsi="宋体" w:cs="宋体"/>
          <w:b/>
          <w:bCs/>
          <w:color w:val="auto"/>
          <w:highlight w:val="none"/>
        </w:rPr>
        <w:t>作为采购代理服务费的计算基数进行计算招标代理服务费并</w:t>
      </w:r>
      <w:r>
        <w:rPr>
          <w:rFonts w:hint="eastAsia" w:ascii="宋体" w:hAnsi="宋体" w:cs="宋体"/>
          <w:b/>
          <w:bCs/>
          <w:color w:val="auto"/>
          <w:highlight w:val="none"/>
          <w:u w:val="single"/>
        </w:rPr>
        <w:t>下浮50%</w:t>
      </w:r>
      <w:r>
        <w:rPr>
          <w:rFonts w:hint="eastAsia" w:ascii="宋体" w:hAnsi="宋体" w:cs="宋体"/>
          <w:b/>
          <w:bCs/>
          <w:color w:val="auto"/>
          <w:highlight w:val="none"/>
        </w:rPr>
        <w:t>向招标代理机构缴纳</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本项目为服务类招标项目</w:t>
      </w:r>
      <w:r>
        <w:rPr>
          <w:rFonts w:hint="eastAsia" w:ascii="宋体" w:hAnsi="宋体" w:cs="宋体"/>
          <w:b/>
          <w:bCs/>
          <w:color w:val="auto"/>
          <w:highlight w:val="none"/>
        </w:rPr>
        <w:t>。</w:t>
      </w:r>
    </w:p>
    <w:tbl>
      <w:tblPr>
        <w:tblStyle w:val="27"/>
        <w:tblW w:w="844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31"/>
        <w:gridCol w:w="1854"/>
        <w:gridCol w:w="2056"/>
        <w:gridCol w:w="2205"/>
      </w:tblGrid>
      <w:tr w14:paraId="74E30A3A">
        <w:tblPrEx>
          <w:tblCellMar>
            <w:top w:w="0" w:type="dxa"/>
            <w:left w:w="108" w:type="dxa"/>
            <w:bottom w:w="0" w:type="dxa"/>
            <w:right w:w="108" w:type="dxa"/>
          </w:tblCellMar>
        </w:tblPrEx>
        <w:trPr>
          <w:trHeight w:val="647" w:hRule="atLeast"/>
          <w:jc w:val="center"/>
        </w:trPr>
        <w:tc>
          <w:tcPr>
            <w:tcW w:w="2331" w:type="dxa"/>
            <w:noWrap w:val="0"/>
            <w:vAlign w:val="top"/>
          </w:tcPr>
          <w:p w14:paraId="5B23D445">
            <w:pPr>
              <w:snapToGrid w:val="0"/>
              <w:ind w:firstLine="1155" w:firstLineChars="550"/>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29210</wp:posOffset>
                      </wp:positionV>
                      <wp:extent cx="1430655" cy="386080"/>
                      <wp:effectExtent l="1270" t="4445" r="15875" b="9525"/>
                      <wp:wrapNone/>
                      <wp:docPr id="3" name="直接箭头连接符 3"/>
                      <wp:cNvGraphicFramePr/>
                      <a:graphic xmlns:a="http://schemas.openxmlformats.org/drawingml/2006/main">
                        <a:graphicData uri="http://schemas.microsoft.com/office/word/2010/wordprocessingShape">
                          <wps:wsp>
                            <wps:cNvCnPr/>
                            <wps:spPr>
                              <a:xfrm>
                                <a:off x="0" y="0"/>
                                <a:ext cx="1430655" cy="386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5pt;margin-top:2.3pt;height:30.4pt;width:112.65pt;z-index:251659264;mso-width-relative:page;mso-height-relative:page;" filled="f" stroked="t" coordsize="21600,21600" o:gfxdata="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scpgo1QAAAAcBAAAPAAAAAAAAAAEAIAAAACIAAABkcnMvZG93&#10;bnJldi54bWxQSwECFAAUAAAACACHTuJAtYSjLAMCAADxAwAADgAAAAAAAAABACAAAAAkAQAAZHJz&#10;L2Uyb0RvYy54bWxQSwUGAAAAAAYABgBZAQAAmQUAAAAA&#10;">
                      <v:fill on="f" focussize="0,0"/>
                      <v:stroke color="#000000" joinstyle="round"/>
                      <v:imagedata o:title=""/>
                      <o:lock v:ext="edit" aspectratio="f"/>
                    </v:shape>
                  </w:pict>
                </mc:Fallback>
              </mc:AlternateContent>
            </w:r>
            <w:r>
              <w:rPr>
                <w:rFonts w:hint="eastAsia" w:ascii="宋体" w:hAnsi="宋体" w:cs="宋体"/>
                <w:bCs/>
                <w:color w:val="auto"/>
                <w:szCs w:val="21"/>
                <w:highlight w:val="none"/>
              </w:rPr>
              <w:t>费率</w:t>
            </w:r>
          </w:p>
          <w:p w14:paraId="3589D91A">
            <w:pPr>
              <w:snapToGrid w:val="0"/>
              <w:rPr>
                <w:rFonts w:hint="eastAsia" w:ascii="宋体" w:hAnsi="宋体" w:cs="宋体"/>
                <w:color w:val="auto"/>
                <w:szCs w:val="21"/>
                <w:highlight w:val="none"/>
              </w:rPr>
            </w:pPr>
            <w:r>
              <w:rPr>
                <w:rFonts w:hint="eastAsia" w:ascii="宋体" w:hAnsi="宋体" w:cs="宋体"/>
                <w:bCs/>
                <w:color w:val="auto"/>
                <w:szCs w:val="21"/>
                <w:highlight w:val="none"/>
              </w:rPr>
              <w:t>中标金额</w:t>
            </w:r>
          </w:p>
        </w:tc>
        <w:tc>
          <w:tcPr>
            <w:tcW w:w="1854" w:type="dxa"/>
            <w:noWrap w:val="0"/>
            <w:vAlign w:val="center"/>
          </w:tcPr>
          <w:p w14:paraId="7462FECB">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货物招标</w:t>
            </w:r>
          </w:p>
        </w:tc>
        <w:tc>
          <w:tcPr>
            <w:tcW w:w="2056" w:type="dxa"/>
            <w:noWrap w:val="0"/>
            <w:vAlign w:val="center"/>
          </w:tcPr>
          <w:p w14:paraId="6902AA94">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服务招标</w:t>
            </w:r>
          </w:p>
        </w:tc>
        <w:tc>
          <w:tcPr>
            <w:tcW w:w="2205" w:type="dxa"/>
            <w:noWrap w:val="0"/>
            <w:vAlign w:val="center"/>
          </w:tcPr>
          <w:p w14:paraId="7C4355B4">
            <w:pPr>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工程招标</w:t>
            </w:r>
          </w:p>
        </w:tc>
      </w:tr>
      <w:tr w14:paraId="326C2F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33B8D96E">
            <w:pPr>
              <w:jc w:val="center"/>
              <w:rPr>
                <w:rFonts w:hint="eastAsia" w:ascii="宋体" w:hAnsi="宋体" w:cs="宋体"/>
                <w:bCs/>
                <w:color w:val="auto"/>
                <w:szCs w:val="21"/>
                <w:highlight w:val="none"/>
              </w:rPr>
            </w:pPr>
            <w:r>
              <w:rPr>
                <w:rFonts w:hint="eastAsia" w:ascii="宋体" w:hAnsi="宋体" w:cs="宋体"/>
                <w:color w:val="auto"/>
                <w:szCs w:val="21"/>
                <w:highlight w:val="none"/>
              </w:rPr>
              <w:t>100万元以下</w:t>
            </w:r>
          </w:p>
        </w:tc>
        <w:tc>
          <w:tcPr>
            <w:tcW w:w="1854" w:type="dxa"/>
            <w:noWrap w:val="0"/>
            <w:vAlign w:val="center"/>
          </w:tcPr>
          <w:p w14:paraId="55834F63">
            <w:pPr>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056" w:type="dxa"/>
            <w:noWrap w:val="0"/>
            <w:vAlign w:val="center"/>
          </w:tcPr>
          <w:p w14:paraId="2301804E">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205" w:type="dxa"/>
            <w:noWrap w:val="0"/>
            <w:vAlign w:val="top"/>
          </w:tcPr>
          <w:p w14:paraId="3EED7F3D">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45950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6DAE1895">
            <w:pPr>
              <w:jc w:val="center"/>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854" w:type="dxa"/>
            <w:noWrap w:val="0"/>
            <w:vAlign w:val="center"/>
          </w:tcPr>
          <w:p w14:paraId="5D7E8043">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056" w:type="dxa"/>
            <w:noWrap w:val="0"/>
            <w:vAlign w:val="center"/>
          </w:tcPr>
          <w:p w14:paraId="410C4379">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205" w:type="dxa"/>
            <w:noWrap w:val="0"/>
            <w:vAlign w:val="top"/>
          </w:tcPr>
          <w:p w14:paraId="56605725">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0.7%</w:t>
            </w:r>
          </w:p>
        </w:tc>
      </w:tr>
      <w:tr w14:paraId="169AC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5A49CE0A">
            <w:pPr>
              <w:jc w:val="center"/>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854" w:type="dxa"/>
            <w:noWrap w:val="0"/>
            <w:vAlign w:val="center"/>
          </w:tcPr>
          <w:p w14:paraId="514234F1">
            <w:pPr>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056" w:type="dxa"/>
            <w:noWrap w:val="0"/>
            <w:vAlign w:val="center"/>
          </w:tcPr>
          <w:p w14:paraId="71DAB8E5">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0.45%</w:t>
            </w:r>
          </w:p>
        </w:tc>
        <w:tc>
          <w:tcPr>
            <w:tcW w:w="2205" w:type="dxa"/>
            <w:noWrap w:val="0"/>
            <w:vAlign w:val="top"/>
          </w:tcPr>
          <w:p w14:paraId="1B6D5F4B">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0.55%</w:t>
            </w:r>
          </w:p>
        </w:tc>
      </w:tr>
      <w:tr w14:paraId="6088AF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noWrap w:val="0"/>
            <w:vAlign w:val="center"/>
          </w:tcPr>
          <w:p w14:paraId="6BB9232B">
            <w:pPr>
              <w:jc w:val="center"/>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854" w:type="dxa"/>
            <w:noWrap w:val="0"/>
            <w:vAlign w:val="center"/>
          </w:tcPr>
          <w:p w14:paraId="66B2F62B">
            <w:pPr>
              <w:jc w:val="center"/>
              <w:rPr>
                <w:rFonts w:hint="eastAsia" w:ascii="宋体" w:hAnsi="宋体" w:cs="宋体"/>
                <w:color w:val="auto"/>
                <w:szCs w:val="21"/>
                <w:highlight w:val="none"/>
              </w:rPr>
            </w:pPr>
            <w:r>
              <w:rPr>
                <w:rFonts w:hint="eastAsia" w:ascii="宋体" w:hAnsi="宋体" w:cs="宋体"/>
                <w:color w:val="auto"/>
                <w:szCs w:val="21"/>
                <w:highlight w:val="none"/>
              </w:rPr>
              <w:t>0.5%</w:t>
            </w:r>
          </w:p>
        </w:tc>
        <w:tc>
          <w:tcPr>
            <w:tcW w:w="2056" w:type="dxa"/>
            <w:noWrap w:val="0"/>
            <w:vAlign w:val="center"/>
          </w:tcPr>
          <w:p w14:paraId="4B5252B2">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0.25%</w:t>
            </w:r>
          </w:p>
        </w:tc>
        <w:tc>
          <w:tcPr>
            <w:tcW w:w="2205" w:type="dxa"/>
            <w:noWrap w:val="0"/>
            <w:vAlign w:val="top"/>
          </w:tcPr>
          <w:p w14:paraId="7F392E71">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0.35%</w:t>
            </w:r>
          </w:p>
        </w:tc>
      </w:tr>
    </w:tbl>
    <w:p w14:paraId="3802D4A7">
      <w:pPr>
        <w:spacing w:line="360" w:lineRule="auto"/>
        <w:ind w:left="439" w:hanging="439" w:hangingChars="208"/>
        <w:rPr>
          <w:rFonts w:hint="eastAsia" w:ascii="宋体" w:hAnsi="宋体" w:cs="宋体"/>
          <w:b/>
          <w:bCs/>
          <w:color w:val="auto"/>
          <w:highlight w:val="none"/>
        </w:rPr>
      </w:pPr>
    </w:p>
    <w:p w14:paraId="2BE4C589">
      <w:pPr>
        <w:spacing w:line="360" w:lineRule="auto"/>
        <w:ind w:left="439" w:hanging="439" w:hangingChars="208"/>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.3招标代理服务费由中标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通过广咨电子招投标交易平台（http://www.gzebid.cn）向招标代理机构缴交。【严禁采用EFT系统(广东金融结算系统)方式缴纳，如采用此方式导致招投标系统无法识别缴纳账号信息的，视为未按要求缴纳招标代理服务费，由此造成后果由投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自行承担责任。】。</w:t>
      </w:r>
    </w:p>
    <w:p w14:paraId="66DE6781">
      <w:pPr>
        <w:widowControl/>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r>
        <w:rPr>
          <w:rFonts w:hint="eastAsia" w:ascii="宋体" w:hAnsi="宋体" w:cs="宋体"/>
          <w:b/>
          <w:color w:val="auto"/>
          <w:kern w:val="0"/>
          <w:szCs w:val="21"/>
          <w:highlight w:val="none"/>
          <w:lang w:val="en-US" w:eastAsia="zh-CN"/>
        </w:rPr>
        <w:t>6</w:t>
      </w:r>
      <w:r>
        <w:rPr>
          <w:rFonts w:hint="eastAsia" w:ascii="宋体" w:hAnsi="宋体" w:cs="宋体"/>
          <w:b/>
          <w:color w:val="auto"/>
          <w:kern w:val="0"/>
          <w:szCs w:val="21"/>
          <w:highlight w:val="none"/>
        </w:rPr>
        <w:t>、监督与检查</w:t>
      </w:r>
    </w:p>
    <w:p w14:paraId="435253A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6</w:t>
      </w:r>
      <w:r>
        <w:rPr>
          <w:rFonts w:hint="eastAsia" w:ascii="宋体" w:hAnsi="宋体" w:cs="宋体"/>
          <w:color w:val="auto"/>
          <w:highlight w:val="none"/>
        </w:rPr>
        <w:t>.1</w:t>
      </w:r>
      <w:r>
        <w:rPr>
          <w:rFonts w:hint="eastAsia" w:ascii="宋体" w:hAnsi="宋体" w:cs="宋体"/>
          <w:color w:val="auto"/>
          <w:kern w:val="0"/>
          <w:szCs w:val="21"/>
          <w:highlight w:val="none"/>
        </w:rPr>
        <w:t>投标人有下列情形之一，则中标、成交无效，投标保证金不予退还，取消投标人一年至三年内参加</w:t>
      </w:r>
      <w:r>
        <w:rPr>
          <w:rFonts w:hint="eastAsia" w:ascii="宋体" w:hAnsi="宋体" w:cs="宋体"/>
          <w:color w:val="auto"/>
          <w:highlight w:val="none"/>
          <w:u w:val="single"/>
          <w:lang w:eastAsia="zh-CN"/>
        </w:rPr>
        <w:t>广东南都娱乐传媒有限公司</w:t>
      </w:r>
      <w:r>
        <w:rPr>
          <w:rFonts w:hint="eastAsia" w:ascii="宋体" w:hAnsi="宋体" w:cs="宋体"/>
          <w:color w:val="auto"/>
          <w:highlight w:val="none"/>
        </w:rPr>
        <w:t>招标项目的投标资格并予以公告；给招标人造成损失的，应追究其经济责任或法律责任：</w:t>
      </w:r>
    </w:p>
    <w:p w14:paraId="0356B55B">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1.提供虚假投标材料的；</w:t>
      </w:r>
    </w:p>
    <w:p w14:paraId="1F0D3B9E">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2.采取不正当手段诋毁、排挤其他投标人的；</w:t>
      </w:r>
    </w:p>
    <w:p w14:paraId="12129797">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3.与招标单位、其他投标人恶意串通的；</w:t>
      </w:r>
    </w:p>
    <w:p w14:paraId="1ADA6D84">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4.向招标单位行贿或者提供其他不正当利益的；</w:t>
      </w:r>
    </w:p>
    <w:p w14:paraId="448E67AB">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5.其它违法、违纪或违规的行为。</w:t>
      </w:r>
    </w:p>
    <w:p w14:paraId="67DD473B">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7</w:t>
      </w:r>
      <w:r>
        <w:rPr>
          <w:rFonts w:hint="eastAsia" w:ascii="宋体" w:hAnsi="宋体" w:cs="宋体"/>
          <w:b/>
          <w:bCs/>
          <w:color w:val="auto"/>
          <w:highlight w:val="none"/>
        </w:rPr>
        <w:t>、招标文件的解释权</w:t>
      </w:r>
    </w:p>
    <w:p w14:paraId="16E10E5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7</w:t>
      </w:r>
      <w:r>
        <w:rPr>
          <w:rFonts w:hint="eastAsia" w:ascii="宋体" w:hAnsi="宋体" w:cs="宋体"/>
          <w:color w:val="auto"/>
          <w:highlight w:val="none"/>
        </w:rPr>
        <w:t>.1如果投标人对此次招标活动有疑问，可参照相关法律法规向广东省机电设备招标有限公司提出异议。广东省机电设备招标有限公司应当给与答复，并将结果告知有关当事人。异议应符合以下条件，如不符合，广东省机电设备招标有限公司将不予受理。</w:t>
      </w:r>
    </w:p>
    <w:p w14:paraId="5414221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 提出异议的应是投标人或者其他利害关系人。</w:t>
      </w:r>
    </w:p>
    <w:p w14:paraId="51700BF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 异议必须以书面形式提出，注明异议的项目名称、项目编号、异议</w:t>
      </w:r>
      <w:r>
        <w:rPr>
          <w:rFonts w:hint="eastAsia" w:ascii="宋体" w:hAnsi="宋体" w:cs="宋体"/>
          <w:color w:val="auto"/>
          <w:highlight w:val="none"/>
          <w:lang w:val="en-US" w:eastAsia="zh-CN"/>
        </w:rPr>
        <w:t>投标人</w:t>
      </w:r>
      <w:r>
        <w:rPr>
          <w:rFonts w:hint="eastAsia" w:ascii="宋体" w:hAnsi="宋体" w:cs="宋体"/>
          <w:color w:val="auto"/>
          <w:highlight w:val="none"/>
        </w:rPr>
        <w:t>的单位名称、详细地址、邮政编码、联系人及联系电话等基本情况。</w:t>
      </w:r>
    </w:p>
    <w:p w14:paraId="12977E0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 异议文件必须由法定代表人签署或经法定代表人授权的代表签署，加盖单位公章，在规定的时限内将异议书原件送抵广东省机电设备招标有限公司。</w:t>
      </w:r>
    </w:p>
    <w:p w14:paraId="516D010D">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 有异议的具体事项、请求及理由，不得含有虚假、恶意成份，并附相关证据材料，所依据的有关法律、法规、规章的名称及条款内容。</w:t>
      </w:r>
    </w:p>
    <w:p w14:paraId="2C4F39B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 异议材料中有外文资料的，应一并附上中文译本，并以中文译本为准。</w:t>
      </w:r>
    </w:p>
    <w:p w14:paraId="6AFB539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 异议事项属于有关法律、法规和规章规定处于保密阶段的事项，异议的当事人应当提供信息来源或有效证据。</w:t>
      </w:r>
      <w:r>
        <w:rPr>
          <w:rFonts w:hint="eastAsia" w:ascii="宋体" w:hAnsi="宋体" w:cs="宋体"/>
          <w:color w:val="auto"/>
          <w:highlight w:val="none"/>
        </w:rPr>
        <w:br w:type="page"/>
      </w:r>
    </w:p>
    <w:p w14:paraId="7D9DEB5B">
      <w:pPr>
        <w:pStyle w:val="13"/>
        <w:rPr>
          <w:rFonts w:hint="eastAsia"/>
          <w:color w:val="auto"/>
        </w:rPr>
      </w:pPr>
    </w:p>
    <w:p w14:paraId="6F75711D">
      <w:pPr>
        <w:rPr>
          <w:rFonts w:hint="eastAsia" w:ascii="宋体" w:hAnsi="宋体" w:cs="宋体"/>
          <w:color w:val="auto"/>
          <w:sz w:val="24"/>
          <w:szCs w:val="24"/>
          <w:highlight w:val="none"/>
        </w:rPr>
      </w:pPr>
    </w:p>
    <w:p w14:paraId="324A8765">
      <w:pPr>
        <w:rPr>
          <w:rFonts w:hint="eastAsia" w:ascii="宋体" w:hAnsi="宋体" w:cs="宋体"/>
          <w:color w:val="auto"/>
          <w:sz w:val="24"/>
          <w:szCs w:val="24"/>
          <w:highlight w:val="none"/>
        </w:rPr>
      </w:pPr>
    </w:p>
    <w:p w14:paraId="1ED0D26B">
      <w:pPr>
        <w:rPr>
          <w:rFonts w:hint="eastAsia" w:ascii="宋体" w:hAnsi="宋体" w:cs="宋体"/>
          <w:color w:val="auto"/>
          <w:sz w:val="24"/>
          <w:szCs w:val="24"/>
          <w:highlight w:val="none"/>
        </w:rPr>
      </w:pPr>
    </w:p>
    <w:p w14:paraId="6D645C79">
      <w:pPr>
        <w:rPr>
          <w:rFonts w:hint="eastAsia" w:ascii="宋体" w:hAnsi="宋体" w:cs="宋体"/>
          <w:color w:val="auto"/>
          <w:sz w:val="24"/>
          <w:szCs w:val="24"/>
          <w:highlight w:val="none"/>
        </w:rPr>
      </w:pPr>
    </w:p>
    <w:p w14:paraId="04DC486E">
      <w:pPr>
        <w:rPr>
          <w:rFonts w:hint="eastAsia" w:ascii="宋体" w:hAnsi="宋体" w:cs="宋体"/>
          <w:color w:val="auto"/>
          <w:sz w:val="24"/>
          <w:szCs w:val="24"/>
          <w:highlight w:val="none"/>
        </w:rPr>
      </w:pPr>
    </w:p>
    <w:p w14:paraId="2426DC24">
      <w:pPr>
        <w:rPr>
          <w:rFonts w:hint="eastAsia" w:ascii="宋体" w:hAnsi="宋体" w:cs="宋体"/>
          <w:color w:val="auto"/>
          <w:sz w:val="24"/>
          <w:szCs w:val="24"/>
          <w:highlight w:val="none"/>
        </w:rPr>
      </w:pPr>
    </w:p>
    <w:p w14:paraId="721ECA4E">
      <w:pPr>
        <w:rPr>
          <w:rFonts w:hint="eastAsia" w:ascii="宋体" w:hAnsi="宋体" w:cs="宋体"/>
          <w:color w:val="auto"/>
          <w:sz w:val="24"/>
          <w:szCs w:val="24"/>
          <w:highlight w:val="none"/>
        </w:rPr>
      </w:pPr>
    </w:p>
    <w:p w14:paraId="3CE52BE2">
      <w:pPr>
        <w:rPr>
          <w:rFonts w:hint="eastAsia" w:ascii="宋体" w:hAnsi="宋体" w:cs="宋体"/>
          <w:color w:val="auto"/>
          <w:sz w:val="24"/>
          <w:szCs w:val="24"/>
          <w:highlight w:val="none"/>
        </w:rPr>
      </w:pPr>
    </w:p>
    <w:p w14:paraId="226A6811">
      <w:pPr>
        <w:rPr>
          <w:rFonts w:hint="eastAsia" w:ascii="宋体" w:hAnsi="宋体" w:cs="宋体"/>
          <w:color w:val="auto"/>
          <w:sz w:val="24"/>
          <w:szCs w:val="24"/>
          <w:highlight w:val="none"/>
        </w:rPr>
      </w:pPr>
    </w:p>
    <w:p w14:paraId="358A6CD9">
      <w:pPr>
        <w:rPr>
          <w:rFonts w:hint="eastAsia" w:ascii="宋体" w:hAnsi="宋体" w:cs="宋体"/>
          <w:color w:val="auto"/>
          <w:sz w:val="24"/>
          <w:szCs w:val="24"/>
          <w:highlight w:val="none"/>
        </w:rPr>
      </w:pPr>
    </w:p>
    <w:p w14:paraId="5FD19CC6">
      <w:pPr>
        <w:rPr>
          <w:rFonts w:hint="eastAsia" w:ascii="宋体" w:hAnsi="宋体" w:cs="宋体"/>
          <w:color w:val="auto"/>
          <w:sz w:val="24"/>
          <w:szCs w:val="24"/>
          <w:highlight w:val="none"/>
        </w:rPr>
      </w:pPr>
    </w:p>
    <w:p w14:paraId="009941C6">
      <w:pPr>
        <w:rPr>
          <w:rFonts w:hint="eastAsia" w:ascii="宋体" w:hAnsi="宋体" w:cs="宋体"/>
          <w:color w:val="auto"/>
          <w:sz w:val="24"/>
          <w:szCs w:val="24"/>
          <w:highlight w:val="none"/>
        </w:rPr>
      </w:pPr>
    </w:p>
    <w:p w14:paraId="010E455F">
      <w:pPr>
        <w:rPr>
          <w:rFonts w:hint="eastAsia" w:ascii="宋体" w:hAnsi="宋体" w:cs="宋体"/>
          <w:color w:val="auto"/>
          <w:sz w:val="24"/>
          <w:szCs w:val="24"/>
          <w:highlight w:val="none"/>
        </w:rPr>
      </w:pPr>
    </w:p>
    <w:p w14:paraId="09BDF9BD">
      <w:pPr>
        <w:rPr>
          <w:rFonts w:hint="eastAsia" w:ascii="宋体" w:hAnsi="宋体" w:cs="宋体"/>
          <w:color w:val="auto"/>
          <w:sz w:val="24"/>
          <w:szCs w:val="24"/>
          <w:highlight w:val="none"/>
        </w:rPr>
      </w:pPr>
    </w:p>
    <w:p w14:paraId="14D7E1A2">
      <w:pPr>
        <w:numPr>
          <w:ilvl w:val="0"/>
          <w:numId w:val="3"/>
        </w:numPr>
        <w:jc w:val="center"/>
        <w:outlineLvl w:val="0"/>
        <w:rPr>
          <w:rFonts w:hint="eastAsia" w:ascii="宋体" w:hAnsi="宋体" w:cs="宋体"/>
          <w:b/>
          <w:color w:val="auto"/>
          <w:sz w:val="44"/>
          <w:szCs w:val="44"/>
          <w:highlight w:val="none"/>
        </w:rPr>
      </w:pPr>
      <w:bookmarkStart w:id="75" w:name="_Toc477186261"/>
      <w:bookmarkStart w:id="76" w:name="_Toc5009"/>
      <w:r>
        <w:rPr>
          <w:rFonts w:hint="eastAsia" w:ascii="宋体" w:hAnsi="宋体" w:cs="宋体"/>
          <w:b/>
          <w:color w:val="auto"/>
          <w:sz w:val="44"/>
          <w:szCs w:val="44"/>
          <w:highlight w:val="none"/>
        </w:rPr>
        <w:t xml:space="preserve"> </w:t>
      </w:r>
      <w:bookmarkEnd w:id="75"/>
      <w:r>
        <w:rPr>
          <w:rFonts w:hint="eastAsia" w:ascii="宋体" w:hAnsi="宋体" w:cs="宋体"/>
          <w:b/>
          <w:color w:val="auto"/>
          <w:sz w:val="44"/>
          <w:szCs w:val="44"/>
          <w:highlight w:val="none"/>
        </w:rPr>
        <w:t>用户需求书</w:t>
      </w:r>
      <w:bookmarkEnd w:id="76"/>
    </w:p>
    <w:p w14:paraId="1B233784">
      <w:pPr>
        <w:pStyle w:val="7"/>
        <w:ind w:left="0" w:leftChars="0"/>
        <w:rPr>
          <w:rFonts w:hint="eastAsia" w:ascii="宋体" w:hAnsi="宋体" w:cs="宋体"/>
          <w:color w:val="auto"/>
          <w:highlight w:val="none"/>
        </w:rPr>
      </w:pPr>
    </w:p>
    <w:p w14:paraId="4D6CEBF0">
      <w:pPr>
        <w:rPr>
          <w:rFonts w:hint="eastAsia" w:ascii="宋体" w:hAnsi="宋体" w:cs="宋体"/>
          <w:color w:val="auto"/>
          <w:highlight w:val="none"/>
        </w:rPr>
      </w:pPr>
    </w:p>
    <w:p w14:paraId="032CF56B">
      <w:pPr>
        <w:pStyle w:val="7"/>
        <w:rPr>
          <w:rFonts w:hint="eastAsia" w:ascii="宋体" w:hAnsi="宋体" w:cs="宋体"/>
          <w:color w:val="auto"/>
          <w:highlight w:val="none"/>
        </w:rPr>
      </w:pPr>
    </w:p>
    <w:p w14:paraId="0D3BA9DD">
      <w:pPr>
        <w:spacing w:line="360" w:lineRule="auto"/>
        <w:rPr>
          <w:rFonts w:hint="eastAsia" w:ascii="宋体" w:hAnsi="宋体" w:cs="宋体"/>
          <w:color w:val="auto"/>
          <w:szCs w:val="21"/>
          <w:highlight w:val="none"/>
        </w:rPr>
      </w:pPr>
      <w:bookmarkStart w:id="77" w:name="_Toc475448858"/>
      <w:bookmarkStart w:id="78" w:name="_Toc474757211"/>
      <w:r>
        <w:rPr>
          <w:rFonts w:hint="eastAsia" w:ascii="宋体" w:hAnsi="宋体" w:cs="宋体"/>
          <w:color w:val="auto"/>
          <w:szCs w:val="21"/>
          <w:highlight w:val="none"/>
        </w:rPr>
        <w:t>1.打“★”号条款为实质性条款（如有），若有任何一条负偏离或不满足则导致投标（响应）无效。</w:t>
      </w:r>
    </w:p>
    <w:p w14:paraId="084D588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2.打“▲”号条款为重要技术参数（如有），若有部分“▲”条款未响应或不满足，将根据评审要求影响其得分，但不作为无效投标（响应）条款。</w:t>
      </w:r>
    </w:p>
    <w:p w14:paraId="442B1F6E">
      <w:pPr>
        <w:pStyle w:val="17"/>
        <w:adjustRightInd w:val="0"/>
        <w:snapToGrid w:val="0"/>
        <w:spacing w:line="360" w:lineRule="auto"/>
        <w:jc w:val="left"/>
        <w:rPr>
          <w:rFonts w:hint="eastAsia" w:hAnsi="宋体"/>
          <w:b/>
          <w:color w:val="auto"/>
          <w:sz w:val="28"/>
          <w:szCs w:val="28"/>
          <w:highlight w:val="none"/>
          <w:lang w:val="en-US" w:eastAsia="zh-CN"/>
        </w:rPr>
      </w:pPr>
      <w:r>
        <w:rPr>
          <w:rFonts w:hint="eastAsia" w:ascii="宋体" w:hAnsi="宋体" w:cs="宋体"/>
          <w:color w:val="auto"/>
          <w:sz w:val="24"/>
          <w:szCs w:val="24"/>
          <w:highlight w:val="none"/>
        </w:rPr>
        <w:br w:type="page"/>
      </w:r>
    </w:p>
    <w:p w14:paraId="5EA5D87F">
      <w:pPr>
        <w:pageBreakBefore w:val="0"/>
        <w:widowControl/>
        <w:numPr>
          <w:ilvl w:val="0"/>
          <w:numId w:val="0"/>
        </w:numPr>
        <w:shd w:val="clear"/>
        <w:kinsoku/>
        <w:wordWrap/>
        <w:overflowPunct/>
        <w:topLinePunct w:val="0"/>
        <w:autoSpaceDE/>
        <w:autoSpaceDN/>
        <w:bidi w:val="0"/>
        <w:adjustRightInd/>
        <w:snapToGrid/>
        <w:spacing w:line="360" w:lineRule="auto"/>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子包</w:t>
      </w: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lang w:val="en-US" w:eastAsia="zh-CN"/>
        </w:rPr>
        <w:t>：</w:t>
      </w:r>
      <w:r>
        <w:rPr>
          <w:rFonts w:hint="eastAsia" w:ascii="宋体" w:hAnsi="宋体" w:cs="宋体"/>
          <w:b/>
          <w:bCs/>
          <w:color w:val="auto"/>
          <w:sz w:val="21"/>
          <w:szCs w:val="21"/>
          <w:lang w:val="en-US" w:eastAsia="zh-CN"/>
        </w:rPr>
        <w:t>宣传片广告拍摄、宣传册印刷及活动执行综合保障服务用户需求</w:t>
      </w:r>
    </w:p>
    <w:p w14:paraId="23DA795E">
      <w:pPr>
        <w:pageBreakBefore w:val="0"/>
        <w:widowControl/>
        <w:shd w:val="clear"/>
        <w:kinsoku/>
        <w:wordWrap/>
        <w:overflowPunct/>
        <w:topLinePunct w:val="0"/>
        <w:autoSpaceDE/>
        <w:autoSpaceDN/>
        <w:bidi w:val="0"/>
        <w:adjustRightInd/>
        <w:snapToGrid/>
        <w:spacing w:line="360" w:lineRule="auto"/>
        <w:ind w:firstLine="0" w:firstLineChars="0"/>
        <w:rPr>
          <w:rFonts w:hint="eastAsia" w:asciiTheme="minorEastAsia" w:hAnsiTheme="minorEastAsia" w:eastAsiaTheme="minorEastAsia" w:cstheme="minorEastAsia"/>
          <w:b/>
          <w:bCs/>
          <w:color w:val="auto"/>
          <w:sz w:val="21"/>
          <w:szCs w:val="21"/>
          <w:lang w:val="en-US" w:eastAsia="zh-CN"/>
        </w:rPr>
      </w:pPr>
    </w:p>
    <w:p w14:paraId="5F1570F0">
      <w:pPr>
        <w:pageBreakBefore w:val="0"/>
        <w:widowControl/>
        <w:shd w:val="clear"/>
        <w:kinsoku/>
        <w:wordWrap/>
        <w:overflowPunct/>
        <w:topLinePunct w:val="0"/>
        <w:autoSpaceDE/>
        <w:autoSpaceDN/>
        <w:bidi w:val="0"/>
        <w:adjustRightInd/>
        <w:snapToGrid/>
        <w:spacing w:line="360" w:lineRule="auto"/>
        <w:ind w:firstLine="422" w:firstLineChars="200"/>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一、</w:t>
      </w:r>
      <w:r>
        <w:rPr>
          <w:rFonts w:hint="eastAsia" w:asciiTheme="minorEastAsia" w:hAnsiTheme="minorEastAsia" w:eastAsiaTheme="minorEastAsia" w:cstheme="minorEastAsia"/>
          <w:b/>
          <w:bCs/>
          <w:color w:val="auto"/>
          <w:sz w:val="21"/>
          <w:szCs w:val="21"/>
        </w:rPr>
        <w:t>项目简介</w:t>
      </w:r>
    </w:p>
    <w:p w14:paraId="2A4111A5">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为系统提升第六届大湾区文化艺术节品牌影响力，充实活动全媒体宣传推广的视觉载体与配套物料，保障艺术节发布会等现场活动顺利开展，招标人拟采购宣传片广告拍摄、宣传册印刷及活动执行综合保障服务。招标人统筹整体活动执行与宣传推广方向，中标人作为综合保障服务单位，在招标人统一部署框架下开展宣传片、广告片的拍摄制作及交通、道具、场地、妆造等配套保障，宣传册文稿翻译、设计印刷与交付，以及艺术节发布会媒体邀请、场地搭建、现场执行等综合保障工作。本项目服务周期自合同签订之日起启动，涵盖前期筹备、拍摄制作、印刷交付、活动执行全流程。服务工作结束后，中标人配合完成资料移交、项目验收等收尾工作，须于 2026 年 12 月 31 日前全部完成。</w:t>
      </w:r>
    </w:p>
    <w:p w14:paraId="39F9B1B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方案报审管理：投标人投标阶段结合用户需求自主编制完整服务方案。项目中标签约后，中标人须结合招标人总体要求，细化形成可落地的专项实施方案，包含拍摄制作计划、印刷交付计划、活动执行计划、人员配置、进度安排、应急保障等全部细节。所有实施方案须报送招标人，经招标人书面审核确认后方可实施。招标人可在本采购需求约定服务范围内结合活动实际情况提出调整意见，中标人须无条件按照审定方案执行。</w:t>
      </w:r>
    </w:p>
    <w:p w14:paraId="68DE9452">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动态履约管理：本需求列明的各项服务标准为项目预期工作标准，实施方案可结合执行实际合理优化调整。招标人可根据项目进度、活动安排动态调整实施规模、形式与频次，最终实施内容、执行标准以招标人书面确认方案为准，项目验收综合考量整体服务成效、落地质量与配合度。</w:t>
      </w:r>
    </w:p>
    <w:p w14:paraId="55E4A244">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3.分包与转包管理：中标人如需委托第三方承担非主体、非关键性工作，须提前征得招标人书面同意。本项目严禁整体转包，中标人对项目全部服务成果、服务质量、合规风险承担全部主体责任。</w:t>
      </w:r>
    </w:p>
    <w:p w14:paraId="6952D670">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执行保障要求：投标人须统筹配齐专职服务人员、执行物料、设备资源、时间计划，建立常态化执行机制与突发情况应急处置预案，并出具正式履约服务承诺。项目固定配备1名专职项目负责人，全程对接招标人、统筹所有宣发及配套保障工作、管控服务质量、协调处置各类问题，保障全周期服务不间断、标准统一。</w:t>
      </w:r>
    </w:p>
    <w:p w14:paraId="406C40EE">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验收总体要求：项目验收以本采购需求服务标准、全周期履约情况、宣发服务成效、成果交付完整性、无合规及服务事故为核心依据，全程服务响应及时、执行到位、资料齐全、零投诉零违规即为验收合格。</w:t>
      </w:r>
    </w:p>
    <w:p w14:paraId="1D6735E2">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二、核心服务周期与服务范围</w:t>
      </w:r>
    </w:p>
    <w:p w14:paraId="3A9BDB0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服务周期：项目整体固定服务周期不少于2个月，自合同约定启动日期起算，覆盖艺术节全宣传周期，全程驻场常态化保障，服务周期内团队人员固定、服务不间断，整体工作指定日期前完成。</w:t>
      </w:r>
    </w:p>
    <w:p w14:paraId="4DC60E0D">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服务范围：履约周期内承接招标人下达的所有艺术节相关宣发及配套保障工作，包含线上全域宣发运营、全品类宣传素材制作、宣传片广告片摄制保障、2000册宣传册全流程印刷、发布会综合活动执行保障、媒体对接、线下活动配套宣发、舆情配合保障、资料归档等全部宣发及配套保障工作，无项目数量、执行场次、宣传频次限制，全力配合招标人动态调整的宣传工作需求。</w:t>
      </w:r>
    </w:p>
    <w:p w14:paraId="371FE9EB">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三、具体服务内容</w:t>
      </w:r>
    </w:p>
    <w:p w14:paraId="65FE98AA">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（一）全品类宣传素材制作与宣传片广告片摄制保障服务</w:t>
      </w:r>
    </w:p>
    <w:p w14:paraId="6CD9C71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履约周期内按需、不限量完成艺术节各类宣传视觉、文案、视频素材制作，适配全渠道宣传推广需求。服务内容包含但不限于活动宣传推文、新闻文稿、海报、长图、版式设计、主题视觉优化、短视频剪辑、图文排版、活动封面物料等全品类素材创作、优化、迭代更新。同时严格按照招标人部署，全面完成艺术节宣传片、广告片专项拍摄制作及全套配套保障工作，具体服务目标及细则如下：</w:t>
      </w:r>
    </w:p>
    <w:p w14:paraId="6079C7CF">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服务目标</w:t>
      </w:r>
    </w:p>
    <w:p w14:paraId="2883B82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配合招标人完成宣传片、广告片的拍摄、剪辑、制作及全流程后期配套服务，全面保障拍摄期间交通、道具、场地、妆造、设备等配套支撑到位，确保宣传片、广告片按时、按质、按量完成交付，满足招标人全媒体宣传推广使用需求。</w:t>
      </w:r>
    </w:p>
    <w:p w14:paraId="02103BE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核心服务内容</w:t>
      </w:r>
    </w:p>
    <w:p w14:paraId="2BF58F7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拍摄制作服务保障：提供宣传片、广告片的部分拍摄、剪辑、制作及后期配套服务，包含但不限于素材采集整理、版权合规处理、专业配音、字幕包装、调色精修等配套工作。配合招标人完成拍摄脚本优化、分镜设计、拍摄排期等前期策划；按要求开展现场拍摄、素材采集，保障画面质量、内容调性符合艺术节宣传定位；完整完成剪辑、调色、包装、配音、字幕等后期制作；全程落实素材版权核查、内容合规自查，杜绝侵权及违规风险；所有样片、成片、原始素材按招标人要求逐级报审，经书面确认后方可发布使用。</w:t>
      </w:r>
    </w:p>
    <w:p w14:paraId="5637D11C">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拍摄交通保障服务：配套提供拍摄交通保障，针对拍摄嘉宾、演艺人员及随行工作人员提供接送服务；中标人需根据拍摄计划提前调度车辆、规划行程，保障人员往返拍摄现场安全、准时、高效；可根据拍摄计划临时调整，实时响应行程变动需求。</w:t>
      </w:r>
    </w:p>
    <w:p w14:paraId="3C05050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拍摄配套支撑服务：全程提供拍摄专项配套保障，根据拍摄需求按需配置拍摄道具、落实拍摄场地使用；为拍摄嘉宾、演艺人员提供专业妆造服务，保障出镜形象符合官方宣传标准；全程负责拍摄设备进场调试、现场运维、技术保障，及时处置拍摄设备故障及现场突发问题，确保拍摄工作高效顺畅推进。</w:t>
      </w:r>
    </w:p>
    <w:p w14:paraId="218C4A50">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响应时效要求</w:t>
      </w:r>
    </w:p>
    <w:p w14:paraId="58401C4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常规拍摄服务需求2个工作日内提交配套执行方案；紧急拍摄任务4小时内响应并提供初步实施方案。拍摄制作周期内，每周向招标人提交进度汇总简报，同步工作进展、节点成果及待协调事项。</w:t>
      </w:r>
    </w:p>
    <w:p w14:paraId="2D378F53">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（二）常态化线上宣发运营服务</w:t>
      </w:r>
    </w:p>
    <w:p w14:paraId="712B24D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全程配合招标人开展艺术节线上全域宣传运营工作，不限宣传频次与推送次数。负责各类宣传内容排版发布、话题运营、线上传播扩散、公私域分发、内容更新迭代，配合活动节点完成预热宣传、期中播报、收尾复盘、热点跟进等全时序宣发工作，持续维护艺术节线上传播声量与品牌热度。</w:t>
      </w:r>
    </w:p>
    <w:p w14:paraId="0A032023">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（三）线下活动宣发配套与发布会综合执行保障服务</w:t>
      </w:r>
    </w:p>
    <w:p w14:paraId="302E2672">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针对艺术节各类线下活动、发布会、专项论坛、艺术讲堂、潮流活动等所有场次活动，提供全流程宣发配套保障，包含活动前期宣传预热、现场影像记录、现场宣发物料落地配合、活动亮点整理、赛后宣传复盘、二次传播推广等服务，实现一场活动、多轮传播，最大化活动宣传效能。同时高标准完成艺术节发布会、专项论坛重点活动综合执行保障工作：</w:t>
      </w:r>
    </w:p>
    <w:p w14:paraId="50EE6973">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服务目标</w:t>
      </w:r>
    </w:p>
    <w:p w14:paraId="673F7C73">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在招标人统一部署下，协助组织开展艺术节发布会、论坛等重点活动，统筹落实媒体邀请、场地遴选租赁、现场搭建布置、全程现场执行等综合保障工作，确保活动规范、安全、圆满落地。</w:t>
      </w:r>
    </w:p>
    <w:p w14:paraId="27BE9AD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核心服务内容</w:t>
      </w:r>
    </w:p>
    <w:p w14:paraId="7A89D96E">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媒体邀请服务：协助招标人拟定媒体邀请名单，覆盖文艺类主流媒体、网络媒体、视频媒体等多元媒体类型，完成邀请推送、档期确认、出席统计；负责活动现场媒体签到、接待引导、采访对接；活动结束后统一收集、汇总媒体报道链接及宣传素材。</w:t>
      </w:r>
    </w:p>
    <w:p w14:paraId="3EC42E11">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嘉宾专项保障服务：全程提供参会嘉宾全流程礼遇保障服务，包含嘉宾前期行程对接、专属专人接送、到场签到接待、现场动线引导、落座统筹安排、活动全程陪同、嘉宾必要参会服务费用等配套服务，全方位保障嘉宾参会体验，确保嘉宾对接顺畅、活动接待规范有序。</w:t>
      </w:r>
    </w:p>
    <w:p w14:paraId="58EBC8C0">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场地使用及现场搭建服务：根据项目要求提供至少5个优质候选场地，场地选址须位于国内一线城市、强二线城市核心商圈及周边区域。场地硬件条件、配套服务、周边环境需满足活动承办需求；场地须配备专业舞台、大屏幕、控台等全套设备，可满足发布会常态化使用；单场场地可容纳观众50人及以上。场地使用周期不少于2天，完整包含搭建彩排、正式活动使用及撤场全流程工期。服务包干覆盖场地租赁、场地基础装修、异形装修、基础灯光氛围布置、配套人工、场地报批等全部行政及落地费用。</w:t>
      </w:r>
    </w:p>
    <w:p w14:paraId="5C95331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（4）现场执行保障服务：配备专职人员全程现场值守，全面负责发布会活动流程把控、环节衔接、现场秩序维护、人流管控，第一时间排查、处置现场突发情况，保障整场活动安全有序、流程顺畅、圆满落地。</w:t>
      </w:r>
    </w:p>
    <w:p w14:paraId="2CE19833">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（四）媒体对接与宣传统筹服务</w:t>
      </w:r>
    </w:p>
    <w:p w14:paraId="3D9362F0">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协助招标人开展各类媒体对接、宣传素材报送、宣传口径把控、传播资源统筹工作。配合完成媒体素材整理、宣传资料推送、报道跟踪、传播数据初步统计，及时汇总各类媒体宣传成果，保障艺术节对外宣传统一、规范、有序。</w:t>
      </w:r>
    </w:p>
    <w:p w14:paraId="760BBDDC">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（五）宣传册印刷全流程配套服务</w:t>
      </w:r>
    </w:p>
    <w:p w14:paraId="0EA3EF6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服务目标</w:t>
      </w:r>
    </w:p>
    <w:p w14:paraId="253A75C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在招标人统一安排下，完成不少于2000册艺术节主题宣传册文稿翻译、文字校对、版式优化、样品打样、批量印刷、成品包装、运输交付、质量售后等全流程服务，保质保量按期交付，满足活动对外宣传、汇报展示、对外推介使用需求。</w:t>
      </w:r>
    </w:p>
    <w:p w14:paraId="1B51B70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服务内容</w:t>
      </w:r>
    </w:p>
    <w:p w14:paraId="254D9750">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全流程覆盖文稿中外文翻译、文字校对纠错、版式设计优化、样品打样审核、批量印刷、成品包装、定点运输交付、售后质保等全套支撑工作。严格落实译文精准专业、文稿零差错、版面美观清晰，批量印刷前完成样品打样报审，经招标人确认后方可量产；全程把控印刷色彩、工艺、品质一致性，完成成品标准化防护包装，免费配送至招标人指定地点，配合完成清点验收。质保期内非人为质量问题免费退换、维修，全程配合招标人核查整改。同时严格保密项目文稿、图文素材及涉密信息，服务结束后按要求销毁底稿素材。</w:t>
      </w:r>
    </w:p>
    <w:p w14:paraId="51427EA6">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印刷行业标准</w:t>
      </w:r>
    </w:p>
    <w:p w14:paraId="6EBA2502">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材质标准：所有纸张、油墨、覆膜、装订耗材均为全新正品、环保无异味，符合国家印刷环保标准；纸张克重、厚度、质感均匀统一，无发黄、破损、粉尘、褶皱等瑕疵，所有材质规格提前报备招标人确认后方可使用。</w:t>
      </w:r>
    </w:p>
    <w:p w14:paraId="1D7CE8D6">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（2）色彩标准：印刷色彩饱满均匀、清晰通透，无色差、漏印、重印、糊字、墨迹不均等问题，色彩还原度高，整批次成品色彩统一、无明显差异。</w:t>
      </w:r>
    </w:p>
    <w:p w14:paraId="200509E3">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（3）装订工艺：装订牢固平整，无脱页、散页、歪斜、溢胶、钉脚外露等问题，书页翻折顺畅，裁切整齐无毛边、无划痕，成品规整精致。</w:t>
      </w:r>
    </w:p>
    <w:p w14:paraId="4E5F957D">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（4）成品标准：单本页面干净整洁、无污渍破损、无折痕，图文清晰、页码准确，整批次合格率100%，无残次、不合格产品。</w:t>
      </w:r>
    </w:p>
    <w:p w14:paraId="69694D3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 交付要求</w:t>
      </w:r>
    </w:p>
    <w:p w14:paraId="0468B1ED">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成品采用防潮、防尘、防压标准化包装，分类规整打包，外包装标注名称、数量、批次；足额交付2000册合格成品，同步提供不少于总数量10%的备用册；供应商承担全部运输费用及运输风险，免费送货至指定地点。成品质保期不少于6个月，质保期内出现脱页、掉色、开裂、印刷瑕疵等非人为问题，免费退换维修。全程接受招标人监督核查，严格遵守履约规范。</w:t>
      </w:r>
    </w:p>
    <w:p w14:paraId="41BD595A">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 响应时效要求</w:t>
      </w:r>
    </w:p>
    <w:p w14:paraId="7F0161B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常规印刷服务需求2个工作日内提交配套执行方案；紧急印刷任务4小时内响应并提供初步实施方案。样品确认、批量印刷、成品交付等关键节点及时报送进度，按招标人要求定期反馈工作进展。</w:t>
      </w:r>
    </w:p>
    <w:p w14:paraId="3E672A96">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（六）宣发资料归档与成果整理服务</w:t>
      </w:r>
    </w:p>
    <w:p w14:paraId="16F5A812">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建立常态化宣发台账，全程记录每日、每周宣传工作内容、推送频次、素材产出、传播成果。定期整理各类宣传素材、新闻链接、活动影像、推文稿件、运营数据、成片素材、印刷成果、活动执行资料等内容，分类归档、规整汇总，形成完整的全周期宣发成果档案，为项目复盘、验收、汇报提供完整支撑。</w:t>
      </w:r>
    </w:p>
    <w:p w14:paraId="28A47AE1">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（七）应急配套保障服务</w:t>
      </w:r>
    </w:p>
    <w:p w14:paraId="3E3AE84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履约期间建立7×24小时宣发应急响应机制，针对招标人临时宣发需求、紧急素材制作、突发宣传调整、舆情配合处置、补拍、补印、应急活动保障等工作，快速响应、高效落地，及时完成素材补做、内容优化、紧急推送、正面引导配合等应急保障工作，保障宣传工作零断档、零滞后。</w:t>
      </w:r>
    </w:p>
    <w:p w14:paraId="7743D703">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四、项目团队配置要求</w:t>
      </w:r>
    </w:p>
    <w:p w14:paraId="4F689A9C">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中标人须组建专属、固定的全周期宣发保障团队，全程驻场跟进项目履约，投标文件需提供完整团队配置方案及正式履约承诺，全程保障团队稳定性。团队需具备项目统筹、文案策划、视觉设计、视频剪辑、新媒体运营、媒体对接、活动执行、资料归档、应急值守等全链条专业服务能力，可独立承接不限频次、不限场次的全品类宣发保障工作。</w:t>
      </w:r>
    </w:p>
    <w:p w14:paraId="550AE93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项目履约周期内核心人员不得随意更换、离岗，如需调整核心岗位人员，须提前向招标人报备并取得书面同意后方可更换。招标人有权随时对在岗人员资质、服务状态、工作成效进行核验与考核，对不符合服务要求的人员，中标人须在招标人要求时限内完成更换。</w:t>
      </w:r>
    </w:p>
    <w:p w14:paraId="1F34D4AC">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五、响应时效要求</w:t>
      </w:r>
    </w:p>
    <w:p w14:paraId="3A2E25C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日常常规宣发需求：接招标人通知后2小时内响应，48小时内完成素材制作与落地执行；</w:t>
      </w:r>
    </w:p>
    <w:p w14:paraId="75E6A16D">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紧急宣发、临时加急任务：接招标人通知后1小时内响应，按需加急完成内容输出与宣传落地；</w:t>
      </w:r>
    </w:p>
    <w:p w14:paraId="73BB813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常态化报送：按招标人要求定期提交宣传工作周报、素材产出汇总、传播成果统计、专项工作简报等材料。</w:t>
      </w:r>
    </w:p>
    <w:p w14:paraId="05C3FEE8">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六、成果交付与知识产权要求</w:t>
      </w:r>
    </w:p>
    <w:p w14:paraId="4068BCEE">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阶段性交付：履约期间按需交付所有宣传文案、设计物料、视频素材、推送链接、传播数据、台账资料、拍摄样片、印刷样品、活动执行过程材料等过程成果；</w:t>
      </w:r>
    </w:p>
    <w:p w14:paraId="74EBCDC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 终期交付：服务周期结束后，统一整理全套宣发成果、工作台账、复盘总结、传播成效分析、项目全套归档资料，完整移交招标人归档；</w:t>
      </w:r>
    </w:p>
    <w:p w14:paraId="0E3036E4">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 知识产权：本项目履约期间产出的全部宣传成果、素材资料知识产权归招标人永久所有。中标人须确保所有产出内容版权合规、无侵权风险，若产生任何第三方知识产权纠纷，全部损失与法律责任由中标人承担。</w:t>
      </w:r>
    </w:p>
    <w:p w14:paraId="0B7756E4">
      <w:pPr>
        <w:spacing w:line="360" w:lineRule="auto"/>
        <w:ind w:firstLine="422" w:firstLineChars="200"/>
        <w:jc w:val="left"/>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七、商务要求</w:t>
      </w:r>
    </w:p>
    <w:p w14:paraId="04354F16">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（一）报价要求</w:t>
      </w:r>
    </w:p>
    <w:p w14:paraId="41FF802C">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 报价包干说明：本项目为总价包干模式，报价包含2个月全周期、不限频次、不限项目数量的全部宣发及配套保障服务，涵盖人员薪酬、素材制作、视频摄制、交通保障、妆造道具、场地配套、印刷耗材、活动搭建、媒体对接、设备使用、驻场服务、应急保障、资料归档、运输售后、税费、合理利润及所有风险包干费用，履约期内招标人无需支付任何增量费用。</w:t>
      </w:r>
    </w:p>
    <w:p w14:paraId="7B397EA3">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（二）付款方式</w:t>
      </w:r>
    </w:p>
    <w:p w14:paraId="3DECB7B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1.第一期（合同总额 30%）：中标人完整执行方案通过招标人审核、项目团队到位、前期筹备工作落实，经招标人书面确认后 15 个工作日内支付；</w:t>
      </w:r>
    </w:p>
    <w:p w14:paraId="1D604FB8">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2.第二期（合同总额 40%）：宣传片、广告片完成拍摄及初步剪辑制作并经招标人审核确认，宣传册完成样品打样并经招标人确认定稿，且招标人在收到中标人增值税发票后 15 个工作日内支付；</w:t>
      </w:r>
    </w:p>
    <w:p w14:paraId="49215C9B">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3.第三期（合同总额 30%）：全部服务执行完毕，宣传片、广告片成片及素材、宣传册成品、活动执行全套成果资料移交完成，项目整体验收合格后，经招标人书面确认后 15 个工作日内无息付清尾款。</w:t>
      </w:r>
    </w:p>
    <w:p w14:paraId="251B4751">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各期款项支付前，中标人须开具合法有效的增值税发票，具体流程细则以正式合同为准。</w:t>
      </w:r>
    </w:p>
    <w:p w14:paraId="21AD966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（三）服务时间及服务地点</w:t>
      </w:r>
    </w:p>
    <w:p w14:paraId="3B9C0FA6">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1.服务时间：自合同签订之日起至 2026 年 12 月 31 日前全部完成。</w:t>
      </w:r>
    </w:p>
    <w:p w14:paraId="50436539">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2.服务地点：招标人指定地点驻场服务。</w:t>
      </w:r>
    </w:p>
    <w:p w14:paraId="5683C171">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（四）服务团队要求</w:t>
      </w:r>
    </w:p>
    <w:p w14:paraId="70D643F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要求团队人员服务经验丰富、专业素质高。团队人员须经过招标人认可，如不能达到服务要求，投标人须在招标人提出相应要求后 7 个工作日内更换服务人员。</w:t>
      </w:r>
    </w:p>
    <w:p w14:paraId="11195476">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（五）知识产权的要求</w:t>
      </w:r>
    </w:p>
    <w:p w14:paraId="13EF4377">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投标人应保证本项目提供的所有服务不会产生因第三方提出侵犯其专利权、商标权或其他知识产权而引起的法律和经济纠纷；如因第三方提出其专利权、商标权或其他知识产权的权之诉，则一切法律责任由投标人承担。</w:t>
      </w:r>
    </w:p>
    <w:p w14:paraId="066428A5">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（六）保密要求</w:t>
      </w:r>
    </w:p>
    <w:p w14:paraId="614F5061">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投标人须对履行本项目过程中知悉的宣传片、广告片素材、宣传册文稿、活动方案及项目信息等涉密内容严格保密，不得泄露、外传、挪作他用，服务结束后按招标人要求销毁或移交相关素材底稿，未经招标人书面同意不得留存、复制或用于本项目以外的任何用途。</w:t>
      </w:r>
    </w:p>
    <w:p w14:paraId="63B6C45D">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（七）投标人须根据自身服务方案在投标文件中列明需要招标人配合的工作内容（若有）。</w:t>
      </w:r>
    </w:p>
    <w:p w14:paraId="01FB46EE">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（八）投标人应充分运用其拥有的资源和能力，尽职尽责为招标人服务，按时、按质、按量完成招标人委托的业务。</w:t>
      </w:r>
    </w:p>
    <w:p w14:paraId="19155B9E">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（九）投标人应尊重和服从招标人的领导和管理，很好的配合招标人的工作安排。</w:t>
      </w:r>
    </w:p>
    <w:p w14:paraId="1E61E714">
      <w:pPr>
        <w:spacing w:line="360" w:lineRule="auto"/>
        <w:ind w:firstLine="420" w:firstLineChars="20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（十）服务保障要求</w:t>
      </w:r>
    </w:p>
    <w:p w14:paraId="641F4733">
      <w:pPr>
        <w:spacing w:line="360" w:lineRule="auto"/>
        <w:ind w:firstLine="420" w:firstLineChars="200"/>
        <w:jc w:val="left"/>
        <w:rPr>
          <w:rFonts w:hint="eastAsia" w:ascii="宋体" w:hAnsi="宋体" w:cs="宋体"/>
          <w:b/>
          <w:bCs/>
          <w:color w:val="auto"/>
          <w:sz w:val="24"/>
          <w:szCs w:val="24"/>
          <w:highlight w:val="none"/>
        </w:rPr>
      </w:pPr>
      <w:r>
        <w:rPr>
          <w:rFonts w:hint="eastAsia" w:asciiTheme="minorEastAsia" w:hAnsiTheme="minorEastAsia" w:eastAsiaTheme="minorEastAsia" w:cstheme="minorEastAsia"/>
          <w:color w:val="auto"/>
          <w:sz w:val="21"/>
          <w:szCs w:val="21"/>
          <w:lang w:val="en-US" w:eastAsia="zh-CN"/>
        </w:rPr>
        <w:t>履约期内提供7×24小时服务热线，全天候响应招标人各类宣发工作需求，无条件配合招标人各项工作调度、整改优化、临时调整要求。接招标人服务通知后2小时内完成响应。</w:t>
      </w:r>
    </w:p>
    <w:p w14:paraId="0243B5B1">
      <w:pPr>
        <w:spacing w:line="360" w:lineRule="auto"/>
        <w:ind w:firstLine="482" w:firstLineChars="200"/>
        <w:jc w:val="left"/>
        <w:rPr>
          <w:rFonts w:hint="eastAsia" w:ascii="宋体" w:hAnsi="宋体" w:cs="宋体"/>
          <w:b/>
          <w:bCs/>
          <w:color w:val="auto"/>
          <w:sz w:val="24"/>
          <w:szCs w:val="24"/>
          <w:highlight w:val="none"/>
        </w:rPr>
      </w:pPr>
    </w:p>
    <w:p w14:paraId="47B1FD9A">
      <w:pPr>
        <w:spacing w:line="240" w:lineRule="auto"/>
        <w:ind w:firstLine="0" w:firstLineChars="0"/>
        <w:jc w:val="left"/>
        <w:rPr>
          <w:rFonts w:hint="eastAsia" w:ascii="宋体" w:hAnsi="宋体" w:cs="宋体"/>
          <w:b/>
          <w:color w:val="auto"/>
          <w:kern w:val="0"/>
          <w:sz w:val="48"/>
          <w:szCs w:val="48"/>
          <w:highlight w:val="none"/>
          <w:shd w:val="clear" w:color="auto" w:fill="F8FCFF"/>
        </w:rPr>
      </w:pPr>
      <w:r>
        <w:rPr>
          <w:rFonts w:hint="eastAsia" w:ascii="宋体" w:hAnsi="宋体" w:cs="宋体"/>
          <w:b/>
          <w:bCs/>
          <w:color w:val="auto"/>
          <w:sz w:val="24"/>
          <w:szCs w:val="24"/>
          <w:highlight w:val="none"/>
        </w:rPr>
        <w:t>（合同条款仅供参考，合同具体细则最终以招标人与中标人协定为准， 但不得对招标文件、投标文件作实质性修改）</w:t>
      </w:r>
    </w:p>
    <w:p w14:paraId="2CB9ACD3">
      <w:pPr>
        <w:pStyle w:val="25"/>
        <w:ind w:firstLine="482"/>
        <w:rPr>
          <w:rFonts w:hint="eastAsia" w:ascii="宋体" w:hAnsi="宋体" w:cs="宋体"/>
          <w:b/>
          <w:color w:val="auto"/>
          <w:kern w:val="0"/>
          <w:sz w:val="48"/>
          <w:szCs w:val="48"/>
          <w:highlight w:val="none"/>
          <w:shd w:val="clear" w:color="auto" w:fill="F8FCFF"/>
        </w:rPr>
      </w:pPr>
    </w:p>
    <w:p w14:paraId="5902F671">
      <w:pPr>
        <w:pStyle w:val="25"/>
        <w:ind w:firstLine="482"/>
        <w:rPr>
          <w:rFonts w:hint="eastAsia" w:ascii="宋体" w:hAnsi="宋体" w:cs="宋体"/>
          <w:b/>
          <w:color w:val="auto"/>
          <w:kern w:val="0"/>
          <w:sz w:val="48"/>
          <w:szCs w:val="48"/>
          <w:highlight w:val="none"/>
          <w:shd w:val="clear" w:color="auto" w:fill="F8FCFF"/>
        </w:rPr>
      </w:pPr>
    </w:p>
    <w:p w14:paraId="4500B4E7">
      <w:pPr>
        <w:pStyle w:val="25"/>
        <w:ind w:firstLine="482"/>
        <w:rPr>
          <w:rFonts w:hint="eastAsia" w:ascii="宋体" w:hAnsi="宋体" w:cs="宋体"/>
          <w:b/>
          <w:color w:val="auto"/>
          <w:kern w:val="0"/>
          <w:sz w:val="48"/>
          <w:szCs w:val="48"/>
          <w:highlight w:val="none"/>
          <w:shd w:val="clear" w:color="auto" w:fill="F8FCFF"/>
        </w:rPr>
      </w:pPr>
    </w:p>
    <w:p w14:paraId="1D629B87">
      <w:pPr>
        <w:pStyle w:val="25"/>
        <w:ind w:firstLine="482"/>
        <w:rPr>
          <w:rFonts w:hint="eastAsia" w:ascii="宋体" w:hAnsi="宋体" w:cs="宋体"/>
          <w:b/>
          <w:color w:val="auto"/>
          <w:kern w:val="0"/>
          <w:sz w:val="48"/>
          <w:szCs w:val="48"/>
          <w:highlight w:val="none"/>
          <w:shd w:val="clear" w:color="auto" w:fill="F8FCFF"/>
        </w:rPr>
      </w:pPr>
    </w:p>
    <w:p w14:paraId="07528D40">
      <w:pPr>
        <w:pStyle w:val="25"/>
        <w:ind w:firstLine="482"/>
        <w:rPr>
          <w:rFonts w:hint="eastAsia" w:ascii="宋体" w:hAnsi="宋体" w:cs="宋体"/>
          <w:b/>
          <w:color w:val="auto"/>
          <w:kern w:val="0"/>
          <w:sz w:val="48"/>
          <w:szCs w:val="48"/>
          <w:highlight w:val="none"/>
          <w:shd w:val="clear" w:color="auto" w:fill="F8FCFF"/>
        </w:rPr>
      </w:pPr>
    </w:p>
    <w:p w14:paraId="42FD7BF9">
      <w:pPr>
        <w:pStyle w:val="25"/>
        <w:ind w:firstLine="482"/>
        <w:rPr>
          <w:rFonts w:hint="eastAsia" w:ascii="宋体" w:hAnsi="宋体" w:cs="宋体"/>
          <w:b/>
          <w:color w:val="auto"/>
          <w:kern w:val="0"/>
          <w:sz w:val="48"/>
          <w:szCs w:val="48"/>
          <w:highlight w:val="none"/>
          <w:shd w:val="clear" w:color="auto" w:fill="F8FCFF"/>
        </w:rPr>
      </w:pPr>
    </w:p>
    <w:p w14:paraId="40D2E0C5">
      <w:pPr>
        <w:pStyle w:val="25"/>
        <w:ind w:firstLine="0" w:firstLineChars="0"/>
        <w:rPr>
          <w:rFonts w:hint="eastAsia" w:ascii="宋体" w:hAnsi="宋体" w:cs="宋体"/>
          <w:b/>
          <w:color w:val="auto"/>
          <w:kern w:val="0"/>
          <w:sz w:val="48"/>
          <w:szCs w:val="48"/>
          <w:highlight w:val="none"/>
          <w:shd w:val="clear" w:color="auto" w:fill="F8FCFF"/>
        </w:rPr>
      </w:pPr>
    </w:p>
    <w:p w14:paraId="3FA24639">
      <w:pPr>
        <w:pStyle w:val="33"/>
        <w:jc w:val="center"/>
        <w:rPr>
          <w:rFonts w:hint="eastAsia" w:ascii="宋体" w:hAnsi="宋体" w:cs="宋体"/>
          <w:b/>
          <w:bCs/>
          <w:color w:val="auto"/>
          <w:sz w:val="36"/>
          <w:szCs w:val="36"/>
          <w:highlight w:val="none"/>
        </w:rPr>
      </w:pPr>
    </w:p>
    <w:p w14:paraId="507EDA79">
      <w:pPr>
        <w:pStyle w:val="33"/>
        <w:jc w:val="center"/>
        <w:outlineLvl w:val="0"/>
        <w:rPr>
          <w:rFonts w:hint="eastAsia" w:ascii="宋体" w:hAnsi="宋体" w:cs="宋体"/>
          <w:b/>
          <w:bCs/>
          <w:color w:val="auto"/>
          <w:sz w:val="36"/>
          <w:szCs w:val="36"/>
          <w:highlight w:val="none"/>
        </w:rPr>
        <w:sectPr>
          <w:headerReference r:id="rId8" w:type="default"/>
          <w:footerReference r:id="rId9" w:type="default"/>
          <w:pgSz w:w="11907" w:h="16840"/>
          <w:pgMar w:top="1418" w:right="1701" w:bottom="1418" w:left="1701" w:header="737" w:footer="737" w:gutter="0"/>
          <w:cols w:space="720" w:num="1"/>
          <w:docGrid w:linePitch="285" w:charSpace="0"/>
        </w:sectPr>
      </w:pPr>
      <w:bookmarkStart w:id="79" w:name="_Toc30591"/>
      <w:r>
        <w:rPr>
          <w:rFonts w:hint="eastAsia" w:ascii="宋体" w:hAnsi="宋体" w:cs="宋体"/>
          <w:b/>
          <w:bCs/>
          <w:color w:val="auto"/>
          <w:sz w:val="36"/>
          <w:szCs w:val="36"/>
          <w:highlight w:val="none"/>
        </w:rPr>
        <w:t>第四章  合同格式（参考）</w:t>
      </w:r>
      <w:bookmarkEnd w:id="79"/>
    </w:p>
    <w:p w14:paraId="3E755EA0">
      <w:pPr>
        <w:widowControl/>
        <w:jc w:val="center"/>
        <w:rPr>
          <w:rFonts w:hint="eastAsia" w:ascii="宋体" w:hAnsi="宋体" w:eastAsia="宋体" w:cs="宋体"/>
          <w:b/>
          <w:bCs/>
          <w:color w:val="auto"/>
          <w:sz w:val="52"/>
          <w:szCs w:val="52"/>
          <w:lang w:val="en-US" w:eastAsia="zh-CN"/>
        </w:rPr>
      </w:pPr>
    </w:p>
    <w:p w14:paraId="066299D8">
      <w:pPr>
        <w:widowControl/>
        <w:jc w:val="center"/>
        <w:rPr>
          <w:rFonts w:hint="eastAsia" w:ascii="宋体" w:hAnsi="宋体" w:eastAsia="宋体" w:cs="宋体"/>
          <w:b/>
          <w:bCs/>
          <w:color w:val="auto"/>
          <w:sz w:val="52"/>
          <w:szCs w:val="52"/>
          <w:lang w:val="en-US" w:eastAsia="zh-CN"/>
        </w:rPr>
      </w:pPr>
    </w:p>
    <w:p w14:paraId="6379B046">
      <w:pPr>
        <w:widowControl/>
        <w:jc w:val="center"/>
        <w:rPr>
          <w:rFonts w:hint="eastAsia" w:ascii="宋体" w:hAnsi="宋体" w:cs="宋体"/>
          <w:b/>
          <w:bCs/>
          <w:color w:val="auto"/>
          <w:sz w:val="52"/>
          <w:szCs w:val="52"/>
          <w:lang w:val="en-US" w:eastAsia="zh-CN"/>
        </w:rPr>
      </w:pPr>
      <w:r>
        <w:rPr>
          <w:rFonts w:hint="eastAsia" w:ascii="宋体" w:hAnsi="宋体" w:cs="宋体"/>
          <w:b/>
          <w:bCs/>
          <w:color w:val="auto"/>
          <w:sz w:val="52"/>
          <w:szCs w:val="52"/>
          <w:lang w:val="en-US" w:eastAsia="zh-CN"/>
        </w:rPr>
        <w:t>大型文化艺术活动执行服务保障与品牌影响力提升全媒体宣传推广服务（第二次）</w:t>
      </w:r>
    </w:p>
    <w:p w14:paraId="7B476DFD">
      <w:pPr>
        <w:pStyle w:val="3"/>
        <w:jc w:val="center"/>
        <w:rPr>
          <w:rFonts w:hint="default"/>
          <w:color w:val="auto"/>
          <w:u w:val="single"/>
          <w:lang w:val="en-US" w:eastAsia="zh-CN"/>
        </w:rPr>
      </w:pPr>
      <w:r>
        <w:rPr>
          <w:rFonts w:hint="eastAsia" w:ascii="宋体" w:hAnsi="宋体" w:cs="宋体"/>
          <w:b/>
          <w:bCs/>
          <w:color w:val="auto"/>
          <w:sz w:val="52"/>
          <w:szCs w:val="52"/>
          <w:lang w:val="en-US" w:eastAsia="zh-CN"/>
        </w:rPr>
        <w:t>子包（）：</w:t>
      </w:r>
    </w:p>
    <w:p w14:paraId="6A285718">
      <w:pPr>
        <w:jc w:val="center"/>
        <w:rPr>
          <w:rFonts w:hint="eastAsia" w:ascii="宋体" w:hAnsi="宋体" w:cs="宋体"/>
          <w:color w:val="auto"/>
          <w:sz w:val="24"/>
        </w:rPr>
      </w:pPr>
    </w:p>
    <w:p w14:paraId="5FB75FB8">
      <w:pPr>
        <w:jc w:val="center"/>
        <w:rPr>
          <w:rFonts w:hint="eastAsia" w:ascii="宋体" w:hAnsi="宋体" w:cs="宋体"/>
          <w:color w:val="auto"/>
          <w:sz w:val="24"/>
        </w:rPr>
      </w:pPr>
    </w:p>
    <w:p w14:paraId="26A68DF3">
      <w:pPr>
        <w:pStyle w:val="13"/>
        <w:rPr>
          <w:rFonts w:hint="eastAsia" w:ascii="宋体" w:hAnsi="宋体" w:cs="宋体"/>
          <w:color w:val="auto"/>
          <w:sz w:val="24"/>
        </w:rPr>
      </w:pPr>
    </w:p>
    <w:p w14:paraId="5D178750">
      <w:pPr>
        <w:pStyle w:val="5"/>
        <w:rPr>
          <w:rFonts w:hint="eastAsia"/>
          <w:color w:val="auto"/>
        </w:rPr>
      </w:pPr>
    </w:p>
    <w:p w14:paraId="5112923E">
      <w:pPr>
        <w:jc w:val="center"/>
        <w:rPr>
          <w:rFonts w:hint="eastAsia" w:ascii="宋体" w:hAnsi="宋体" w:cs="宋体"/>
          <w:color w:val="auto"/>
          <w:sz w:val="24"/>
        </w:rPr>
      </w:pPr>
    </w:p>
    <w:p w14:paraId="56AD545D">
      <w:pPr>
        <w:jc w:val="center"/>
        <w:rPr>
          <w:rFonts w:hint="eastAsia" w:ascii="宋体" w:hAnsi="宋体" w:cs="宋体"/>
          <w:color w:val="auto"/>
          <w:sz w:val="24"/>
        </w:rPr>
      </w:pPr>
      <w:r>
        <w:rPr>
          <w:rFonts w:hint="eastAsia" w:ascii="宋体" w:hAnsi="宋体" w:cs="宋体"/>
          <w:b/>
          <w:color w:val="auto"/>
          <w:spacing w:val="200"/>
          <w:sz w:val="72"/>
          <w:szCs w:val="72"/>
        </w:rPr>
        <w:t>合同书</w:t>
      </w:r>
    </w:p>
    <w:p w14:paraId="3F9A62DE">
      <w:pPr>
        <w:jc w:val="center"/>
        <w:rPr>
          <w:rFonts w:hint="eastAsia" w:ascii="宋体" w:hAnsi="宋体" w:cs="宋体"/>
          <w:color w:val="auto"/>
          <w:sz w:val="24"/>
        </w:rPr>
      </w:pPr>
    </w:p>
    <w:p w14:paraId="053853B6">
      <w:pPr>
        <w:jc w:val="center"/>
        <w:rPr>
          <w:rFonts w:hint="eastAsia" w:ascii="宋体" w:hAnsi="宋体" w:cs="宋体"/>
          <w:color w:val="auto"/>
          <w:sz w:val="24"/>
        </w:rPr>
      </w:pPr>
    </w:p>
    <w:p w14:paraId="67E30C2F">
      <w:pPr>
        <w:jc w:val="center"/>
        <w:rPr>
          <w:rFonts w:hint="eastAsia" w:ascii="宋体" w:hAnsi="宋体" w:cs="宋体"/>
          <w:color w:val="auto"/>
          <w:sz w:val="24"/>
        </w:rPr>
      </w:pPr>
    </w:p>
    <w:p w14:paraId="64F36BEE">
      <w:pPr>
        <w:pStyle w:val="13"/>
        <w:rPr>
          <w:rFonts w:hint="eastAsia" w:ascii="宋体" w:hAnsi="宋体" w:cs="宋体"/>
          <w:color w:val="auto"/>
          <w:sz w:val="24"/>
        </w:rPr>
      </w:pPr>
    </w:p>
    <w:p w14:paraId="3F62C96B">
      <w:pPr>
        <w:pStyle w:val="5"/>
        <w:rPr>
          <w:rFonts w:hint="eastAsia" w:ascii="宋体" w:hAnsi="宋体" w:cs="宋体"/>
          <w:color w:val="auto"/>
          <w:sz w:val="24"/>
        </w:rPr>
      </w:pPr>
    </w:p>
    <w:p w14:paraId="642D9B0D">
      <w:pPr>
        <w:rPr>
          <w:rFonts w:hint="eastAsia"/>
          <w:color w:val="auto"/>
        </w:rPr>
      </w:pPr>
    </w:p>
    <w:p w14:paraId="68A429D0">
      <w:pPr>
        <w:jc w:val="center"/>
        <w:rPr>
          <w:rFonts w:hint="eastAsia" w:ascii="宋体" w:hAnsi="宋体" w:cs="宋体"/>
          <w:color w:val="auto"/>
          <w:sz w:val="24"/>
        </w:rPr>
      </w:pPr>
    </w:p>
    <w:p w14:paraId="57BD13AF">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rPr>
        <w:t>甲　　方：</w:t>
      </w:r>
      <w:r>
        <w:rPr>
          <w:rFonts w:hint="eastAsia" w:ascii="宋体" w:hAnsi="宋体" w:cs="宋体"/>
          <w:b/>
          <w:color w:val="auto"/>
          <w:sz w:val="28"/>
          <w:szCs w:val="28"/>
          <w:lang w:val="en-US" w:eastAsia="zh-CN"/>
        </w:rPr>
        <w:t>广东南都娱乐传媒有限公司</w:t>
      </w:r>
    </w:p>
    <w:p w14:paraId="778F843B">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cs="宋体"/>
          <w:b/>
          <w:color w:val="auto"/>
          <w:sz w:val="28"/>
          <w:szCs w:val="28"/>
        </w:rPr>
      </w:pPr>
      <w:r>
        <w:rPr>
          <w:rFonts w:hint="eastAsia" w:ascii="宋体" w:hAnsi="宋体" w:cs="宋体"/>
          <w:b/>
          <w:color w:val="auto"/>
          <w:sz w:val="28"/>
          <w:szCs w:val="28"/>
        </w:rPr>
        <w:t xml:space="preserve">乙　　方： </w:t>
      </w:r>
    </w:p>
    <w:p w14:paraId="0E1BBEBE">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73FA4262">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437D4843">
      <w:pPr>
        <w:widowControl/>
        <w:spacing w:line="360" w:lineRule="auto"/>
        <w:jc w:val="left"/>
        <w:rPr>
          <w:rFonts w:hint="eastAsia" w:ascii="宋体" w:hAnsi="宋体"/>
          <w:b/>
          <w:bCs/>
          <w:color w:val="auto"/>
          <w:sz w:val="18"/>
          <w:szCs w:val="18"/>
          <w:u w:val="single"/>
        </w:rPr>
      </w:pPr>
      <w:r>
        <w:rPr>
          <w:color w:val="auto"/>
        </w:rPr>
        <w:br w:type="page"/>
      </w:r>
      <w:r>
        <w:rPr>
          <w:rFonts w:hint="eastAsia"/>
          <w:color w:val="auto"/>
        </w:rPr>
        <w:t>合同编号：</w:t>
      </w:r>
    </w:p>
    <w:p w14:paraId="68921554">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服务合同</w:t>
      </w:r>
    </w:p>
    <w:p w14:paraId="400B60BC">
      <w:pPr>
        <w:widowControl/>
        <w:snapToGrid w:val="0"/>
        <w:spacing w:line="360" w:lineRule="auto"/>
        <w:rPr>
          <w:rFonts w:hint="eastAsia" w:ascii="宋体" w:hAnsi="宋体" w:cs="宋体"/>
          <w:color w:val="auto"/>
          <w:kern w:val="0"/>
          <w:szCs w:val="21"/>
        </w:rPr>
      </w:pPr>
    </w:p>
    <w:p w14:paraId="0CD97D66">
      <w:pPr>
        <w:widowControl/>
        <w:snapToGrid w:val="0"/>
        <w:spacing w:line="360" w:lineRule="auto"/>
        <w:rPr>
          <w:rFonts w:hint="eastAsia" w:ascii="宋体" w:hAnsi="宋体" w:cs="宋体"/>
          <w:color w:val="auto"/>
          <w:kern w:val="0"/>
          <w:szCs w:val="21"/>
          <w:u w:val="single"/>
        </w:rPr>
      </w:pPr>
      <w:r>
        <w:rPr>
          <w:rFonts w:hint="eastAsia" w:ascii="宋体" w:hAnsi="宋体" w:cs="宋体"/>
          <w:color w:val="auto"/>
          <w:kern w:val="0"/>
          <w:szCs w:val="21"/>
        </w:rPr>
        <w:t>甲 方：</w:t>
      </w:r>
      <w:r>
        <w:rPr>
          <w:rFonts w:hint="eastAsia" w:ascii="宋体" w:hAnsi="宋体" w:cs="宋体"/>
          <w:color w:val="auto"/>
          <w:kern w:val="0"/>
          <w:szCs w:val="21"/>
          <w:u w:val="single"/>
        </w:rPr>
        <w:t xml:space="preserve">                  </w:t>
      </w:r>
    </w:p>
    <w:p w14:paraId="0255CDEE">
      <w:pPr>
        <w:widowControl/>
        <w:snapToGrid w:val="0"/>
        <w:spacing w:line="360" w:lineRule="auto"/>
        <w:rPr>
          <w:rFonts w:hint="eastAsia" w:ascii="宋体" w:hAnsi="宋体" w:cs="宋体"/>
          <w:color w:val="auto"/>
          <w:kern w:val="0"/>
          <w:szCs w:val="21"/>
          <w:u w:val="single"/>
        </w:rPr>
      </w:pPr>
      <w:r>
        <w:rPr>
          <w:rFonts w:hint="eastAsia" w:ascii="宋体" w:hAnsi="宋体" w:cs="宋体"/>
          <w:color w:val="auto"/>
          <w:kern w:val="0"/>
          <w:szCs w:val="21"/>
        </w:rPr>
        <w:t>地 址：</w:t>
      </w:r>
      <w:r>
        <w:rPr>
          <w:rFonts w:hint="eastAsia" w:ascii="宋体" w:hAnsi="宋体" w:cs="宋体"/>
          <w:color w:val="auto"/>
          <w:kern w:val="0"/>
          <w:szCs w:val="21"/>
          <w:u w:val="single"/>
        </w:rPr>
        <w:t xml:space="preserve">                  </w:t>
      </w:r>
    </w:p>
    <w:p w14:paraId="7B60C42E">
      <w:pPr>
        <w:widowControl/>
        <w:snapToGrid w:val="0"/>
        <w:spacing w:line="360" w:lineRule="auto"/>
        <w:rPr>
          <w:rFonts w:hint="eastAsia" w:ascii="宋体" w:hAnsi="宋体" w:cs="宋体"/>
          <w:color w:val="auto"/>
          <w:kern w:val="0"/>
          <w:szCs w:val="21"/>
        </w:rPr>
      </w:pPr>
      <w:r>
        <w:rPr>
          <w:rFonts w:hint="eastAsia" w:ascii="宋体" w:hAnsi="宋体" w:cs="宋体"/>
          <w:color w:val="auto"/>
          <w:kern w:val="0"/>
          <w:szCs w:val="21"/>
        </w:rPr>
        <w:t>联系方式：</w:t>
      </w:r>
      <w:r>
        <w:rPr>
          <w:rFonts w:hint="eastAsia" w:ascii="宋体" w:hAnsi="宋体" w:cs="宋体"/>
          <w:color w:val="auto"/>
          <w:kern w:val="0"/>
          <w:szCs w:val="21"/>
          <w:u w:val="single"/>
        </w:rPr>
        <w:t xml:space="preserve">                  </w:t>
      </w:r>
    </w:p>
    <w:p w14:paraId="6BBFE9BD">
      <w:pPr>
        <w:widowControl/>
        <w:snapToGrid w:val="0"/>
        <w:spacing w:line="360" w:lineRule="auto"/>
        <w:rPr>
          <w:rFonts w:hint="eastAsia" w:ascii="宋体" w:hAnsi="宋体" w:cs="宋体"/>
          <w:color w:val="auto"/>
          <w:kern w:val="0"/>
          <w:szCs w:val="21"/>
        </w:rPr>
      </w:pPr>
    </w:p>
    <w:p w14:paraId="25E432FE">
      <w:pPr>
        <w:widowControl/>
        <w:snapToGrid w:val="0"/>
        <w:spacing w:line="360" w:lineRule="auto"/>
        <w:rPr>
          <w:rFonts w:hint="eastAsia" w:ascii="宋体" w:hAnsi="宋体" w:cs="宋体"/>
          <w:color w:val="auto"/>
          <w:kern w:val="0"/>
          <w:szCs w:val="21"/>
          <w:u w:val="single"/>
        </w:rPr>
      </w:pPr>
      <w:r>
        <w:rPr>
          <w:rFonts w:hint="eastAsia" w:ascii="宋体" w:hAnsi="宋体" w:cs="宋体"/>
          <w:color w:val="auto"/>
          <w:kern w:val="0"/>
          <w:szCs w:val="21"/>
        </w:rPr>
        <w:t>乙 方：</w:t>
      </w:r>
      <w:r>
        <w:rPr>
          <w:rFonts w:hint="eastAsia" w:ascii="宋体" w:hAnsi="宋体" w:cs="宋体"/>
          <w:color w:val="auto"/>
          <w:kern w:val="0"/>
          <w:szCs w:val="21"/>
          <w:u w:val="single"/>
        </w:rPr>
        <w:t xml:space="preserve">                            </w:t>
      </w:r>
    </w:p>
    <w:p w14:paraId="34467E0B">
      <w:pPr>
        <w:widowControl/>
        <w:snapToGrid w:val="0"/>
        <w:spacing w:line="360" w:lineRule="auto"/>
        <w:rPr>
          <w:rFonts w:hint="eastAsia" w:ascii="宋体" w:hAnsi="宋体" w:cs="宋体"/>
          <w:color w:val="auto"/>
          <w:kern w:val="0"/>
          <w:szCs w:val="21"/>
          <w:u w:val="single"/>
        </w:rPr>
      </w:pPr>
      <w:r>
        <w:rPr>
          <w:rFonts w:hint="eastAsia" w:ascii="宋体" w:hAnsi="宋体" w:cs="宋体"/>
          <w:color w:val="auto"/>
          <w:kern w:val="0"/>
          <w:szCs w:val="21"/>
        </w:rPr>
        <w:t>地址：</w:t>
      </w:r>
      <w:r>
        <w:rPr>
          <w:rFonts w:hint="eastAsia" w:ascii="宋体" w:hAnsi="宋体" w:cs="宋体"/>
          <w:color w:val="auto"/>
          <w:kern w:val="0"/>
          <w:szCs w:val="21"/>
          <w:u w:val="single"/>
        </w:rPr>
        <w:t xml:space="preserve">                                                 </w:t>
      </w:r>
    </w:p>
    <w:p w14:paraId="5BF0CE21">
      <w:pPr>
        <w:widowControl/>
        <w:snapToGrid w:val="0"/>
        <w:spacing w:line="360" w:lineRule="auto"/>
        <w:rPr>
          <w:rFonts w:hint="eastAsia" w:ascii="宋体" w:hAnsi="宋体" w:cs="宋体"/>
          <w:color w:val="auto"/>
          <w:kern w:val="0"/>
          <w:szCs w:val="21"/>
          <w:u w:val="single"/>
        </w:rPr>
      </w:pPr>
      <w:r>
        <w:rPr>
          <w:rFonts w:hint="eastAsia" w:ascii="宋体" w:hAnsi="宋体" w:cs="宋体"/>
          <w:color w:val="auto"/>
          <w:kern w:val="0"/>
          <w:szCs w:val="21"/>
        </w:rPr>
        <w:t>联系方式：</w:t>
      </w:r>
      <w:r>
        <w:rPr>
          <w:rFonts w:hint="eastAsia" w:ascii="宋体" w:hAnsi="宋体" w:cs="宋体"/>
          <w:color w:val="auto"/>
          <w:kern w:val="0"/>
          <w:szCs w:val="21"/>
          <w:u w:val="single"/>
        </w:rPr>
        <w:t xml:space="preserve">                         </w:t>
      </w:r>
    </w:p>
    <w:p w14:paraId="422679D9">
      <w:pPr>
        <w:widowControl/>
        <w:snapToGrid w:val="0"/>
        <w:spacing w:line="360" w:lineRule="auto"/>
        <w:rPr>
          <w:rFonts w:hint="eastAsia" w:ascii="宋体" w:hAnsi="宋体" w:cs="宋体"/>
          <w:color w:val="auto"/>
          <w:kern w:val="0"/>
          <w:szCs w:val="21"/>
          <w:u w:val="single"/>
        </w:rPr>
      </w:pPr>
    </w:p>
    <w:p w14:paraId="1074C365">
      <w:pPr>
        <w:pStyle w:val="52"/>
        <w:spacing w:line="480" w:lineRule="exact"/>
        <w:ind w:firstLine="420" w:firstLineChars="200"/>
        <w:rPr>
          <w:rFonts w:hint="eastAsia" w:ascii="宋体" w:hAnsi="宋体" w:cs="宋体"/>
          <w:color w:val="auto"/>
          <w:szCs w:val="21"/>
        </w:rPr>
      </w:pPr>
      <w:r>
        <w:rPr>
          <w:rFonts w:hint="eastAsia" w:ascii="宋体" w:hAnsi="宋体" w:cs="宋体"/>
          <w:color w:val="auto"/>
          <w:kern w:val="0"/>
          <w:szCs w:val="21"/>
        </w:rPr>
        <w:t xml:space="preserve">    </w:t>
      </w:r>
      <w:r>
        <w:rPr>
          <w:rFonts w:hint="eastAsia" w:ascii="宋体" w:hAnsi="宋体" w:cs="宋体"/>
          <w:color w:val="auto"/>
          <w:szCs w:val="21"/>
        </w:rPr>
        <w:t>根据《</w:t>
      </w:r>
      <w:r>
        <w:rPr>
          <w:rFonts w:hint="eastAsia" w:ascii="宋体" w:hAnsi="宋体" w:cs="宋体"/>
          <w:color w:val="auto"/>
          <w:szCs w:val="21"/>
          <w:lang w:val="en-US" w:eastAsia="zh-CN"/>
        </w:rPr>
        <w:t xml:space="preserve">   </w:t>
      </w:r>
      <w:r>
        <w:rPr>
          <w:rFonts w:hint="eastAsia" w:ascii="宋体" w:hAnsi="宋体" w:cs="宋体"/>
          <w:color w:val="auto"/>
          <w:szCs w:val="21"/>
        </w:rPr>
        <w:t>》</w:t>
      </w:r>
      <w:r>
        <w:rPr>
          <w:rFonts w:hint="eastAsia" w:ascii="宋体" w:hAnsi="宋体" w:cs="宋体"/>
          <w:color w:val="auto"/>
          <w:szCs w:val="21"/>
          <w:lang w:eastAsia="zh-CN"/>
        </w:rPr>
        <w:t>（</w:t>
      </w:r>
      <w:r>
        <w:rPr>
          <w:rFonts w:hint="eastAsia" w:ascii="宋体" w:hAnsi="宋体" w:cs="宋体"/>
          <w:color w:val="auto"/>
          <w:szCs w:val="21"/>
          <w:lang w:val="en-US" w:eastAsia="zh-CN"/>
        </w:rPr>
        <w:t>子包</w:t>
      </w:r>
      <w:r>
        <w:rPr>
          <w:rFonts w:hint="eastAsia" w:ascii="宋体" w:hAnsi="宋体" w:cs="宋体"/>
          <w:color w:val="auto"/>
          <w:szCs w:val="21"/>
          <w:u w:val="single"/>
          <w:lang w:val="en-US" w:eastAsia="zh-CN"/>
        </w:rPr>
        <w:t xml:space="preserve">  </w:t>
      </w:r>
      <w:r>
        <w:rPr>
          <w:rFonts w:hint="eastAsia" w:ascii="宋体" w:hAnsi="宋体" w:cs="宋体"/>
          <w:color w:val="auto"/>
          <w:szCs w:val="21"/>
          <w:lang w:eastAsia="zh-CN"/>
        </w:rPr>
        <w:t>）</w:t>
      </w:r>
      <w:r>
        <w:rPr>
          <w:rFonts w:hint="eastAsia" w:ascii="宋体" w:hAnsi="宋体" w:cs="宋体"/>
          <w:color w:val="auto"/>
          <w:szCs w:val="21"/>
        </w:rPr>
        <w:t>的采购结果，按照《中华人民共和国民法典》的规定，经双方协商，本着平等互利和诚实守信的原则，一致同意签订本合同：</w:t>
      </w:r>
    </w:p>
    <w:p w14:paraId="3C4D0905">
      <w:pPr>
        <w:pStyle w:val="52"/>
        <w:spacing w:line="480" w:lineRule="exact"/>
        <w:ind w:firstLine="422" w:firstLineChars="200"/>
        <w:rPr>
          <w:rFonts w:hint="eastAsia" w:ascii="宋体" w:hAnsi="宋体" w:cs="宋体"/>
          <w:b/>
          <w:bCs/>
          <w:color w:val="auto"/>
          <w:szCs w:val="21"/>
        </w:rPr>
      </w:pPr>
      <w:r>
        <w:rPr>
          <w:rFonts w:hint="eastAsia" w:ascii="宋体" w:hAnsi="宋体" w:cs="宋体"/>
          <w:b/>
          <w:bCs/>
          <w:color w:val="auto"/>
          <w:szCs w:val="21"/>
        </w:rPr>
        <w:t>一、合同金额</w:t>
      </w:r>
    </w:p>
    <w:p w14:paraId="2F8D2FC4">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合同金额：</w:t>
      </w:r>
      <w:bookmarkStart w:id="80" w:name="_Hlk104387840"/>
      <w:r>
        <w:rPr>
          <w:rFonts w:hint="eastAsia" w:ascii="宋体" w:hAnsi="宋体" w:cs="宋体"/>
          <w:color w:val="auto"/>
          <w:szCs w:val="21"/>
        </w:rPr>
        <w:t>¥</w:t>
      </w:r>
      <w:r>
        <w:rPr>
          <w:rFonts w:hint="eastAsia" w:ascii="宋体" w:hAnsi="宋体" w:cs="宋体"/>
          <w:b/>
          <w:color w:val="auto"/>
          <w:szCs w:val="21"/>
          <w:u w:val="single"/>
        </w:rPr>
        <w:t xml:space="preserve">              </w:t>
      </w:r>
      <w:r>
        <w:rPr>
          <w:rFonts w:hint="eastAsia" w:ascii="宋体" w:hAnsi="宋体" w:cs="宋体"/>
          <w:color w:val="auto"/>
          <w:szCs w:val="21"/>
        </w:rPr>
        <w:t>元（大写：</w:t>
      </w:r>
      <w:r>
        <w:rPr>
          <w:rFonts w:hint="eastAsia" w:ascii="宋体" w:hAnsi="宋体" w:cs="宋体"/>
          <w:b/>
          <w:color w:val="auto"/>
          <w:szCs w:val="21"/>
          <w:u w:val="single"/>
        </w:rPr>
        <w:t xml:space="preserve">              </w:t>
      </w:r>
      <w:r>
        <w:rPr>
          <w:rFonts w:hint="eastAsia" w:ascii="宋体" w:hAnsi="宋体" w:cs="宋体"/>
          <w:color w:val="auto"/>
          <w:szCs w:val="21"/>
        </w:rPr>
        <w:t>元）</w:t>
      </w:r>
      <w:bookmarkEnd w:id="80"/>
      <w:r>
        <w:rPr>
          <w:rFonts w:hint="eastAsia" w:ascii="宋体" w:hAnsi="宋体" w:cs="宋体"/>
          <w:color w:val="auto"/>
          <w:szCs w:val="21"/>
        </w:rPr>
        <w:t>。</w:t>
      </w:r>
    </w:p>
    <w:p w14:paraId="26056A98">
      <w:pPr>
        <w:pStyle w:val="52"/>
        <w:spacing w:line="480" w:lineRule="exact"/>
        <w:ind w:firstLine="422" w:firstLineChars="200"/>
        <w:rPr>
          <w:rFonts w:ascii="宋体" w:hAnsi="宋体" w:cs="宋体"/>
          <w:b/>
          <w:bCs/>
          <w:color w:val="auto"/>
          <w:szCs w:val="21"/>
        </w:rPr>
      </w:pPr>
      <w:r>
        <w:rPr>
          <w:rFonts w:hint="eastAsia" w:ascii="宋体" w:hAnsi="宋体" w:cs="宋体"/>
          <w:b/>
          <w:bCs/>
          <w:color w:val="auto"/>
          <w:szCs w:val="21"/>
        </w:rPr>
        <w:t>二、服务地点及服务时间</w:t>
      </w:r>
    </w:p>
    <w:p w14:paraId="51ADA379">
      <w:pPr>
        <w:spacing w:line="480" w:lineRule="exact"/>
        <w:ind w:firstLine="420" w:firstLineChars="200"/>
        <w:rPr>
          <w:rFonts w:ascii="宋体" w:hAnsi="宋体" w:cs="宋体"/>
          <w:color w:val="auto"/>
          <w:szCs w:val="21"/>
        </w:rPr>
      </w:pPr>
      <w:r>
        <w:rPr>
          <w:rFonts w:hint="eastAsia" w:ascii="宋体" w:hAnsi="宋体" w:cs="宋体"/>
          <w:color w:val="auto"/>
          <w:szCs w:val="21"/>
        </w:rPr>
        <w:t>1.服务地点：；</w:t>
      </w:r>
    </w:p>
    <w:p w14:paraId="2D808125">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2.服务时间：。</w:t>
      </w:r>
    </w:p>
    <w:p w14:paraId="2CE05DE1">
      <w:pPr>
        <w:pStyle w:val="52"/>
        <w:spacing w:line="480" w:lineRule="exact"/>
        <w:ind w:firstLine="422" w:firstLineChars="200"/>
        <w:rPr>
          <w:rFonts w:hint="default" w:eastAsia="宋体" w:asciiTheme="minorEastAsia" w:hAnsiTheme="minorEastAsia" w:cstheme="minorEastAsia"/>
          <w:b/>
          <w:bCs/>
          <w:color w:val="auto"/>
          <w:sz w:val="21"/>
          <w:szCs w:val="21"/>
          <w:lang w:val="en-US" w:eastAsia="zh-CN"/>
        </w:rPr>
      </w:pPr>
      <w:r>
        <w:rPr>
          <w:rFonts w:hint="eastAsia" w:ascii="宋体" w:hAnsi="宋体" w:cs="宋体"/>
          <w:b/>
          <w:bCs/>
          <w:color w:val="auto"/>
          <w:szCs w:val="21"/>
        </w:rPr>
        <w:t>三、</w:t>
      </w:r>
      <w:r>
        <w:rPr>
          <w:rFonts w:hint="eastAsia" w:asciiTheme="minorEastAsia" w:hAnsiTheme="minorEastAsia" w:eastAsiaTheme="minorEastAsia" w:cstheme="minorEastAsia"/>
          <w:b/>
          <w:bCs/>
          <w:color w:val="auto"/>
          <w:sz w:val="21"/>
          <w:szCs w:val="21"/>
          <w:lang w:val="en-US" w:eastAsia="zh-CN"/>
        </w:rPr>
        <w:t>项目简介</w:t>
      </w:r>
    </w:p>
    <w:p w14:paraId="702B1083">
      <w:pPr>
        <w:pStyle w:val="52"/>
        <w:widowControl w:val="0"/>
        <w:spacing w:line="480" w:lineRule="exact"/>
        <w:ind w:firstLine="420" w:firstLineChars="200"/>
        <w:jc w:val="both"/>
        <w:rPr>
          <w:rFonts w:hint="default" w:asciiTheme="minorEastAsia" w:hAnsiTheme="minorEastAsia" w:eastAsiaTheme="minorEastAsia" w:cstheme="minorEastAsia"/>
          <w:color w:val="auto"/>
          <w:sz w:val="21"/>
          <w:szCs w:val="21"/>
          <w:u w:val="single"/>
          <w:lang w:val="en-US" w:eastAsia="zh-CN"/>
        </w:rPr>
      </w:pPr>
      <w:r>
        <w:rPr>
          <w:rFonts w:hint="eastAsia" w:asciiTheme="minorEastAsia" w:hAnsiTheme="minorEastAsia" w:eastAsiaTheme="minorEastAsia" w:cstheme="minorEastAsia"/>
          <w:color w:val="auto"/>
          <w:sz w:val="21"/>
          <w:szCs w:val="21"/>
          <w:lang w:val="en-US" w:eastAsia="zh-CN"/>
        </w:rPr>
        <w:t>因甲方业务需要，现采购相关服务：</w:t>
      </w:r>
      <w:r>
        <w:rPr>
          <w:rFonts w:hint="eastAsia" w:asciiTheme="minorEastAsia" w:hAnsiTheme="minorEastAsia" w:eastAsiaTheme="minorEastAsia" w:cstheme="minorEastAsia"/>
          <w:color w:val="auto"/>
          <w:sz w:val="21"/>
          <w:szCs w:val="21"/>
          <w:u w:val="single"/>
          <w:lang w:val="en-US" w:eastAsia="zh-CN"/>
        </w:rPr>
        <w:t xml:space="preserve">            。</w:t>
      </w:r>
    </w:p>
    <w:p w14:paraId="20007B2D">
      <w:pPr>
        <w:spacing w:line="480" w:lineRule="exact"/>
        <w:ind w:firstLine="422" w:firstLineChars="200"/>
        <w:rPr>
          <w:rFonts w:hint="eastAsia" w:ascii="宋体" w:hAnsi="宋体" w:cs="宋体"/>
          <w:b/>
          <w:color w:val="auto"/>
          <w:szCs w:val="21"/>
        </w:rPr>
      </w:pPr>
      <w:r>
        <w:rPr>
          <w:rFonts w:hint="eastAsia" w:ascii="宋体" w:hAnsi="宋体" w:cs="宋体"/>
          <w:b/>
          <w:color w:val="auto"/>
          <w:szCs w:val="21"/>
          <w:lang w:val="en-US" w:eastAsia="zh-CN"/>
        </w:rPr>
        <w:t>四</w:t>
      </w:r>
      <w:r>
        <w:rPr>
          <w:rFonts w:hint="eastAsia" w:ascii="宋体" w:hAnsi="宋体" w:cs="宋体"/>
          <w:b/>
          <w:color w:val="auto"/>
          <w:szCs w:val="21"/>
        </w:rPr>
        <w:t>、总体要求</w:t>
      </w:r>
    </w:p>
    <w:p w14:paraId="6CCCBF68">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b w:val="0"/>
          <w:bCs/>
          <w:color w:val="auto"/>
          <w:szCs w:val="21"/>
        </w:rPr>
      </w:pPr>
      <w:r>
        <w:rPr>
          <w:rFonts w:hint="eastAsia" w:ascii="宋体" w:hAnsi="宋体" w:cs="宋体"/>
          <w:b w:val="0"/>
          <w:bCs/>
          <w:color w:val="auto"/>
          <w:szCs w:val="21"/>
        </w:rPr>
        <w:t>1.服务方案：</w:t>
      </w:r>
      <w:r>
        <w:rPr>
          <w:rFonts w:hint="eastAsia" w:ascii="宋体" w:hAnsi="宋体" w:cs="宋体"/>
          <w:b w:val="0"/>
          <w:bCs/>
          <w:color w:val="auto"/>
          <w:szCs w:val="21"/>
          <w:lang w:val="en-US" w:eastAsia="zh-CN"/>
        </w:rPr>
        <w:t>乙方</w:t>
      </w:r>
      <w:r>
        <w:rPr>
          <w:rFonts w:hint="eastAsia" w:ascii="宋体" w:hAnsi="宋体" w:cs="宋体"/>
          <w:b w:val="0"/>
          <w:bCs/>
          <w:color w:val="auto"/>
          <w:szCs w:val="21"/>
        </w:rPr>
        <w:t>应根据项目服务内容，拟定具体合理的服务方案。</w:t>
      </w:r>
    </w:p>
    <w:p w14:paraId="595CB38C">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b w:val="0"/>
          <w:bCs/>
          <w:color w:val="auto"/>
          <w:szCs w:val="21"/>
        </w:rPr>
      </w:pPr>
      <w:r>
        <w:rPr>
          <w:rFonts w:hint="eastAsia" w:ascii="宋体" w:hAnsi="宋体" w:cs="宋体"/>
          <w:b w:val="0"/>
          <w:bCs/>
          <w:color w:val="auto"/>
          <w:szCs w:val="21"/>
        </w:rPr>
        <w:t>2.执行保障：</w:t>
      </w:r>
      <w:r>
        <w:rPr>
          <w:rFonts w:hint="eastAsia" w:ascii="宋体" w:hAnsi="宋体" w:cs="宋体"/>
          <w:b w:val="0"/>
          <w:bCs/>
          <w:color w:val="auto"/>
          <w:szCs w:val="21"/>
          <w:lang w:val="en-US" w:eastAsia="zh-CN"/>
        </w:rPr>
        <w:t>乙方</w:t>
      </w:r>
      <w:r>
        <w:rPr>
          <w:rFonts w:hint="eastAsia" w:ascii="宋体" w:hAnsi="宋体" w:cs="宋体"/>
          <w:b w:val="0"/>
          <w:bCs/>
          <w:color w:val="auto"/>
          <w:szCs w:val="21"/>
        </w:rPr>
        <w:t>应合理安排物料、人员、时间计划，制定调整优化与应急保障预案并做出相应的服务承诺，确保做好各项准备工作，及时完成招标文件中所规定的各项任务；</w:t>
      </w:r>
      <w:r>
        <w:rPr>
          <w:rFonts w:hint="eastAsia" w:ascii="宋体" w:hAnsi="宋体" w:cs="宋体"/>
          <w:b w:val="0"/>
          <w:bCs/>
          <w:color w:val="auto"/>
          <w:szCs w:val="21"/>
          <w:lang w:val="en-US" w:eastAsia="zh-CN"/>
        </w:rPr>
        <w:t>乙方</w:t>
      </w:r>
      <w:r>
        <w:rPr>
          <w:rFonts w:hint="eastAsia" w:ascii="宋体" w:hAnsi="宋体" w:cs="宋体"/>
          <w:b w:val="0"/>
          <w:bCs/>
          <w:color w:val="auto"/>
          <w:szCs w:val="21"/>
        </w:rPr>
        <w:t>应安排1名项目负责人，根据</w:t>
      </w:r>
      <w:r>
        <w:rPr>
          <w:rFonts w:hint="eastAsia" w:ascii="宋体" w:hAnsi="宋体" w:cs="宋体"/>
          <w:b w:val="0"/>
          <w:bCs/>
          <w:color w:val="auto"/>
          <w:szCs w:val="21"/>
          <w:lang w:val="en-US" w:eastAsia="zh-CN"/>
        </w:rPr>
        <w:t>甲方</w:t>
      </w:r>
      <w:r>
        <w:rPr>
          <w:rFonts w:hint="eastAsia" w:ascii="宋体" w:hAnsi="宋体" w:cs="宋体"/>
          <w:b w:val="0"/>
          <w:bCs/>
          <w:color w:val="auto"/>
          <w:szCs w:val="21"/>
        </w:rPr>
        <w:t>要求统筹开展项目管理。</w:t>
      </w:r>
    </w:p>
    <w:p w14:paraId="17D01CDC">
      <w:pPr>
        <w:keepNext w:val="0"/>
        <w:keepLines w:val="0"/>
        <w:pageBreakBefore w:val="0"/>
        <w:kinsoku/>
        <w:wordWrap/>
        <w:overflowPunct/>
        <w:topLinePunct w:val="0"/>
        <w:autoSpaceDE/>
        <w:autoSpaceDN/>
        <w:bidi w:val="0"/>
        <w:adjustRightInd/>
        <w:snapToGrid/>
        <w:spacing w:line="480" w:lineRule="exact"/>
        <w:ind w:firstLine="420" w:firstLineChars="200"/>
        <w:textAlignment w:val="auto"/>
        <w:rPr>
          <w:rFonts w:hint="eastAsia"/>
          <w:b w:val="0"/>
          <w:bCs/>
          <w:color w:val="auto"/>
        </w:rPr>
      </w:pPr>
      <w:r>
        <w:rPr>
          <w:rFonts w:hint="eastAsia" w:ascii="宋体" w:hAnsi="宋体" w:cs="宋体"/>
          <w:b w:val="0"/>
          <w:bCs/>
          <w:color w:val="auto"/>
          <w:szCs w:val="21"/>
        </w:rPr>
        <w:t>3.验收标准：根据招标文件确定的商务要求与服务内容验收。</w:t>
      </w:r>
    </w:p>
    <w:p w14:paraId="62B90F7C">
      <w:pPr>
        <w:keepNext w:val="0"/>
        <w:keepLines w:val="0"/>
        <w:pageBreakBefore w:val="0"/>
        <w:widowControl/>
        <w:shd w:val="clear"/>
        <w:kinsoku/>
        <w:wordWrap/>
        <w:overflowPunct/>
        <w:topLinePunct w:val="0"/>
        <w:autoSpaceDE/>
        <w:autoSpaceDN/>
        <w:bidi w:val="0"/>
        <w:adjustRightInd/>
        <w:snapToGrid/>
        <w:spacing w:line="480" w:lineRule="exact"/>
        <w:ind w:firstLine="422" w:firstLineChars="200"/>
        <w:textAlignment w:val="auto"/>
        <w:rPr>
          <w:rFonts w:hint="eastAsia" w:asciiTheme="minorEastAsia" w:hAnsiTheme="minorEastAsia" w:eastAsiaTheme="minorEastAsia" w:cstheme="minorEastAsia"/>
          <w:b/>
          <w:bCs/>
          <w:color w:val="auto"/>
          <w:sz w:val="21"/>
          <w:szCs w:val="21"/>
          <w:lang w:val="en-US" w:eastAsia="zh-CN"/>
        </w:rPr>
      </w:pPr>
      <w:r>
        <w:rPr>
          <w:rFonts w:hint="eastAsia" w:ascii="宋体" w:hAnsi="宋体" w:cs="宋体"/>
          <w:b/>
          <w:color w:val="auto"/>
          <w:szCs w:val="21"/>
          <w:lang w:val="en-US" w:eastAsia="zh-CN"/>
        </w:rPr>
        <w:t>五</w:t>
      </w:r>
      <w:r>
        <w:rPr>
          <w:rFonts w:hint="eastAsia" w:ascii="宋体" w:hAnsi="宋体" w:cs="宋体"/>
          <w:b/>
          <w:color w:val="auto"/>
          <w:szCs w:val="21"/>
        </w:rPr>
        <w:t>、</w:t>
      </w:r>
      <w:r>
        <w:rPr>
          <w:rFonts w:hint="eastAsia" w:asciiTheme="minorEastAsia" w:hAnsiTheme="minorEastAsia" w:eastAsiaTheme="minorEastAsia" w:cstheme="minorEastAsia"/>
          <w:b/>
          <w:bCs/>
          <w:color w:val="auto"/>
          <w:sz w:val="21"/>
          <w:szCs w:val="21"/>
          <w:lang w:val="en-US" w:eastAsia="zh-CN"/>
        </w:rPr>
        <w:t>服务内容</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008"/>
        <w:gridCol w:w="6177"/>
        <w:gridCol w:w="722"/>
      </w:tblGrid>
      <w:tr w14:paraId="7E2B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65" w:type="pct"/>
            <w:shd w:val="clear" w:color="auto" w:fill="auto"/>
            <w:vAlign w:val="center"/>
          </w:tcPr>
          <w:p w14:paraId="1DAC02C3">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序号</w:t>
            </w:r>
          </w:p>
        </w:tc>
        <w:tc>
          <w:tcPr>
            <w:tcW w:w="578" w:type="pct"/>
            <w:shd w:val="clear" w:color="auto" w:fill="auto"/>
            <w:vAlign w:val="center"/>
          </w:tcPr>
          <w:p w14:paraId="2B40BDE7">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分类</w:t>
            </w:r>
          </w:p>
        </w:tc>
        <w:tc>
          <w:tcPr>
            <w:tcW w:w="3542" w:type="pct"/>
            <w:shd w:val="clear" w:color="auto" w:fill="auto"/>
            <w:vAlign w:val="center"/>
          </w:tcPr>
          <w:p w14:paraId="0BE21DD7">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服务内容</w:t>
            </w:r>
          </w:p>
        </w:tc>
        <w:tc>
          <w:tcPr>
            <w:tcW w:w="414" w:type="pct"/>
            <w:shd w:val="clear" w:color="auto" w:fill="auto"/>
            <w:vAlign w:val="center"/>
          </w:tcPr>
          <w:p w14:paraId="094B3A59">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数量</w:t>
            </w:r>
          </w:p>
        </w:tc>
      </w:tr>
      <w:tr w14:paraId="37DE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465" w:type="pct"/>
            <w:shd w:val="clear" w:color="auto" w:fill="auto"/>
            <w:vAlign w:val="center"/>
          </w:tcPr>
          <w:p w14:paraId="05152360">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val="en-US" w:eastAsia="zh-CN"/>
              </w:rPr>
            </w:pPr>
          </w:p>
        </w:tc>
        <w:tc>
          <w:tcPr>
            <w:tcW w:w="578" w:type="pct"/>
            <w:shd w:val="clear" w:color="auto" w:fill="auto"/>
            <w:vAlign w:val="center"/>
          </w:tcPr>
          <w:p w14:paraId="24E92989">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lang w:val="en-US" w:eastAsia="zh-CN"/>
              </w:rPr>
            </w:pPr>
          </w:p>
        </w:tc>
        <w:tc>
          <w:tcPr>
            <w:tcW w:w="3542" w:type="pct"/>
            <w:shd w:val="clear" w:color="auto" w:fill="auto"/>
            <w:vAlign w:val="center"/>
          </w:tcPr>
          <w:p w14:paraId="0CC90992">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p>
        </w:tc>
        <w:tc>
          <w:tcPr>
            <w:tcW w:w="414" w:type="pct"/>
            <w:shd w:val="clear" w:color="auto" w:fill="auto"/>
            <w:vAlign w:val="center"/>
          </w:tcPr>
          <w:p w14:paraId="509BA13C">
            <w:pPr>
              <w:pageBreakBefore w:val="0"/>
              <w:widowControl/>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color w:val="auto"/>
                <w:sz w:val="21"/>
                <w:szCs w:val="21"/>
              </w:rPr>
            </w:pPr>
          </w:p>
        </w:tc>
      </w:tr>
    </w:tbl>
    <w:p w14:paraId="437B988E">
      <w:pPr>
        <w:pStyle w:val="52"/>
        <w:spacing w:line="480" w:lineRule="exact"/>
        <w:ind w:firstLine="422" w:firstLineChars="200"/>
        <w:jc w:val="both"/>
        <w:rPr>
          <w:rFonts w:hint="eastAsia" w:ascii="宋体" w:hAnsi="宋体" w:cs="宋体"/>
          <w:b/>
          <w:bCs w:val="0"/>
          <w:color w:val="auto"/>
          <w:szCs w:val="21"/>
        </w:rPr>
      </w:pPr>
      <w:r>
        <w:rPr>
          <w:rFonts w:hint="eastAsia" w:ascii="宋体" w:hAnsi="宋体" w:cs="宋体"/>
          <w:b/>
          <w:bCs w:val="0"/>
          <w:color w:val="auto"/>
          <w:szCs w:val="21"/>
          <w:lang w:val="en-US" w:eastAsia="zh-CN"/>
        </w:rPr>
        <w:t>六、</w:t>
      </w:r>
      <w:r>
        <w:rPr>
          <w:rFonts w:hint="eastAsia" w:ascii="宋体" w:hAnsi="宋体" w:cs="宋体"/>
          <w:b/>
          <w:bCs w:val="0"/>
          <w:color w:val="auto"/>
          <w:szCs w:val="21"/>
        </w:rPr>
        <w:t>其他要求</w:t>
      </w:r>
    </w:p>
    <w:p w14:paraId="3BEC6417">
      <w:pPr>
        <w:pStyle w:val="52"/>
        <w:numPr>
          <w:ilvl w:val="-1"/>
          <w:numId w:val="0"/>
        </w:numPr>
        <w:spacing w:line="480" w:lineRule="exact"/>
        <w:ind w:firstLine="420" w:firstLineChars="200"/>
        <w:jc w:val="both"/>
        <w:rPr>
          <w:rFonts w:hint="eastAsia"/>
          <w:color w:val="auto"/>
        </w:rPr>
      </w:pPr>
      <w:r>
        <w:rPr>
          <w:rFonts w:hint="eastAsia"/>
          <w:color w:val="auto"/>
        </w:rPr>
        <w:t>1、服务团队要求：要求团队人员服务经验丰富、专业素质高。团队人员须经过</w:t>
      </w:r>
      <w:r>
        <w:rPr>
          <w:rFonts w:hint="eastAsia"/>
          <w:color w:val="auto"/>
          <w:lang w:eastAsia="zh-CN"/>
        </w:rPr>
        <w:t>甲方</w:t>
      </w:r>
      <w:r>
        <w:rPr>
          <w:rFonts w:hint="eastAsia"/>
          <w:color w:val="auto"/>
        </w:rPr>
        <w:t>认可，如不能达到服务要求，</w:t>
      </w:r>
      <w:r>
        <w:rPr>
          <w:rFonts w:hint="eastAsia"/>
          <w:color w:val="auto"/>
          <w:lang w:eastAsia="zh-CN"/>
        </w:rPr>
        <w:t>乙方</w:t>
      </w:r>
      <w:r>
        <w:rPr>
          <w:rFonts w:hint="eastAsia"/>
          <w:color w:val="auto"/>
        </w:rPr>
        <w:t>须在</w:t>
      </w:r>
      <w:r>
        <w:rPr>
          <w:rFonts w:hint="eastAsia"/>
          <w:color w:val="auto"/>
          <w:lang w:eastAsia="zh-CN"/>
        </w:rPr>
        <w:t>甲方</w:t>
      </w:r>
      <w:r>
        <w:rPr>
          <w:rFonts w:hint="eastAsia"/>
          <w:color w:val="auto"/>
        </w:rPr>
        <w:t>提出相应要求后7个工作日内更换服务人员。</w:t>
      </w:r>
    </w:p>
    <w:p w14:paraId="3E2E5A59">
      <w:pPr>
        <w:pStyle w:val="52"/>
        <w:numPr>
          <w:ilvl w:val="-1"/>
          <w:numId w:val="0"/>
        </w:numPr>
        <w:spacing w:line="480" w:lineRule="exact"/>
        <w:ind w:firstLine="420" w:firstLineChars="200"/>
        <w:jc w:val="both"/>
        <w:rPr>
          <w:rFonts w:hint="eastAsia"/>
          <w:color w:val="auto"/>
        </w:rPr>
      </w:pPr>
      <w:r>
        <w:rPr>
          <w:rFonts w:hint="eastAsia"/>
          <w:color w:val="auto"/>
        </w:rPr>
        <w:t>2、知识产权的要求：</w:t>
      </w:r>
      <w:r>
        <w:rPr>
          <w:rFonts w:hint="eastAsia"/>
          <w:color w:val="auto"/>
          <w:lang w:eastAsia="zh-CN"/>
        </w:rPr>
        <w:t>乙方</w:t>
      </w:r>
      <w:r>
        <w:rPr>
          <w:rFonts w:hint="eastAsia"/>
          <w:color w:val="auto"/>
        </w:rPr>
        <w:t>应保证本项目提供的所有服务不会产生因第三方提出侵犯其专利权、商标权或其他知识产权而引起的法律和经济纠纷；如因第三方提出其专利权、商标权或其他知识产权的权之诉，则一切法律责任由</w:t>
      </w:r>
      <w:r>
        <w:rPr>
          <w:rFonts w:hint="eastAsia"/>
          <w:color w:val="auto"/>
          <w:lang w:eastAsia="zh-CN"/>
        </w:rPr>
        <w:t>乙方</w:t>
      </w:r>
      <w:r>
        <w:rPr>
          <w:rFonts w:hint="eastAsia"/>
          <w:color w:val="auto"/>
        </w:rPr>
        <w:t>承担。</w:t>
      </w:r>
    </w:p>
    <w:p w14:paraId="5B597C44">
      <w:pPr>
        <w:pStyle w:val="52"/>
        <w:numPr>
          <w:ilvl w:val="-1"/>
          <w:numId w:val="0"/>
        </w:numPr>
        <w:spacing w:line="480" w:lineRule="exact"/>
        <w:ind w:firstLine="420" w:firstLineChars="200"/>
        <w:jc w:val="both"/>
        <w:rPr>
          <w:rFonts w:hint="eastAsia"/>
          <w:color w:val="auto"/>
        </w:rPr>
      </w:pPr>
      <w:r>
        <w:rPr>
          <w:rFonts w:hint="eastAsia"/>
          <w:color w:val="auto"/>
        </w:rPr>
        <w:t>3、</w:t>
      </w:r>
      <w:r>
        <w:rPr>
          <w:rFonts w:hint="eastAsia"/>
          <w:color w:val="auto"/>
          <w:lang w:eastAsia="zh-CN"/>
        </w:rPr>
        <w:t>乙方</w:t>
      </w:r>
      <w:r>
        <w:rPr>
          <w:rFonts w:hint="eastAsia"/>
          <w:color w:val="auto"/>
        </w:rPr>
        <w:t>应充分运用其拥有的资源和能力，尽职尽责为</w:t>
      </w:r>
      <w:r>
        <w:rPr>
          <w:rFonts w:hint="eastAsia"/>
          <w:color w:val="auto"/>
          <w:lang w:eastAsia="zh-CN"/>
        </w:rPr>
        <w:t>甲方</w:t>
      </w:r>
      <w:r>
        <w:rPr>
          <w:rFonts w:hint="eastAsia"/>
          <w:color w:val="auto"/>
        </w:rPr>
        <w:t>服务，按时、按质、按量完成</w:t>
      </w:r>
      <w:r>
        <w:rPr>
          <w:rFonts w:hint="eastAsia"/>
          <w:color w:val="auto"/>
          <w:lang w:eastAsia="zh-CN"/>
        </w:rPr>
        <w:t>甲方</w:t>
      </w:r>
      <w:r>
        <w:rPr>
          <w:rFonts w:hint="eastAsia"/>
          <w:color w:val="auto"/>
        </w:rPr>
        <w:t>委托的业务。</w:t>
      </w:r>
    </w:p>
    <w:p w14:paraId="35829A05">
      <w:pPr>
        <w:pStyle w:val="52"/>
        <w:numPr>
          <w:ilvl w:val="-1"/>
          <w:numId w:val="0"/>
        </w:numPr>
        <w:spacing w:line="480" w:lineRule="exact"/>
        <w:ind w:firstLine="420" w:firstLineChars="200"/>
        <w:jc w:val="both"/>
        <w:rPr>
          <w:rFonts w:hint="eastAsia"/>
          <w:color w:val="auto"/>
        </w:rPr>
      </w:pPr>
      <w:r>
        <w:rPr>
          <w:rFonts w:hint="eastAsia"/>
          <w:color w:val="auto"/>
          <w:lang w:val="en-US" w:eastAsia="zh-CN"/>
        </w:rPr>
        <w:t>4</w:t>
      </w:r>
      <w:r>
        <w:rPr>
          <w:rFonts w:hint="eastAsia"/>
          <w:color w:val="auto"/>
        </w:rPr>
        <w:t>、</w:t>
      </w:r>
      <w:r>
        <w:rPr>
          <w:rFonts w:hint="eastAsia"/>
          <w:color w:val="auto"/>
          <w:lang w:eastAsia="zh-CN"/>
        </w:rPr>
        <w:t>乙方</w:t>
      </w:r>
      <w:r>
        <w:rPr>
          <w:rFonts w:hint="eastAsia"/>
          <w:color w:val="auto"/>
        </w:rPr>
        <w:t>应尊重和服从</w:t>
      </w:r>
      <w:r>
        <w:rPr>
          <w:rFonts w:hint="eastAsia"/>
          <w:color w:val="auto"/>
          <w:lang w:eastAsia="zh-CN"/>
        </w:rPr>
        <w:t>甲方</w:t>
      </w:r>
      <w:r>
        <w:rPr>
          <w:rFonts w:hint="eastAsia"/>
          <w:color w:val="auto"/>
        </w:rPr>
        <w:t>的领导和管理，很好的配合</w:t>
      </w:r>
      <w:r>
        <w:rPr>
          <w:rFonts w:hint="eastAsia"/>
          <w:color w:val="auto"/>
          <w:lang w:eastAsia="zh-CN"/>
        </w:rPr>
        <w:t>甲方</w:t>
      </w:r>
      <w:r>
        <w:rPr>
          <w:rFonts w:hint="eastAsia"/>
          <w:color w:val="auto"/>
        </w:rPr>
        <w:t>的工作安排。</w:t>
      </w:r>
    </w:p>
    <w:p w14:paraId="305F4C33">
      <w:pPr>
        <w:pStyle w:val="52"/>
        <w:numPr>
          <w:ilvl w:val="-1"/>
          <w:numId w:val="0"/>
        </w:numPr>
        <w:spacing w:line="480" w:lineRule="exact"/>
        <w:ind w:firstLine="420" w:firstLineChars="200"/>
        <w:jc w:val="both"/>
        <w:rPr>
          <w:color w:val="auto"/>
        </w:rPr>
      </w:pPr>
      <w:r>
        <w:rPr>
          <w:rFonts w:hint="eastAsia"/>
          <w:color w:val="auto"/>
          <w:lang w:val="en-US" w:eastAsia="zh-CN"/>
        </w:rPr>
        <w:t>5</w:t>
      </w:r>
      <w:r>
        <w:rPr>
          <w:rFonts w:hint="eastAsia"/>
          <w:color w:val="auto"/>
        </w:rPr>
        <w:t>、服务保障要求：合同有效期内，</w:t>
      </w:r>
      <w:r>
        <w:rPr>
          <w:rFonts w:hint="eastAsia"/>
          <w:color w:val="auto"/>
          <w:lang w:eastAsia="zh-CN"/>
        </w:rPr>
        <w:t>乙方</w:t>
      </w:r>
      <w:r>
        <w:rPr>
          <w:rFonts w:hint="eastAsia"/>
          <w:color w:val="auto"/>
        </w:rPr>
        <w:t>须提供每周7日×</w:t>
      </w:r>
      <w:r>
        <w:rPr>
          <w:rFonts w:hint="eastAsia"/>
          <w:color w:val="auto"/>
          <w:lang w:val="en-US" w:eastAsia="zh-CN"/>
        </w:rPr>
        <w:t>24</w:t>
      </w:r>
      <w:r>
        <w:rPr>
          <w:rFonts w:hint="eastAsia"/>
          <w:color w:val="auto"/>
        </w:rPr>
        <w:t>小时热线和长期免费服务支持，无条件响应</w:t>
      </w:r>
      <w:r>
        <w:rPr>
          <w:rFonts w:hint="eastAsia"/>
          <w:color w:val="auto"/>
          <w:lang w:eastAsia="zh-CN"/>
        </w:rPr>
        <w:t>甲方</w:t>
      </w:r>
      <w:r>
        <w:rPr>
          <w:rFonts w:hint="eastAsia"/>
          <w:color w:val="auto"/>
        </w:rPr>
        <w:t>在该项目上的时间安排，对</w:t>
      </w:r>
      <w:r>
        <w:rPr>
          <w:rFonts w:hint="eastAsia"/>
          <w:color w:val="auto"/>
          <w:lang w:eastAsia="zh-CN"/>
        </w:rPr>
        <w:t>甲方</w:t>
      </w:r>
      <w:r>
        <w:rPr>
          <w:rFonts w:hint="eastAsia"/>
          <w:color w:val="auto"/>
        </w:rPr>
        <w:t>的服务通知，</w:t>
      </w:r>
      <w:r>
        <w:rPr>
          <w:rFonts w:hint="eastAsia"/>
          <w:color w:val="auto"/>
          <w:lang w:eastAsia="zh-CN"/>
        </w:rPr>
        <w:t>乙方</w:t>
      </w:r>
      <w:r>
        <w:rPr>
          <w:rFonts w:hint="eastAsia"/>
          <w:color w:val="auto"/>
        </w:rPr>
        <w:t>需在接报后2小时内响应。</w:t>
      </w:r>
    </w:p>
    <w:p w14:paraId="7AE30568">
      <w:pPr>
        <w:pStyle w:val="52"/>
        <w:keepNext w:val="0"/>
        <w:keepLines w:val="0"/>
        <w:pageBreakBefore w:val="0"/>
        <w:widowControl/>
        <w:kinsoku/>
        <w:wordWrap/>
        <w:overflowPunct/>
        <w:topLinePunct w:val="0"/>
        <w:autoSpaceDE/>
        <w:autoSpaceDN/>
        <w:bidi w:val="0"/>
        <w:adjustRightInd/>
        <w:snapToGrid/>
        <w:spacing w:line="480" w:lineRule="exact"/>
        <w:ind w:firstLine="422"/>
        <w:textAlignment w:val="auto"/>
        <w:rPr>
          <w:rFonts w:hint="eastAsia" w:ascii="宋体" w:hAnsi="宋体" w:cs="宋体"/>
          <w:b/>
          <w:color w:val="auto"/>
          <w:szCs w:val="21"/>
          <w:lang w:val="en-US" w:eastAsia="zh-CN"/>
        </w:rPr>
      </w:pPr>
      <w:r>
        <w:rPr>
          <w:rFonts w:hint="eastAsia" w:ascii="宋体" w:hAnsi="宋体" w:cs="宋体"/>
          <w:b/>
          <w:color w:val="auto"/>
          <w:szCs w:val="21"/>
          <w:lang w:val="en-US" w:eastAsia="zh-CN"/>
        </w:rPr>
        <w:t>七、付款方式及要求</w:t>
      </w:r>
    </w:p>
    <w:p w14:paraId="43F1CB5E">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cs="Times New Roman"/>
          <w:color w:val="auto"/>
          <w:szCs w:val="21"/>
        </w:rPr>
      </w:pPr>
      <w:r>
        <w:rPr>
          <w:rFonts w:hint="eastAsia" w:cs="Times New Roman"/>
          <w:color w:val="auto"/>
          <w:szCs w:val="21"/>
          <w:lang w:val="en-US" w:eastAsia="zh-CN"/>
        </w:rPr>
        <w:t>1、</w:t>
      </w:r>
      <w:r>
        <w:rPr>
          <w:rFonts w:hint="default" w:ascii="Times New Roman" w:hAnsi="Times New Roman" w:cs="Times New Roman"/>
          <w:color w:val="auto"/>
          <w:szCs w:val="21"/>
        </w:rPr>
        <w:t>付款方式</w:t>
      </w:r>
    </w:p>
    <w:p w14:paraId="4C32380F">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（1）第一期（合同总额</w:t>
      </w:r>
      <w:r>
        <w:rPr>
          <w:rFonts w:hint="eastAsia" w:cs="Times New Roman"/>
          <w:color w:val="auto"/>
          <w:szCs w:val="21"/>
          <w:lang w:val="en-US" w:eastAsia="zh-CN"/>
        </w:rPr>
        <w:t>30</w:t>
      </w:r>
      <w:r>
        <w:rPr>
          <w:rFonts w:hint="default" w:ascii="Times New Roman" w:hAnsi="Times New Roman" w:cs="Times New Roman"/>
          <w:color w:val="auto"/>
          <w:szCs w:val="21"/>
        </w:rPr>
        <w:t>%）：</w:t>
      </w:r>
    </w:p>
    <w:p w14:paraId="4BE8809D">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（2）第二期（合同总额</w:t>
      </w:r>
      <w:r>
        <w:rPr>
          <w:rFonts w:hint="eastAsia" w:cs="Times New Roman"/>
          <w:color w:val="auto"/>
          <w:szCs w:val="21"/>
          <w:lang w:val="en-US" w:eastAsia="zh-CN"/>
        </w:rPr>
        <w:t>40</w:t>
      </w:r>
      <w:r>
        <w:rPr>
          <w:rFonts w:hint="default" w:ascii="Times New Roman" w:hAnsi="Times New Roman" w:cs="Times New Roman"/>
          <w:color w:val="auto"/>
          <w:szCs w:val="21"/>
        </w:rPr>
        <w:t>%）：</w:t>
      </w:r>
    </w:p>
    <w:p w14:paraId="34A6FEDC">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eastAsia="zh-CN"/>
        </w:rPr>
        <w:t>（</w:t>
      </w:r>
      <w:r>
        <w:rPr>
          <w:rFonts w:hint="eastAsia" w:cs="Times New Roman"/>
          <w:color w:val="auto"/>
          <w:szCs w:val="21"/>
          <w:lang w:val="en-US" w:eastAsia="zh-CN"/>
        </w:rPr>
        <w:t>3</w:t>
      </w:r>
      <w:r>
        <w:rPr>
          <w:rFonts w:hint="eastAsia" w:cs="Times New Roman"/>
          <w:color w:val="auto"/>
          <w:szCs w:val="21"/>
          <w:lang w:eastAsia="zh-CN"/>
        </w:rPr>
        <w:t>）</w:t>
      </w:r>
      <w:r>
        <w:rPr>
          <w:rFonts w:hint="default" w:ascii="Times New Roman" w:hAnsi="Times New Roman" w:cs="Times New Roman"/>
          <w:color w:val="auto"/>
          <w:szCs w:val="21"/>
        </w:rPr>
        <w:t>第二期（合同总额</w:t>
      </w:r>
      <w:r>
        <w:rPr>
          <w:rFonts w:hint="eastAsia" w:cs="Times New Roman"/>
          <w:color w:val="auto"/>
          <w:szCs w:val="21"/>
          <w:lang w:val="en-US" w:eastAsia="zh-CN"/>
        </w:rPr>
        <w:t>30</w:t>
      </w:r>
      <w:r>
        <w:rPr>
          <w:rFonts w:hint="default" w:ascii="Times New Roman" w:hAnsi="Times New Roman" w:cs="Times New Roman"/>
          <w:color w:val="auto"/>
          <w:szCs w:val="21"/>
        </w:rPr>
        <w:t>%）：</w:t>
      </w:r>
    </w:p>
    <w:p w14:paraId="3DF8263D">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付款前，乙方应向甲方开具等额有效增值税专用发票，否则，甲方有权拒绝付款。</w:t>
      </w:r>
    </w:p>
    <w:p w14:paraId="6DDE4812">
      <w:pPr>
        <w:pStyle w:val="52"/>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、乙方收款账户信息如下：</w:t>
      </w:r>
    </w:p>
    <w:p w14:paraId="38160BFC">
      <w:pPr>
        <w:pStyle w:val="52"/>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bCs/>
          <w:color w:val="auto"/>
          <w:szCs w:val="21"/>
        </w:rPr>
      </w:pPr>
      <w:r>
        <w:rPr>
          <w:rFonts w:hint="eastAsia" w:ascii="宋体" w:hAnsi="宋体" w:cs="宋体"/>
          <w:color w:val="auto"/>
          <w:szCs w:val="21"/>
        </w:rPr>
        <w:t>开户名：</w:t>
      </w:r>
      <w:r>
        <w:rPr>
          <w:rFonts w:hint="eastAsia" w:ascii="宋体" w:hAnsi="宋体" w:cs="宋体"/>
          <w:b/>
          <w:color w:val="auto"/>
          <w:szCs w:val="21"/>
          <w:u w:val="single"/>
        </w:rPr>
        <w:t xml:space="preserve">                      </w:t>
      </w:r>
      <w:r>
        <w:rPr>
          <w:rFonts w:hint="eastAsia" w:ascii="宋体" w:hAnsi="宋体" w:cs="宋体"/>
          <w:bCs/>
          <w:color w:val="auto"/>
          <w:szCs w:val="21"/>
        </w:rPr>
        <w:t>，</w:t>
      </w:r>
    </w:p>
    <w:p w14:paraId="0EFE3473">
      <w:pPr>
        <w:pStyle w:val="52"/>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bCs/>
          <w:color w:val="auto"/>
          <w:szCs w:val="21"/>
        </w:rPr>
      </w:pPr>
      <w:r>
        <w:rPr>
          <w:rFonts w:hint="eastAsia" w:ascii="宋体" w:hAnsi="宋体" w:cs="宋体"/>
          <w:color w:val="auto"/>
          <w:szCs w:val="21"/>
        </w:rPr>
        <w:t>开户行：</w:t>
      </w:r>
      <w:r>
        <w:rPr>
          <w:rFonts w:hint="eastAsia" w:ascii="宋体" w:hAnsi="宋体" w:cs="宋体"/>
          <w:b/>
          <w:color w:val="auto"/>
          <w:szCs w:val="21"/>
          <w:u w:val="single"/>
        </w:rPr>
        <w:t xml:space="preserve">                      </w:t>
      </w:r>
      <w:r>
        <w:rPr>
          <w:rFonts w:hint="eastAsia" w:ascii="宋体" w:hAnsi="宋体" w:cs="宋体"/>
          <w:bCs/>
          <w:color w:val="auto"/>
          <w:szCs w:val="21"/>
        </w:rPr>
        <w:t>，</w:t>
      </w:r>
    </w:p>
    <w:p w14:paraId="70D4BEE4">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帐号：</w:t>
      </w:r>
      <w:r>
        <w:rPr>
          <w:rFonts w:hint="eastAsia" w:ascii="宋体" w:hAnsi="宋体" w:cs="宋体"/>
          <w:b/>
          <w:color w:val="auto"/>
          <w:szCs w:val="21"/>
          <w:u w:val="single"/>
        </w:rPr>
        <w:t xml:space="preserve">                        </w:t>
      </w:r>
      <w:r>
        <w:rPr>
          <w:rFonts w:hint="eastAsia" w:ascii="宋体" w:hAnsi="宋体" w:cs="宋体"/>
          <w:bCs/>
          <w:color w:val="auto"/>
          <w:szCs w:val="21"/>
        </w:rPr>
        <w:t>。</w:t>
      </w:r>
    </w:p>
    <w:p w14:paraId="0E6CBFA9">
      <w:pPr>
        <w:pStyle w:val="52"/>
        <w:spacing w:line="480" w:lineRule="exact"/>
        <w:ind w:firstLine="422" w:firstLineChars="200"/>
        <w:rPr>
          <w:rFonts w:hint="eastAsia" w:ascii="宋体" w:hAnsi="宋体" w:cs="宋体"/>
          <w:b/>
          <w:color w:val="auto"/>
          <w:szCs w:val="21"/>
        </w:rPr>
      </w:pPr>
      <w:r>
        <w:rPr>
          <w:rFonts w:hint="eastAsia" w:ascii="宋体" w:hAnsi="宋体" w:cs="宋体"/>
          <w:b/>
          <w:color w:val="auto"/>
          <w:szCs w:val="21"/>
        </w:rPr>
        <w:t>八、违约责任与赔偿损失</w:t>
      </w:r>
    </w:p>
    <w:p w14:paraId="74911B9A">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1.乙方交付的货物、工程或提供的服务不符合招标文件的要求、投标文件的承诺或本合同规定的，乙方必须在甲方规定的时间内更换，否则甲方有权终止合同或作其他处理，并且乙方须向甲方支付该合同总价5％的违约金。</w:t>
      </w:r>
    </w:p>
    <w:p w14:paraId="195DFC5E">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2.乙方未能按本合同规定的交货时间交付货物或提供服务，从逾期之日起每日按本合同总价3‰的数额向甲方支付违约金；逾期半个月以上的，甲方有权终止合同，由此造成的甲方经济损失由乙方承担。</w:t>
      </w:r>
    </w:p>
    <w:p w14:paraId="25FE3695">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3. 甲方无正当理由拒收货物或拒绝接受服务，甲方向乙方偿付本合同总价5%的违约金。逾期支付款项的，从逾期之日起按每日欠付金额3‰的数额向乙方支付违约金，但违约金累计不超过欠付金额的5%。</w:t>
      </w:r>
    </w:p>
    <w:p w14:paraId="23285AF4">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 xml:space="preserve">4. 任一方违约，相对方有权根据实际情况单方中止、解除合同或要求违约方继续履行合同。同时，因一方违约造成相对方损失的，违约方应当赔偿相对方损失，损失包括但不限于直接损失和间接损失、律师费、诉讼费（仲裁费）、保全费、担保费、保险费、差旅费等损失。本合同其他条款对违约责任还有约定的，同时适用该约定。                 </w:t>
      </w:r>
    </w:p>
    <w:p w14:paraId="710CA602">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5.其它违约责任按《中华人民共和国民法典》处理。</w:t>
      </w:r>
    </w:p>
    <w:p w14:paraId="659E9329">
      <w:pPr>
        <w:pStyle w:val="52"/>
        <w:spacing w:line="480" w:lineRule="exact"/>
        <w:ind w:firstLine="422" w:firstLineChars="200"/>
        <w:rPr>
          <w:rFonts w:hint="eastAsia" w:ascii="宋体" w:hAnsi="宋体" w:cs="宋体"/>
          <w:b/>
          <w:bCs/>
          <w:color w:val="auto"/>
          <w:szCs w:val="21"/>
        </w:rPr>
      </w:pPr>
      <w:r>
        <w:rPr>
          <w:rFonts w:hint="eastAsia" w:ascii="宋体" w:hAnsi="宋体" w:cs="宋体"/>
          <w:b/>
          <w:bCs/>
          <w:color w:val="auto"/>
          <w:szCs w:val="21"/>
        </w:rPr>
        <w:t>九、争议的解决</w:t>
      </w:r>
    </w:p>
    <w:p w14:paraId="65B7B598">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合同执行过程中发生的任何争议，如双方不能通过友好协商解决，</w:t>
      </w:r>
      <w:r>
        <w:rPr>
          <w:rFonts w:hint="eastAsia" w:ascii="宋体" w:hAnsi="宋体" w:cs="宋体"/>
          <w:color w:val="auto"/>
          <w:szCs w:val="21"/>
          <w:shd w:val="clear" w:color="auto" w:fill="FFFFFF"/>
        </w:rPr>
        <w:t>任一方均应向甲方住所地人民法院提起诉讼</w:t>
      </w:r>
      <w:r>
        <w:rPr>
          <w:rFonts w:hint="eastAsia" w:ascii="宋体" w:hAnsi="宋体" w:cs="宋体"/>
          <w:color w:val="auto"/>
          <w:szCs w:val="21"/>
        </w:rPr>
        <w:t>。</w:t>
      </w:r>
    </w:p>
    <w:p w14:paraId="4A37AF7E">
      <w:pPr>
        <w:pStyle w:val="52"/>
        <w:spacing w:line="480" w:lineRule="exact"/>
        <w:ind w:firstLine="422" w:firstLineChars="200"/>
        <w:rPr>
          <w:rFonts w:hint="eastAsia" w:ascii="宋体" w:hAnsi="宋体" w:cs="宋体"/>
          <w:b/>
          <w:bCs/>
          <w:color w:val="auto"/>
          <w:szCs w:val="21"/>
        </w:rPr>
      </w:pPr>
      <w:r>
        <w:rPr>
          <w:rFonts w:hint="eastAsia" w:ascii="宋体" w:hAnsi="宋体" w:cs="宋体"/>
          <w:b/>
          <w:bCs/>
          <w:color w:val="auto"/>
          <w:szCs w:val="21"/>
        </w:rPr>
        <w:t>十、不可抗力</w:t>
      </w:r>
    </w:p>
    <w:p w14:paraId="200823C1">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3D851945">
      <w:pPr>
        <w:pStyle w:val="52"/>
        <w:spacing w:line="480" w:lineRule="exact"/>
        <w:ind w:firstLine="422" w:firstLineChars="200"/>
        <w:rPr>
          <w:rFonts w:hint="eastAsia" w:ascii="宋体" w:hAnsi="宋体" w:cs="宋体"/>
          <w:color w:val="auto"/>
          <w:szCs w:val="21"/>
        </w:rPr>
      </w:pPr>
      <w:r>
        <w:rPr>
          <w:rFonts w:hint="eastAsia" w:ascii="宋体" w:hAnsi="宋体" w:cs="宋体"/>
          <w:b/>
          <w:bCs/>
          <w:color w:val="auto"/>
          <w:szCs w:val="21"/>
        </w:rPr>
        <w:t>十一、税费</w:t>
      </w:r>
    </w:p>
    <w:p w14:paraId="4767BEFA">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与本合同执行有关的一切税费均由乙方负担。</w:t>
      </w:r>
    </w:p>
    <w:p w14:paraId="22E730B6">
      <w:pPr>
        <w:pStyle w:val="52"/>
        <w:spacing w:line="480" w:lineRule="exact"/>
        <w:ind w:firstLine="422" w:firstLineChars="200"/>
        <w:rPr>
          <w:rFonts w:hint="eastAsia" w:ascii="宋体" w:hAnsi="宋体" w:cs="宋体"/>
          <w:b/>
          <w:bCs/>
          <w:color w:val="auto"/>
          <w:szCs w:val="21"/>
        </w:rPr>
      </w:pPr>
      <w:r>
        <w:rPr>
          <w:rFonts w:hint="eastAsia" w:ascii="宋体" w:hAnsi="宋体" w:cs="宋体"/>
          <w:b/>
          <w:bCs/>
          <w:color w:val="auto"/>
          <w:szCs w:val="21"/>
        </w:rPr>
        <w:t>十二、其它</w:t>
      </w:r>
    </w:p>
    <w:p w14:paraId="50F55375">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1、在执行本合同的过程中，所有经双方签署确认的文件(包括会议纪要、补充协议、往来信函)即成为本合同的有效组成部分。</w:t>
      </w:r>
    </w:p>
    <w:p w14:paraId="52FA2649">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2、如一方地址、电话、传真号码有变更，应在变更当日内书面通知对方，否则，应承担相应责任。</w:t>
      </w:r>
    </w:p>
    <w:p w14:paraId="108C4126">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3、本合同书条款解释权在甲方。</w:t>
      </w:r>
    </w:p>
    <w:p w14:paraId="0C28A67C">
      <w:pPr>
        <w:pStyle w:val="52"/>
        <w:spacing w:line="480" w:lineRule="exact"/>
        <w:ind w:firstLine="422" w:firstLineChars="200"/>
        <w:rPr>
          <w:rFonts w:hint="eastAsia" w:ascii="宋体" w:hAnsi="宋体" w:cs="宋体"/>
          <w:b w:val="0"/>
          <w:color w:val="auto"/>
          <w:szCs w:val="21"/>
        </w:rPr>
      </w:pPr>
      <w:r>
        <w:rPr>
          <w:rFonts w:hint="eastAsia" w:ascii="宋体" w:hAnsi="宋体" w:cs="宋体"/>
          <w:b/>
          <w:bCs/>
          <w:color w:val="auto"/>
          <w:szCs w:val="21"/>
        </w:rPr>
        <w:t>十三、合同生效</w:t>
      </w:r>
    </w:p>
    <w:p w14:paraId="516DB5CB">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1、本合同在甲乙双方法定代表人或授权代表签字及盖章后生效。</w:t>
      </w:r>
    </w:p>
    <w:p w14:paraId="22E18BB6">
      <w:pPr>
        <w:pStyle w:val="52"/>
        <w:snapToGrid w:val="0"/>
        <w:spacing w:line="480" w:lineRule="exact"/>
        <w:ind w:firstLine="420" w:firstLineChars="200"/>
        <w:rPr>
          <w:rFonts w:hint="eastAsia" w:ascii="宋体" w:hAnsi="宋体" w:cs="宋体"/>
          <w:color w:val="auto"/>
          <w:szCs w:val="21"/>
        </w:rPr>
      </w:pPr>
      <w:r>
        <w:rPr>
          <w:rFonts w:hint="eastAsia" w:ascii="宋体" w:hAnsi="宋体" w:cs="宋体"/>
          <w:color w:val="auto"/>
          <w:szCs w:val="21"/>
        </w:rPr>
        <w:t>2、本合同一式肆份，甲方执贰份、乙方执贰份，均具同等法律效力。合同自签字之日起即时生</w:t>
      </w:r>
      <w:r>
        <w:rPr>
          <w:rFonts w:hint="eastAsia" w:ascii="宋体" w:hAnsi="宋体" w:cs="宋体"/>
          <w:color w:val="auto"/>
          <w:szCs w:val="21"/>
          <w:lang w:val="en-US" w:eastAsia="zh-CN"/>
        </w:rPr>
        <w:t>效</w:t>
      </w:r>
      <w:r>
        <w:rPr>
          <w:rFonts w:hint="eastAsia" w:ascii="宋体" w:hAnsi="宋体" w:cs="宋体"/>
          <w:color w:val="auto"/>
          <w:szCs w:val="21"/>
        </w:rPr>
        <w:t>。</w:t>
      </w:r>
    </w:p>
    <w:p w14:paraId="4CFA66AE">
      <w:pPr>
        <w:pStyle w:val="52"/>
        <w:snapToGrid w:val="0"/>
        <w:spacing w:line="480" w:lineRule="exact"/>
        <w:ind w:firstLine="420" w:firstLineChars="200"/>
        <w:rPr>
          <w:rFonts w:hint="eastAsia" w:ascii="宋体" w:hAnsi="宋体" w:cs="宋体"/>
          <w:color w:val="auto"/>
          <w:szCs w:val="21"/>
        </w:rPr>
      </w:pPr>
      <w:r>
        <w:rPr>
          <w:rFonts w:hint="eastAsia" w:ascii="宋体" w:hAnsi="宋体" w:cs="宋体"/>
          <w:color w:val="auto"/>
          <w:szCs w:val="21"/>
        </w:rPr>
        <w:t>【以下无正文】</w:t>
      </w:r>
    </w:p>
    <w:p w14:paraId="7A1B3683">
      <w:pPr>
        <w:pStyle w:val="52"/>
        <w:spacing w:line="480" w:lineRule="exact"/>
        <w:ind w:firstLine="420" w:firstLineChars="200"/>
        <w:rPr>
          <w:rFonts w:hint="eastAsia" w:ascii="宋体" w:hAnsi="宋体" w:cs="宋体"/>
          <w:color w:val="auto"/>
          <w:szCs w:val="21"/>
        </w:rPr>
      </w:pPr>
    </w:p>
    <w:p w14:paraId="084730F0">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 xml:space="preserve">甲方（盖章）：                   乙方（盖章）： </w:t>
      </w:r>
    </w:p>
    <w:p w14:paraId="63906745">
      <w:pPr>
        <w:pStyle w:val="52"/>
        <w:spacing w:line="480" w:lineRule="exact"/>
        <w:ind w:firstLine="420" w:firstLineChars="200"/>
        <w:rPr>
          <w:rFonts w:hint="eastAsia" w:ascii="宋体" w:hAnsi="宋体" w:cs="宋体"/>
          <w:color w:val="auto"/>
          <w:szCs w:val="21"/>
        </w:rPr>
      </w:pPr>
      <w:r>
        <w:rPr>
          <w:rFonts w:hint="eastAsia" w:ascii="宋体" w:hAnsi="宋体" w:cs="宋体"/>
          <w:color w:val="auto"/>
          <w:szCs w:val="21"/>
        </w:rPr>
        <w:t>法定代表人或授权代表：           法定代表人或授权代表：</w:t>
      </w:r>
    </w:p>
    <w:p w14:paraId="7F63D50B">
      <w:pPr>
        <w:pStyle w:val="52"/>
        <w:snapToGrid w:val="0"/>
        <w:spacing w:line="480" w:lineRule="exact"/>
        <w:ind w:firstLine="420" w:firstLineChars="200"/>
        <w:jc w:val="left"/>
        <w:rPr>
          <w:rFonts w:hint="eastAsia" w:ascii="宋体" w:hAnsi="宋体" w:cs="宋体"/>
          <w:color w:val="auto"/>
          <w:szCs w:val="21"/>
        </w:rPr>
      </w:pPr>
      <w:r>
        <w:rPr>
          <w:rFonts w:hint="eastAsia" w:ascii="宋体" w:hAnsi="宋体" w:cs="宋体"/>
          <w:color w:val="auto"/>
          <w:szCs w:val="21"/>
        </w:rPr>
        <w:t>签订日期：    年   月   日</w:t>
      </w:r>
      <w:r>
        <w:rPr>
          <w:rFonts w:hint="eastAsia" w:ascii="宋体" w:hAnsi="宋体" w:cs="宋体"/>
          <w:color w:val="auto"/>
          <w:szCs w:val="21"/>
        </w:rPr>
        <w:tab/>
      </w:r>
      <w:r>
        <w:rPr>
          <w:rFonts w:hint="eastAsia" w:ascii="宋体" w:hAnsi="宋体" w:cs="宋体"/>
          <w:color w:val="auto"/>
          <w:szCs w:val="21"/>
        </w:rPr>
        <w:t xml:space="preserve">     签订日期：    年   月   日</w:t>
      </w:r>
    </w:p>
    <w:p w14:paraId="3F135771">
      <w:pPr>
        <w:pStyle w:val="52"/>
        <w:spacing w:line="480" w:lineRule="exact"/>
        <w:ind w:firstLine="420" w:firstLineChars="200"/>
        <w:rPr>
          <w:rFonts w:hint="eastAsia" w:ascii="宋体" w:hAnsi="宋体" w:cs="宋体"/>
          <w:color w:val="auto"/>
          <w:szCs w:val="21"/>
        </w:rPr>
      </w:pPr>
    </w:p>
    <w:p w14:paraId="1FADE6CF">
      <w:pPr>
        <w:pStyle w:val="52"/>
        <w:spacing w:line="480" w:lineRule="exact"/>
        <w:ind w:firstLine="420" w:firstLineChars="200"/>
        <w:rPr>
          <w:rFonts w:hint="eastAsia" w:ascii="宋体" w:hAnsi="宋体" w:cs="宋体"/>
          <w:color w:val="auto"/>
          <w:szCs w:val="21"/>
        </w:rPr>
      </w:pPr>
    </w:p>
    <w:p w14:paraId="06FE9C47">
      <w:pPr>
        <w:pStyle w:val="52"/>
        <w:spacing w:line="480" w:lineRule="exact"/>
        <w:ind w:firstLine="420" w:firstLineChars="200"/>
        <w:rPr>
          <w:rFonts w:hint="eastAsia" w:ascii="宋体" w:hAnsi="宋体" w:cs="宋体"/>
          <w:color w:val="auto"/>
          <w:szCs w:val="21"/>
          <w:lang w:val="en-US" w:eastAsia="zh-CN"/>
        </w:rPr>
      </w:pPr>
    </w:p>
    <w:p w14:paraId="23F9DA11">
      <w:pPr>
        <w:bidi w:val="0"/>
        <w:rPr>
          <w:rFonts w:hint="eastAsia"/>
          <w:color w:val="auto"/>
        </w:rPr>
      </w:pPr>
    </w:p>
    <w:p w14:paraId="75AD68B9">
      <w:pPr>
        <w:bidi w:val="0"/>
        <w:rPr>
          <w:rFonts w:hint="eastAsia"/>
          <w:color w:val="auto"/>
        </w:rPr>
      </w:pPr>
    </w:p>
    <w:p w14:paraId="2EC19AF1">
      <w:pPr>
        <w:bidi w:val="0"/>
        <w:rPr>
          <w:rFonts w:hint="eastAsia"/>
          <w:color w:val="auto"/>
        </w:rPr>
      </w:pPr>
    </w:p>
    <w:p w14:paraId="51F29CF7">
      <w:pPr>
        <w:bidi w:val="0"/>
        <w:rPr>
          <w:rFonts w:hint="eastAsia"/>
          <w:color w:val="auto"/>
        </w:rPr>
      </w:pPr>
    </w:p>
    <w:p w14:paraId="0739E356">
      <w:pPr>
        <w:bidi w:val="0"/>
        <w:rPr>
          <w:rFonts w:hint="eastAsia"/>
          <w:color w:val="auto"/>
        </w:rPr>
      </w:pPr>
    </w:p>
    <w:p w14:paraId="1AC0F718">
      <w:pPr>
        <w:pStyle w:val="13"/>
        <w:rPr>
          <w:rFonts w:hint="eastAsia"/>
          <w:color w:val="auto"/>
        </w:rPr>
      </w:pPr>
    </w:p>
    <w:p w14:paraId="63BFE74D">
      <w:pPr>
        <w:pStyle w:val="13"/>
        <w:rPr>
          <w:rFonts w:hint="eastAsia" w:ascii="宋体" w:hAnsi="宋体" w:eastAsia="宋体" w:cs="宋体"/>
          <w:color w:val="auto"/>
          <w:sz w:val="21"/>
          <w:szCs w:val="21"/>
        </w:rPr>
      </w:pPr>
    </w:p>
    <w:bookmarkEnd w:id="77"/>
    <w:bookmarkEnd w:id="78"/>
    <w:p w14:paraId="47A6695D">
      <w:pPr>
        <w:rPr>
          <w:rFonts w:hint="eastAsia"/>
          <w:color w:val="auto"/>
        </w:rPr>
      </w:pPr>
      <w:bookmarkStart w:id="81" w:name="_Toc203530304"/>
      <w:bookmarkStart w:id="82" w:name="_Toc203530308"/>
      <w:r>
        <w:rPr>
          <w:rFonts w:hint="eastAsia"/>
          <w:color w:val="auto"/>
        </w:rPr>
        <w:br w:type="page"/>
      </w:r>
    </w:p>
    <w:p w14:paraId="4A25B7B3">
      <w:pPr>
        <w:pStyle w:val="13"/>
        <w:rPr>
          <w:rFonts w:hint="eastAsia"/>
          <w:color w:val="auto"/>
        </w:rPr>
      </w:pPr>
    </w:p>
    <w:p w14:paraId="5CF21A13">
      <w:pPr>
        <w:pStyle w:val="25"/>
        <w:rPr>
          <w:rFonts w:hint="eastAsia"/>
          <w:color w:val="auto"/>
        </w:rPr>
      </w:pPr>
    </w:p>
    <w:p w14:paraId="5E9D4E32">
      <w:pPr>
        <w:pStyle w:val="4"/>
        <w:numPr>
          <w:ilvl w:val="0"/>
          <w:numId w:val="0"/>
        </w:numPr>
        <w:tabs>
          <w:tab w:val="clear" w:pos="842"/>
        </w:tabs>
        <w:ind w:left="992" w:firstLine="0"/>
        <w:rPr>
          <w:rFonts w:hint="eastAsia" w:ascii="宋体" w:hAnsi="宋体" w:cs="宋体"/>
          <w:b w:val="0"/>
          <w:color w:val="auto"/>
          <w:sz w:val="36"/>
          <w:highlight w:val="none"/>
        </w:rPr>
      </w:pPr>
    </w:p>
    <w:p w14:paraId="3A6836A9">
      <w:pPr>
        <w:pStyle w:val="4"/>
        <w:numPr>
          <w:ilvl w:val="0"/>
          <w:numId w:val="0"/>
        </w:numPr>
        <w:tabs>
          <w:tab w:val="clear" w:pos="842"/>
        </w:tabs>
        <w:ind w:left="992" w:firstLine="0"/>
        <w:rPr>
          <w:rFonts w:hint="eastAsia" w:ascii="宋体" w:hAnsi="宋体" w:cs="宋体"/>
          <w:b w:val="0"/>
          <w:color w:val="auto"/>
          <w:sz w:val="36"/>
          <w:highlight w:val="none"/>
        </w:rPr>
      </w:pPr>
    </w:p>
    <w:p w14:paraId="5E01C038">
      <w:pPr>
        <w:pStyle w:val="4"/>
        <w:numPr>
          <w:ilvl w:val="0"/>
          <w:numId w:val="0"/>
        </w:numPr>
        <w:tabs>
          <w:tab w:val="clear" w:pos="842"/>
        </w:tabs>
        <w:ind w:left="992" w:firstLine="0"/>
        <w:rPr>
          <w:rFonts w:hint="eastAsia" w:ascii="宋体" w:hAnsi="宋体" w:cs="宋体"/>
          <w:b w:val="0"/>
          <w:color w:val="auto"/>
          <w:sz w:val="36"/>
          <w:highlight w:val="none"/>
        </w:rPr>
      </w:pPr>
    </w:p>
    <w:p w14:paraId="6BEB0B36">
      <w:pPr>
        <w:pStyle w:val="4"/>
        <w:numPr>
          <w:ilvl w:val="0"/>
          <w:numId w:val="0"/>
        </w:numPr>
        <w:tabs>
          <w:tab w:val="clear" w:pos="842"/>
        </w:tabs>
        <w:ind w:left="992" w:firstLine="0"/>
        <w:rPr>
          <w:rFonts w:hint="eastAsia" w:ascii="宋体" w:hAnsi="宋体" w:cs="宋体"/>
          <w:b w:val="0"/>
          <w:color w:val="auto"/>
          <w:sz w:val="36"/>
          <w:highlight w:val="none"/>
        </w:rPr>
      </w:pPr>
    </w:p>
    <w:bookmarkEnd w:id="81"/>
    <w:bookmarkEnd w:id="82"/>
    <w:p w14:paraId="730CA997">
      <w:pPr>
        <w:adjustRightInd w:val="0"/>
        <w:snapToGrid w:val="0"/>
        <w:spacing w:line="360" w:lineRule="auto"/>
        <w:ind w:left="851" w:hanging="851"/>
        <w:jc w:val="center"/>
        <w:rPr>
          <w:rFonts w:hint="eastAsia" w:ascii="宋体" w:hAnsi="宋体" w:cs="宋体"/>
          <w:b/>
          <w:color w:val="auto"/>
          <w:sz w:val="44"/>
          <w:highlight w:val="none"/>
        </w:rPr>
      </w:pPr>
    </w:p>
    <w:p w14:paraId="0D9EB00A">
      <w:pPr>
        <w:adjustRightInd w:val="0"/>
        <w:snapToGrid w:val="0"/>
        <w:spacing w:line="360" w:lineRule="auto"/>
        <w:ind w:left="851" w:hanging="851"/>
        <w:jc w:val="center"/>
        <w:rPr>
          <w:rFonts w:hint="eastAsia" w:ascii="宋体" w:hAnsi="宋体" w:cs="宋体"/>
          <w:b/>
          <w:color w:val="auto"/>
          <w:sz w:val="44"/>
          <w:highlight w:val="none"/>
        </w:rPr>
      </w:pPr>
    </w:p>
    <w:p w14:paraId="01185E40">
      <w:pPr>
        <w:jc w:val="center"/>
        <w:outlineLvl w:val="0"/>
        <w:rPr>
          <w:rFonts w:hint="eastAsia" w:ascii="宋体" w:hAnsi="宋体" w:cs="宋体"/>
          <w:b/>
          <w:color w:val="auto"/>
          <w:sz w:val="44"/>
          <w:szCs w:val="44"/>
          <w:highlight w:val="none"/>
        </w:rPr>
      </w:pPr>
      <w:bookmarkStart w:id="83" w:name="_Toc31761"/>
      <w:r>
        <w:rPr>
          <w:rFonts w:hint="eastAsia" w:ascii="宋体" w:hAnsi="宋体" w:cs="宋体"/>
          <w:b/>
          <w:color w:val="auto"/>
          <w:sz w:val="44"/>
          <w:szCs w:val="44"/>
          <w:highlight w:val="none"/>
        </w:rPr>
        <w:t>第五章</w:t>
      </w:r>
      <w:bookmarkStart w:id="84" w:name="_Toc477186327"/>
      <w:bookmarkStart w:id="85" w:name="_Toc477185966"/>
      <w:r>
        <w:rPr>
          <w:rFonts w:hint="eastAsia" w:ascii="宋体" w:hAnsi="宋体" w:cs="宋体"/>
          <w:b/>
          <w:color w:val="auto"/>
          <w:sz w:val="44"/>
          <w:szCs w:val="44"/>
          <w:highlight w:val="none"/>
        </w:rPr>
        <w:t xml:space="preserve">  投标文件格式</w:t>
      </w:r>
      <w:bookmarkEnd w:id="83"/>
      <w:bookmarkEnd w:id="84"/>
      <w:bookmarkEnd w:id="85"/>
    </w:p>
    <w:p w14:paraId="37A82399">
      <w:pPr>
        <w:pStyle w:val="25"/>
        <w:ind w:firstLine="210"/>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b/>
          <w:color w:val="auto"/>
          <w:sz w:val="28"/>
          <w:szCs w:val="28"/>
          <w:highlight w:val="none"/>
        </w:rPr>
        <w:t>一、投标文件封面格式</w:t>
      </w:r>
    </w:p>
    <w:p w14:paraId="20D0F0D6">
      <w:pPr>
        <w:pStyle w:val="25"/>
        <w:ind w:firstLine="210"/>
        <w:rPr>
          <w:rFonts w:hint="eastAsia" w:ascii="宋体" w:hAnsi="宋体" w:cs="宋体"/>
          <w:color w:val="auto"/>
          <w:szCs w:val="21"/>
          <w:highlight w:val="none"/>
        </w:rPr>
      </w:pPr>
    </w:p>
    <w:p w14:paraId="3B99F7BF">
      <w:pPr>
        <w:pStyle w:val="25"/>
        <w:ind w:firstLine="210"/>
        <w:rPr>
          <w:rFonts w:hint="eastAsia" w:ascii="宋体" w:hAnsi="宋体" w:cs="宋体"/>
          <w:color w:val="auto"/>
          <w:szCs w:val="21"/>
          <w:highlight w:val="none"/>
        </w:rPr>
      </w:pPr>
    </w:p>
    <w:p w14:paraId="69DF3A27">
      <w:pPr>
        <w:pStyle w:val="25"/>
        <w:ind w:firstLine="210"/>
        <w:rPr>
          <w:rFonts w:hint="eastAsia" w:ascii="宋体" w:hAnsi="宋体" w:cs="宋体"/>
          <w:color w:val="auto"/>
          <w:szCs w:val="21"/>
          <w:highlight w:val="none"/>
        </w:rPr>
      </w:pPr>
    </w:p>
    <w:p w14:paraId="0F8F2ED8">
      <w:pPr>
        <w:pStyle w:val="9"/>
        <w:spacing w:before="20" w:after="20" w:line="360" w:lineRule="auto"/>
        <w:ind w:firstLine="560"/>
        <w:jc w:val="center"/>
        <w:rPr>
          <w:rFonts w:hint="eastAsia" w:ascii="宋体" w:hAnsi="宋体" w:cs="宋体"/>
          <w:color w:val="auto"/>
          <w:sz w:val="28"/>
          <w:szCs w:val="28"/>
          <w:highlight w:val="none"/>
        </w:rPr>
      </w:pPr>
    </w:p>
    <w:p w14:paraId="134738F8">
      <w:pPr>
        <w:pStyle w:val="14"/>
        <w:adjustRightInd w:val="0"/>
        <w:spacing w:before="48" w:beforeLines="20" w:after="48" w:afterLines="20"/>
        <w:ind w:firstLine="2100" w:firstLineChars="1000"/>
        <w:rPr>
          <w:rFonts w:hint="eastAsia" w:ascii="宋体" w:hAnsi="宋体" w:cs="宋体"/>
          <w:color w:val="auto"/>
          <w:highlight w:val="none"/>
        </w:rPr>
      </w:pPr>
    </w:p>
    <w:p w14:paraId="124F90C5">
      <w:pPr>
        <w:pStyle w:val="14"/>
        <w:adjustRightInd w:val="0"/>
        <w:spacing w:before="48" w:beforeLines="20" w:after="48" w:afterLines="20"/>
        <w:ind w:firstLine="2100" w:firstLineChars="1000"/>
        <w:rPr>
          <w:rFonts w:hint="eastAsia" w:ascii="宋体" w:hAnsi="宋体" w:cs="宋体"/>
          <w:color w:val="auto"/>
          <w:highlight w:val="none"/>
        </w:rPr>
      </w:pPr>
    </w:p>
    <w:p w14:paraId="0A187C88">
      <w:pPr>
        <w:adjustRightInd w:val="0"/>
        <w:snapToGrid w:val="0"/>
        <w:spacing w:before="48" w:beforeLines="20" w:after="48" w:afterLines="20" w:line="360" w:lineRule="auto"/>
        <w:rPr>
          <w:rFonts w:hint="eastAsia" w:ascii="宋体" w:hAnsi="宋体" w:cs="宋体"/>
          <w:color w:val="auto"/>
          <w:highlight w:val="none"/>
          <w:u w:val="single"/>
        </w:rPr>
      </w:pPr>
    </w:p>
    <w:p w14:paraId="6C5995D0">
      <w:pPr>
        <w:pStyle w:val="13"/>
        <w:adjustRightInd w:val="0"/>
        <w:snapToGrid w:val="0"/>
        <w:spacing w:before="48" w:beforeLines="20" w:after="48" w:afterLines="20" w:line="360" w:lineRule="auto"/>
        <w:jc w:val="center"/>
        <w:rPr>
          <w:rFonts w:hint="eastAsia" w:ascii="宋体" w:hAnsi="宋体" w:cs="宋体"/>
          <w:color w:val="auto"/>
          <w:sz w:val="84"/>
          <w:highlight w:val="none"/>
        </w:rPr>
      </w:pPr>
      <w:r>
        <w:rPr>
          <w:rFonts w:hint="eastAsia" w:ascii="宋体" w:hAnsi="宋体" w:cs="宋体"/>
          <w:color w:val="auto"/>
          <w:sz w:val="84"/>
          <w:highlight w:val="none"/>
        </w:rPr>
        <w:t>投  标  文  件</w:t>
      </w:r>
    </w:p>
    <w:p w14:paraId="27754D4E">
      <w:pPr>
        <w:pStyle w:val="13"/>
        <w:adjustRightInd w:val="0"/>
        <w:snapToGrid w:val="0"/>
        <w:spacing w:before="48" w:beforeLines="20" w:after="48" w:afterLines="20" w:line="360" w:lineRule="auto"/>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（项目编号：</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w:t>
      </w:r>
    </w:p>
    <w:p w14:paraId="0427BBA1">
      <w:pPr>
        <w:pStyle w:val="13"/>
        <w:adjustRightInd w:val="0"/>
        <w:snapToGrid w:val="0"/>
        <w:spacing w:before="48" w:beforeLines="20" w:after="48" w:afterLines="20" w:line="360" w:lineRule="auto"/>
        <w:ind w:firstLine="2700" w:firstLineChars="900"/>
        <w:jc w:val="both"/>
        <w:rPr>
          <w:rFonts w:hint="default" w:eastAsia="宋体"/>
          <w:color w:val="auto"/>
          <w:u w:val="single"/>
          <w:lang w:val="en-US" w:eastAsia="zh-CN"/>
        </w:rPr>
      </w:pPr>
      <w:r>
        <w:rPr>
          <w:rFonts w:hint="eastAsia" w:ascii="宋体" w:hAnsi="宋体" w:cs="宋体"/>
          <w:color w:val="auto"/>
          <w:sz w:val="30"/>
          <w:szCs w:val="30"/>
          <w:highlight w:val="none"/>
          <w:lang w:val="en-US" w:eastAsia="zh-CN"/>
        </w:rPr>
        <w:t>子包（）：</w:t>
      </w:r>
      <w:r>
        <w:rPr>
          <w:rFonts w:hint="eastAsia" w:ascii="宋体" w:hAnsi="宋体" w:cs="宋体"/>
          <w:color w:val="auto"/>
          <w:sz w:val="30"/>
          <w:szCs w:val="30"/>
          <w:highlight w:val="none"/>
          <w:u w:val="single"/>
          <w:lang w:val="en-US" w:eastAsia="zh-CN"/>
        </w:rPr>
        <w:t xml:space="preserve">            </w:t>
      </w:r>
    </w:p>
    <w:p w14:paraId="14FD9A87">
      <w:pPr>
        <w:adjustRightInd w:val="0"/>
        <w:snapToGrid w:val="0"/>
        <w:spacing w:before="48" w:beforeLines="20" w:after="48" w:afterLines="20" w:line="360" w:lineRule="auto"/>
        <w:jc w:val="center"/>
        <w:rPr>
          <w:rFonts w:hint="eastAsia" w:ascii="宋体" w:hAnsi="宋体" w:cs="宋体"/>
          <w:b/>
          <w:color w:val="auto"/>
          <w:highlight w:val="none"/>
        </w:rPr>
      </w:pPr>
    </w:p>
    <w:p w14:paraId="6F41ED2D">
      <w:pPr>
        <w:pStyle w:val="13"/>
        <w:rPr>
          <w:rFonts w:hint="eastAsia" w:ascii="宋体" w:hAnsi="宋体" w:cs="宋体"/>
          <w:b/>
          <w:color w:val="auto"/>
          <w:highlight w:val="none"/>
        </w:rPr>
      </w:pPr>
    </w:p>
    <w:p w14:paraId="10534DCA">
      <w:pPr>
        <w:pStyle w:val="14"/>
        <w:rPr>
          <w:rFonts w:hint="eastAsia"/>
          <w:color w:val="auto"/>
        </w:rPr>
      </w:pPr>
    </w:p>
    <w:p w14:paraId="1DEC9E79">
      <w:pPr>
        <w:adjustRightInd w:val="0"/>
        <w:snapToGrid w:val="0"/>
        <w:spacing w:before="48" w:beforeLines="20" w:after="48" w:afterLines="20" w:line="360" w:lineRule="auto"/>
        <w:jc w:val="center"/>
        <w:rPr>
          <w:rFonts w:hint="eastAsia" w:ascii="宋体" w:hAnsi="宋体" w:cs="宋体"/>
          <w:b/>
          <w:color w:val="auto"/>
          <w:highlight w:val="none"/>
        </w:rPr>
      </w:pPr>
    </w:p>
    <w:p w14:paraId="40861791">
      <w:pPr>
        <w:adjustRightInd w:val="0"/>
        <w:snapToGrid w:val="0"/>
        <w:spacing w:before="48" w:beforeLines="20" w:after="48" w:afterLines="20" w:line="360" w:lineRule="auto"/>
        <w:jc w:val="center"/>
        <w:rPr>
          <w:rFonts w:hint="eastAsia" w:ascii="宋体" w:hAnsi="宋体" w:cs="宋体"/>
          <w:b/>
          <w:color w:val="auto"/>
          <w:highlight w:val="none"/>
        </w:rPr>
      </w:pPr>
    </w:p>
    <w:p w14:paraId="7171226D">
      <w:pPr>
        <w:pStyle w:val="41"/>
        <w:suppressLineNumbers w:val="0"/>
        <w:adjustRightInd w:val="0"/>
        <w:snapToGrid w:val="0"/>
        <w:spacing w:before="48" w:beforeLines="20" w:after="48" w:afterLines="20" w:line="360" w:lineRule="auto"/>
        <w:rPr>
          <w:rFonts w:hint="eastAsia" w:ascii="宋体" w:hAnsi="宋体" w:cs="宋体"/>
          <w:bCs w:val="0"/>
          <w:color w:val="auto"/>
          <w:highlight w:val="none"/>
        </w:rPr>
      </w:pPr>
    </w:p>
    <w:p w14:paraId="06E5CD32">
      <w:pPr>
        <w:pStyle w:val="16"/>
        <w:adjustRightInd w:val="0"/>
        <w:snapToGrid w:val="0"/>
        <w:spacing w:before="48" w:beforeLines="20" w:after="48" w:afterLines="20" w:line="360" w:lineRule="auto"/>
        <w:ind w:left="130" w:leftChars="62" w:firstLine="711" w:firstLineChars="253"/>
        <w:rPr>
          <w:rFonts w:hint="eastAsia" w:ascii="宋体" w:hAnsi="宋体" w:cs="宋体"/>
          <w:b/>
          <w:bCs/>
          <w:color w:val="auto"/>
          <w:sz w:val="28"/>
          <w:szCs w:val="28"/>
          <w:highlight w:val="none"/>
          <w:u w:val="single"/>
        </w:rPr>
      </w:pPr>
      <w:r>
        <w:rPr>
          <w:rFonts w:hint="eastAsia" w:ascii="宋体" w:hAnsi="宋体" w:cs="宋体"/>
          <w:b/>
          <w:bCs/>
          <w:color w:val="auto"/>
          <w:sz w:val="28"/>
          <w:szCs w:val="28"/>
          <w:highlight w:val="none"/>
        </w:rPr>
        <w:t>项目名称：</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7B9FDADA">
      <w:pPr>
        <w:pStyle w:val="16"/>
        <w:adjustRightInd w:val="0"/>
        <w:snapToGrid w:val="0"/>
        <w:spacing w:before="48" w:beforeLines="20" w:after="48" w:afterLines="20" w:line="360" w:lineRule="auto"/>
        <w:ind w:left="130" w:leftChars="62" w:firstLine="711" w:firstLineChars="253"/>
        <w:rPr>
          <w:rFonts w:hint="eastAsia" w:ascii="宋体" w:hAnsi="宋体" w:cs="宋体"/>
          <w:color w:val="auto"/>
          <w:highlight w:val="none"/>
        </w:rPr>
      </w:pPr>
      <w:r>
        <w:rPr>
          <w:rFonts w:hint="eastAsia" w:ascii="宋体" w:hAnsi="宋体" w:cs="宋体"/>
          <w:b/>
          <w:bCs/>
          <w:color w:val="auto"/>
          <w:sz w:val="28"/>
          <w:szCs w:val="28"/>
          <w:highlight w:val="none"/>
        </w:rPr>
        <w:t>投 标 人：</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7E52FA8A">
      <w:pPr>
        <w:rPr>
          <w:rFonts w:hint="eastAsia" w:ascii="宋体" w:hAnsi="宋体" w:cs="宋体"/>
          <w:color w:val="auto"/>
          <w:highlight w:val="none"/>
        </w:rPr>
      </w:pPr>
    </w:p>
    <w:p w14:paraId="2B80C0C2">
      <w:pPr>
        <w:rPr>
          <w:rFonts w:hint="eastAsia" w:ascii="宋体" w:hAnsi="宋体" w:cs="宋体"/>
          <w:color w:val="auto"/>
          <w:highlight w:val="none"/>
        </w:rPr>
      </w:pPr>
    </w:p>
    <w:p w14:paraId="579A5FA6">
      <w:pPr>
        <w:rPr>
          <w:rFonts w:hint="eastAsia" w:ascii="宋体" w:hAnsi="宋体" w:cs="宋体"/>
          <w:color w:val="auto"/>
          <w:highlight w:val="none"/>
        </w:rPr>
      </w:pPr>
    </w:p>
    <w:p w14:paraId="2D539B46">
      <w:pPr>
        <w:rPr>
          <w:rFonts w:hint="eastAsia" w:ascii="宋体" w:hAnsi="宋体" w:cs="宋体"/>
          <w:color w:val="auto"/>
          <w:highlight w:val="none"/>
        </w:rPr>
      </w:pPr>
    </w:p>
    <w:p w14:paraId="4157C0AE">
      <w:pPr>
        <w:rPr>
          <w:rFonts w:hint="eastAsia" w:ascii="宋体" w:hAnsi="宋体" w:cs="宋体"/>
          <w:color w:val="auto"/>
          <w:highlight w:val="none"/>
        </w:rPr>
      </w:pPr>
    </w:p>
    <w:p w14:paraId="115ECD6C">
      <w:pPr>
        <w:rPr>
          <w:rFonts w:hint="eastAsia" w:ascii="宋体" w:hAnsi="宋体" w:cs="宋体"/>
          <w:color w:val="auto"/>
          <w:highlight w:val="none"/>
        </w:rPr>
      </w:pPr>
    </w:p>
    <w:p w14:paraId="0124E157">
      <w:pPr>
        <w:rPr>
          <w:rFonts w:hint="eastAsia" w:ascii="宋体" w:hAnsi="宋体" w:cs="宋体"/>
          <w:color w:val="auto"/>
          <w:highlight w:val="none"/>
        </w:rPr>
      </w:pPr>
    </w:p>
    <w:p w14:paraId="1D45F454">
      <w:pPr>
        <w:rPr>
          <w:rFonts w:hint="eastAsia" w:ascii="宋体" w:hAnsi="宋体" w:cs="宋体"/>
          <w:color w:val="auto"/>
          <w:highlight w:val="none"/>
        </w:rPr>
      </w:pPr>
    </w:p>
    <w:p w14:paraId="791B5952">
      <w:pPr>
        <w:rPr>
          <w:rFonts w:hint="eastAsia" w:ascii="宋体" w:hAnsi="宋体" w:cs="宋体"/>
          <w:color w:val="auto"/>
          <w:highlight w:val="none"/>
        </w:rPr>
      </w:pPr>
    </w:p>
    <w:p w14:paraId="06F0CAC1">
      <w:pPr>
        <w:rPr>
          <w:rFonts w:hint="eastAsia" w:ascii="宋体" w:hAnsi="宋体" w:cs="宋体"/>
          <w:color w:val="auto"/>
          <w:highlight w:val="none"/>
        </w:rPr>
      </w:pPr>
    </w:p>
    <w:p w14:paraId="494DAA59">
      <w:pPr>
        <w:rPr>
          <w:rFonts w:hint="eastAsia" w:ascii="宋体" w:hAnsi="宋体" w:cs="宋体"/>
          <w:color w:val="auto"/>
          <w:highlight w:val="none"/>
        </w:rPr>
      </w:pPr>
    </w:p>
    <w:p w14:paraId="2CC1EE86">
      <w:pPr>
        <w:rPr>
          <w:rFonts w:hint="eastAsia" w:ascii="宋体" w:hAnsi="宋体" w:cs="宋体"/>
          <w:color w:val="auto"/>
          <w:highlight w:val="none"/>
        </w:rPr>
      </w:pPr>
    </w:p>
    <w:p w14:paraId="1F91A56F">
      <w:pPr>
        <w:rPr>
          <w:rFonts w:hint="eastAsia" w:ascii="宋体" w:hAnsi="宋体" w:cs="宋体"/>
          <w:color w:val="auto"/>
          <w:highlight w:val="none"/>
        </w:rPr>
      </w:pPr>
    </w:p>
    <w:p w14:paraId="6724527F">
      <w:pPr>
        <w:rPr>
          <w:rFonts w:hint="eastAsia" w:ascii="宋体" w:hAnsi="宋体" w:cs="宋体"/>
          <w:color w:val="auto"/>
          <w:highlight w:val="none"/>
        </w:rPr>
      </w:pPr>
    </w:p>
    <w:p w14:paraId="7A5C7964">
      <w:pPr>
        <w:rPr>
          <w:rFonts w:hint="eastAsia" w:ascii="宋体" w:hAnsi="宋体" w:cs="宋体"/>
          <w:b/>
          <w:color w:val="auto"/>
          <w:sz w:val="28"/>
          <w:szCs w:val="28"/>
          <w:highlight w:val="none"/>
        </w:rPr>
      </w:pPr>
      <w:bookmarkStart w:id="86" w:name="_Hlt493478646"/>
      <w:bookmarkEnd w:id="86"/>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二、自查表</w:t>
      </w:r>
    </w:p>
    <w:p w14:paraId="6F607288">
      <w:pPr>
        <w:pStyle w:val="17"/>
        <w:rPr>
          <w:rFonts w:hint="eastAsia" w:hAnsi="宋体" w:cs="宋体"/>
          <w:color w:val="auto"/>
          <w:highlight w:val="none"/>
        </w:rPr>
      </w:pPr>
    </w:p>
    <w:p w14:paraId="02435EC9">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符合性审查表（阶段一）</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4E3C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7D760BA6">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noWrap w:val="0"/>
            <w:vAlign w:val="center"/>
          </w:tcPr>
          <w:p w14:paraId="3C9E5418">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noWrap w:val="0"/>
            <w:vAlign w:val="center"/>
          </w:tcPr>
          <w:p w14:paraId="796E58FF">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5D24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1E1A9F35">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noWrap w:val="0"/>
            <w:vAlign w:val="center"/>
          </w:tcPr>
          <w:p w14:paraId="6720E0C9">
            <w:pPr>
              <w:rPr>
                <w:rFonts w:hint="eastAsia" w:ascii="宋体" w:hAnsi="宋体"/>
                <w:color w:val="auto"/>
                <w:szCs w:val="21"/>
                <w:highlight w:val="none"/>
              </w:rPr>
            </w:pPr>
            <w:r>
              <w:rPr>
                <w:rFonts w:hint="eastAsia" w:ascii="宋体" w:hAnsi="宋体" w:cs="宋体"/>
                <w:color w:val="auto"/>
                <w:szCs w:val="21"/>
                <w:highlight w:val="none"/>
              </w:rPr>
              <w:t>符合合格投标人资格条件；</w:t>
            </w:r>
          </w:p>
        </w:tc>
        <w:tc>
          <w:tcPr>
            <w:tcW w:w="2544" w:type="dxa"/>
            <w:noWrap w:val="0"/>
            <w:vAlign w:val="center"/>
          </w:tcPr>
          <w:p w14:paraId="40422DB0">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2995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BCC7544">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noWrap w:val="0"/>
            <w:vAlign w:val="center"/>
          </w:tcPr>
          <w:p w14:paraId="6CE434D8">
            <w:pPr>
              <w:rPr>
                <w:rFonts w:hint="eastAsia" w:ascii="宋体" w:hAnsi="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2544" w:type="dxa"/>
            <w:noWrap w:val="0"/>
            <w:vAlign w:val="center"/>
          </w:tcPr>
          <w:p w14:paraId="4EB2F1B5">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6431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29AED9C0">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noWrap w:val="0"/>
            <w:vAlign w:val="center"/>
          </w:tcPr>
          <w:p w14:paraId="1154632F">
            <w:pPr>
              <w:rPr>
                <w:rFonts w:hint="eastAsia" w:ascii="宋体" w:hAnsi="宋体"/>
                <w:color w:val="auto"/>
                <w:szCs w:val="21"/>
                <w:highlight w:val="none"/>
              </w:rPr>
            </w:pPr>
            <w:r>
              <w:rPr>
                <w:rFonts w:hint="eastAsia" w:ascii="宋体" w:hAnsi="宋体" w:cs="宋体"/>
                <w:color w:val="auto"/>
                <w:szCs w:val="21"/>
                <w:highlight w:val="none"/>
              </w:rPr>
              <w:t>投标有效期满足招标文件要求；</w:t>
            </w:r>
          </w:p>
        </w:tc>
        <w:tc>
          <w:tcPr>
            <w:tcW w:w="2544" w:type="dxa"/>
            <w:noWrap w:val="0"/>
            <w:vAlign w:val="center"/>
          </w:tcPr>
          <w:p w14:paraId="51327F53">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67B0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7077225">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noWrap w:val="0"/>
            <w:vAlign w:val="center"/>
          </w:tcPr>
          <w:p w14:paraId="357DFD7D">
            <w:pPr>
              <w:rPr>
                <w:rFonts w:hint="eastAsia" w:ascii="宋体" w:hAnsi="宋体"/>
                <w:color w:val="auto"/>
                <w:szCs w:val="21"/>
                <w:highlight w:val="none"/>
              </w:rPr>
            </w:pPr>
            <w:r>
              <w:rPr>
                <w:rFonts w:hint="eastAsia" w:ascii="宋体" w:hAnsi="宋体" w:cs="宋体"/>
                <w:color w:val="auto"/>
                <w:szCs w:val="21"/>
                <w:highlight w:val="none"/>
              </w:rPr>
              <w:t>按招标文件要求提交投标保证金；</w:t>
            </w:r>
          </w:p>
        </w:tc>
        <w:tc>
          <w:tcPr>
            <w:tcW w:w="2544" w:type="dxa"/>
            <w:noWrap w:val="0"/>
            <w:vAlign w:val="center"/>
          </w:tcPr>
          <w:p w14:paraId="278BF627">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1D80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5760855B">
            <w:pPr>
              <w:spacing w:line="24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5049" w:type="dxa"/>
            <w:noWrap w:val="0"/>
            <w:vAlign w:val="center"/>
          </w:tcPr>
          <w:p w14:paraId="52A631FE">
            <w:pPr>
              <w:rPr>
                <w:rFonts w:hint="eastAsia" w:ascii="宋体" w:hAnsi="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2544" w:type="dxa"/>
            <w:noWrap w:val="0"/>
            <w:vAlign w:val="center"/>
          </w:tcPr>
          <w:p w14:paraId="0081C079">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5B8D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03735402">
            <w:pPr>
              <w:spacing w:line="24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5049" w:type="dxa"/>
            <w:noWrap w:val="0"/>
            <w:vAlign w:val="center"/>
          </w:tcPr>
          <w:p w14:paraId="5A29B6C9">
            <w:pPr>
              <w:rPr>
                <w:rFonts w:hint="eastAsia" w:ascii="宋体" w:hAnsi="宋体"/>
                <w:color w:val="auto"/>
                <w:szCs w:val="21"/>
                <w:highlight w:val="none"/>
              </w:rPr>
            </w:pPr>
            <w:r>
              <w:rPr>
                <w:rFonts w:hint="eastAsia" w:ascii="宋体" w:hAnsi="宋体" w:cs="宋体"/>
                <w:color w:val="auto"/>
                <w:szCs w:val="21"/>
                <w:highlight w:val="none"/>
              </w:rPr>
              <w:t>投标文件未附有招标人不能接受的条件的。</w:t>
            </w:r>
          </w:p>
        </w:tc>
        <w:tc>
          <w:tcPr>
            <w:tcW w:w="2544" w:type="dxa"/>
            <w:noWrap w:val="0"/>
            <w:vAlign w:val="center"/>
          </w:tcPr>
          <w:p w14:paraId="7F6C52A9">
            <w:pPr>
              <w:spacing w:line="240" w:lineRule="exact"/>
              <w:rPr>
                <w:rFonts w:hint="eastAsia" w:ascii="宋体" w:hAnsi="宋体"/>
                <w:color w:val="auto"/>
                <w:szCs w:val="21"/>
                <w:highlight w:val="none"/>
              </w:rPr>
            </w:pPr>
            <w:r>
              <w:rPr>
                <w:rFonts w:hint="eastAsia" w:ascii="宋体" w:hAnsi="宋体"/>
                <w:color w:val="auto"/>
                <w:szCs w:val="21"/>
                <w:highlight w:val="none"/>
                <w:lang w:val="en-US" w:eastAsia="zh-CN"/>
              </w:rPr>
              <w:t>/</w:t>
            </w:r>
          </w:p>
        </w:tc>
      </w:tr>
      <w:tr w14:paraId="6189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ins w:id="0" w:author="胡美欢" w:date="2026-09-20T16:53:24Z"/>
        </w:trPr>
        <w:tc>
          <w:tcPr>
            <w:tcW w:w="1125" w:type="dxa"/>
            <w:noWrap w:val="0"/>
            <w:vAlign w:val="center"/>
          </w:tcPr>
          <w:p w14:paraId="2F4C5937">
            <w:pPr>
              <w:spacing w:line="240" w:lineRule="exact"/>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7</w:t>
            </w:r>
          </w:p>
        </w:tc>
        <w:tc>
          <w:tcPr>
            <w:tcW w:w="5049" w:type="dxa"/>
            <w:noWrap w:val="0"/>
            <w:vAlign w:val="center"/>
          </w:tcPr>
          <w:p w14:paraId="1FD6DD2F">
            <w:pPr>
              <w:rPr>
                <w:rFonts w:hint="eastAsia" w:ascii="宋体" w:hAnsi="宋体" w:cs="宋体"/>
                <w:color w:val="auto"/>
                <w:szCs w:val="21"/>
                <w:highlight w:val="none"/>
              </w:rPr>
            </w:pP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未被推荐为</w:t>
            </w:r>
            <w:r>
              <w:rPr>
                <w:rFonts w:hint="eastAsia" w:ascii="宋体" w:hAnsi="宋体" w:cs="宋体"/>
                <w:color w:val="auto"/>
                <w:szCs w:val="21"/>
                <w:highlight w:val="none"/>
                <w:lang w:val="en-US" w:eastAsia="zh-CN"/>
              </w:rPr>
              <w:t>子包一、或子包二、或子包三</w:t>
            </w:r>
            <w:r>
              <w:rPr>
                <w:rFonts w:hint="eastAsia" w:ascii="宋体" w:hAnsi="宋体" w:cs="宋体"/>
                <w:color w:val="auto"/>
                <w:szCs w:val="21"/>
                <w:highlight w:val="none"/>
              </w:rPr>
              <w:t>的第一中标候选人</w:t>
            </w:r>
            <w:r>
              <w:rPr>
                <w:rFonts w:hint="eastAsia" w:ascii="宋体" w:hAnsi="宋体" w:cs="宋体"/>
                <w:color w:val="auto"/>
                <w:szCs w:val="21"/>
                <w:highlight w:val="none"/>
                <w:lang w:eastAsia="zh-CN"/>
              </w:rPr>
              <w:t>。</w:t>
            </w:r>
          </w:p>
        </w:tc>
        <w:tc>
          <w:tcPr>
            <w:tcW w:w="2544" w:type="dxa"/>
            <w:noWrap w:val="0"/>
            <w:vAlign w:val="center"/>
          </w:tcPr>
          <w:p w14:paraId="2E686E1E">
            <w:pPr>
              <w:spacing w:line="24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w:t>
            </w:r>
          </w:p>
        </w:tc>
      </w:tr>
    </w:tbl>
    <w:p w14:paraId="2240EB36">
      <w:pPr>
        <w:jc w:val="left"/>
        <w:rPr>
          <w:rFonts w:hint="eastAsia" w:ascii="宋体" w:hAnsi="宋体"/>
          <w:color w:val="auto"/>
          <w:szCs w:val="21"/>
          <w:highlight w:val="none"/>
        </w:rPr>
      </w:pPr>
    </w:p>
    <w:p w14:paraId="61714B13">
      <w:pPr>
        <w:jc w:val="center"/>
        <w:rPr>
          <w:rFonts w:hint="eastAsia" w:ascii="宋体" w:hAnsi="宋体"/>
          <w:b/>
          <w:color w:val="auto"/>
          <w:sz w:val="28"/>
          <w:szCs w:val="28"/>
          <w:highlight w:val="none"/>
        </w:rPr>
      </w:pPr>
    </w:p>
    <w:p w14:paraId="25C008C2">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符合性审查表（阶段二）</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2E92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F82D263">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noWrap w:val="0"/>
            <w:vAlign w:val="center"/>
          </w:tcPr>
          <w:p w14:paraId="0700C8F1">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noWrap w:val="0"/>
            <w:vAlign w:val="center"/>
          </w:tcPr>
          <w:p w14:paraId="3860668E">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7410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30F7A438">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noWrap w:val="0"/>
            <w:vAlign w:val="center"/>
          </w:tcPr>
          <w:p w14:paraId="01CFD1DD">
            <w:pPr>
              <w:rPr>
                <w:rFonts w:hint="eastAsia" w:ascii="宋体" w:hAnsi="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2544" w:type="dxa"/>
            <w:noWrap w:val="0"/>
            <w:vAlign w:val="center"/>
          </w:tcPr>
          <w:p w14:paraId="689E2B7E">
            <w:pPr>
              <w:spacing w:line="240" w:lineRule="exact"/>
              <w:rPr>
                <w:rFonts w:hint="eastAsia" w:ascii="宋体" w:hAnsi="宋体"/>
                <w:color w:val="auto"/>
                <w:szCs w:val="21"/>
                <w:highlight w:val="none"/>
              </w:rPr>
            </w:pPr>
            <w:r>
              <w:rPr>
                <w:rFonts w:hint="eastAsia" w:ascii="宋体" w:hAnsi="宋体"/>
                <w:color w:val="auto"/>
                <w:szCs w:val="21"/>
                <w:highlight w:val="none"/>
                <w:lang w:val="en-US" w:eastAsia="zh-CN"/>
              </w:rPr>
              <w:t>/</w:t>
            </w:r>
          </w:p>
        </w:tc>
      </w:tr>
      <w:tr w14:paraId="208F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0E18AD3B">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noWrap w:val="0"/>
            <w:vAlign w:val="center"/>
          </w:tcPr>
          <w:p w14:paraId="5E02B181">
            <w:pPr>
              <w:rPr>
                <w:rFonts w:hint="eastAsia" w:ascii="宋体" w:hAnsi="宋体"/>
                <w:color w:val="auto"/>
                <w:szCs w:val="21"/>
                <w:highlight w:val="none"/>
              </w:rPr>
            </w:pPr>
            <w:r>
              <w:rPr>
                <w:rFonts w:hint="eastAsia" w:ascii="宋体" w:hAnsi="宋体" w:cs="宋体"/>
                <w:color w:val="auto"/>
                <w:szCs w:val="21"/>
                <w:highlight w:val="none"/>
              </w:rPr>
              <w:t>投标人的投标报价没有超过本项目的最高限价；</w:t>
            </w:r>
          </w:p>
        </w:tc>
        <w:tc>
          <w:tcPr>
            <w:tcW w:w="2544" w:type="dxa"/>
            <w:noWrap w:val="0"/>
            <w:vAlign w:val="center"/>
          </w:tcPr>
          <w:p w14:paraId="3E5C76DB">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6114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4C21E07C">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noWrap w:val="0"/>
            <w:vAlign w:val="center"/>
          </w:tcPr>
          <w:p w14:paraId="2C06CEA8">
            <w:pPr>
              <w:rPr>
                <w:rFonts w:hint="eastAsia" w:ascii="宋体" w:hAnsi="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2544" w:type="dxa"/>
            <w:noWrap w:val="0"/>
            <w:vAlign w:val="center"/>
          </w:tcPr>
          <w:p w14:paraId="00D6EC53">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68B7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noWrap w:val="0"/>
            <w:vAlign w:val="center"/>
          </w:tcPr>
          <w:p w14:paraId="7D2C4A96">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noWrap w:val="0"/>
            <w:vAlign w:val="center"/>
          </w:tcPr>
          <w:p w14:paraId="0C7DE15D">
            <w:pPr>
              <w:rPr>
                <w:rFonts w:hint="eastAsia" w:ascii="宋体" w:hAnsi="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2544" w:type="dxa"/>
            <w:noWrap w:val="0"/>
            <w:vAlign w:val="center"/>
          </w:tcPr>
          <w:p w14:paraId="329051D4">
            <w:pPr>
              <w:spacing w:line="240" w:lineRule="exact"/>
              <w:rPr>
                <w:rFonts w:hint="eastAsia" w:ascii="宋体" w:hAnsi="宋体"/>
                <w:color w:val="auto"/>
                <w:szCs w:val="21"/>
                <w:highlight w:val="none"/>
              </w:rPr>
            </w:pPr>
            <w:r>
              <w:rPr>
                <w:rFonts w:hint="eastAsia" w:ascii="宋体" w:hAnsi="宋体"/>
                <w:color w:val="auto"/>
                <w:szCs w:val="21"/>
                <w:highlight w:val="none"/>
                <w:lang w:val="en-US" w:eastAsia="zh-CN"/>
              </w:rPr>
              <w:t>/</w:t>
            </w:r>
          </w:p>
        </w:tc>
      </w:tr>
    </w:tbl>
    <w:p w14:paraId="7EF1B4B6">
      <w:pPr>
        <w:jc w:val="left"/>
        <w:rPr>
          <w:rFonts w:hint="eastAsia" w:ascii="宋体" w:hAnsi="宋体" w:cs="宋体"/>
          <w:b/>
          <w:bCs/>
          <w:color w:val="auto"/>
          <w:sz w:val="28"/>
          <w:highlight w:val="none"/>
        </w:rPr>
      </w:pPr>
      <w:r>
        <w:rPr>
          <w:rFonts w:hint="eastAsia" w:ascii="宋体" w:hAnsi="宋体"/>
          <w:color w:val="auto"/>
          <w:szCs w:val="21"/>
          <w:highlight w:val="none"/>
        </w:rPr>
        <w:t>注：以上（阶段一、阶段二）的材料将作为投标人符合性审查的重要内容，投标人必须严格按照其内容及序列要求在投标文件中对应如实提供，对符合性证明文件的任何缺漏和不符合项将会直接导致无效投标</w:t>
      </w:r>
      <w:r>
        <w:rPr>
          <w:rFonts w:hint="eastAsia" w:ascii="宋体" w:hAnsi="宋体" w:cs="宋体"/>
          <w:color w:val="auto"/>
          <w:szCs w:val="21"/>
          <w:highlight w:val="none"/>
        </w:rPr>
        <w:t>！</w:t>
      </w:r>
    </w:p>
    <w:p w14:paraId="4CE3E6CB">
      <w:pPr>
        <w:jc w:val="center"/>
        <w:rPr>
          <w:rFonts w:hint="eastAsia" w:ascii="宋体" w:hAnsi="宋体" w:cs="宋体"/>
          <w:b/>
          <w:bCs/>
          <w:color w:val="auto"/>
          <w:sz w:val="28"/>
          <w:highlight w:val="none"/>
        </w:rPr>
      </w:pPr>
    </w:p>
    <w:p w14:paraId="60E68DE4">
      <w:pPr>
        <w:jc w:val="center"/>
        <w:rPr>
          <w:rFonts w:hint="eastAsia" w:ascii="宋体" w:hAnsi="宋体" w:cs="宋体"/>
          <w:b/>
          <w:bCs/>
          <w:color w:val="auto"/>
          <w:sz w:val="30"/>
          <w:highlight w:val="none"/>
        </w:rPr>
      </w:pPr>
      <w:r>
        <w:rPr>
          <w:rFonts w:hint="eastAsia" w:ascii="宋体" w:hAnsi="宋体" w:cs="宋体"/>
          <w:b/>
          <w:bCs/>
          <w:color w:val="auto"/>
          <w:sz w:val="28"/>
          <w:highlight w:val="none"/>
        </w:rPr>
        <w:t>技术评审自查表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5036"/>
        <w:gridCol w:w="2558"/>
      </w:tblGrid>
      <w:tr w14:paraId="3E77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10F7F64E">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36" w:type="dxa"/>
            <w:noWrap w:val="0"/>
            <w:vAlign w:val="center"/>
          </w:tcPr>
          <w:p w14:paraId="4172A3C4">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58" w:type="dxa"/>
            <w:noWrap w:val="0"/>
            <w:vAlign w:val="center"/>
          </w:tcPr>
          <w:p w14:paraId="0AF13B4B">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332B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3B8992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36" w:type="dxa"/>
            <w:noWrap w:val="0"/>
            <w:vAlign w:val="center"/>
          </w:tcPr>
          <w:p w14:paraId="34A652EA">
            <w:pPr>
              <w:pStyle w:val="43"/>
              <w:spacing w:line="360" w:lineRule="auto"/>
              <w:jc w:val="left"/>
              <w:rPr>
                <w:rFonts w:hint="eastAsia" w:ascii="宋体" w:hAnsi="宋体" w:cs="宋体"/>
                <w:color w:val="auto"/>
                <w:szCs w:val="21"/>
                <w:highlight w:val="none"/>
              </w:rPr>
            </w:pPr>
          </w:p>
        </w:tc>
        <w:tc>
          <w:tcPr>
            <w:tcW w:w="2558" w:type="dxa"/>
            <w:noWrap w:val="0"/>
            <w:vAlign w:val="center"/>
          </w:tcPr>
          <w:p w14:paraId="0DF48887">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5861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1E37BAC1">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36" w:type="dxa"/>
            <w:noWrap w:val="0"/>
            <w:vAlign w:val="center"/>
          </w:tcPr>
          <w:p w14:paraId="7BFEFFE2">
            <w:pPr>
              <w:pStyle w:val="43"/>
              <w:spacing w:line="360" w:lineRule="auto"/>
              <w:jc w:val="left"/>
              <w:rPr>
                <w:rFonts w:hint="eastAsia" w:ascii="宋体" w:hAnsi="宋体" w:cs="宋体"/>
                <w:color w:val="auto"/>
                <w:szCs w:val="21"/>
                <w:highlight w:val="none"/>
              </w:rPr>
            </w:pPr>
          </w:p>
        </w:tc>
        <w:tc>
          <w:tcPr>
            <w:tcW w:w="2558" w:type="dxa"/>
            <w:noWrap w:val="0"/>
            <w:vAlign w:val="center"/>
          </w:tcPr>
          <w:p w14:paraId="0B2DD84D">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6BEE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148CBE72">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36" w:type="dxa"/>
            <w:noWrap w:val="0"/>
            <w:vAlign w:val="center"/>
          </w:tcPr>
          <w:p w14:paraId="3188853C">
            <w:pPr>
              <w:spacing w:line="360" w:lineRule="auto"/>
              <w:jc w:val="left"/>
              <w:rPr>
                <w:rFonts w:hint="eastAsia" w:ascii="宋体" w:hAnsi="宋体" w:cs="宋体"/>
                <w:color w:val="auto"/>
                <w:szCs w:val="21"/>
                <w:highlight w:val="none"/>
              </w:rPr>
            </w:pPr>
          </w:p>
        </w:tc>
        <w:tc>
          <w:tcPr>
            <w:tcW w:w="2558" w:type="dxa"/>
            <w:noWrap w:val="0"/>
            <w:vAlign w:val="center"/>
          </w:tcPr>
          <w:p w14:paraId="61A9A62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7A45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4C936532">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36" w:type="dxa"/>
            <w:noWrap w:val="0"/>
            <w:vAlign w:val="center"/>
          </w:tcPr>
          <w:p w14:paraId="1A0EE270">
            <w:pPr>
              <w:adjustRightInd w:val="0"/>
              <w:snapToGrid w:val="0"/>
              <w:jc w:val="left"/>
              <w:rPr>
                <w:rFonts w:hint="eastAsia" w:ascii="宋体" w:hAnsi="宋体" w:cs="宋体"/>
                <w:color w:val="auto"/>
                <w:szCs w:val="21"/>
                <w:highlight w:val="none"/>
              </w:rPr>
            </w:pPr>
          </w:p>
        </w:tc>
        <w:tc>
          <w:tcPr>
            <w:tcW w:w="2558" w:type="dxa"/>
            <w:noWrap w:val="0"/>
            <w:vAlign w:val="center"/>
          </w:tcPr>
          <w:p w14:paraId="70A3B50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45D5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noWrap w:val="0"/>
            <w:vAlign w:val="center"/>
          </w:tcPr>
          <w:p w14:paraId="100D31F9">
            <w:pPr>
              <w:spacing w:line="240" w:lineRule="exact"/>
              <w:jc w:val="center"/>
              <w:rPr>
                <w:rFonts w:hint="eastAsia" w:ascii="宋体" w:hAnsi="宋体" w:cs="宋体"/>
                <w:color w:val="auto"/>
                <w:szCs w:val="21"/>
                <w:highlight w:val="none"/>
              </w:rPr>
            </w:pPr>
          </w:p>
        </w:tc>
        <w:tc>
          <w:tcPr>
            <w:tcW w:w="5036" w:type="dxa"/>
            <w:noWrap w:val="0"/>
            <w:vAlign w:val="center"/>
          </w:tcPr>
          <w:p w14:paraId="5576F33B">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58" w:type="dxa"/>
            <w:noWrap w:val="0"/>
            <w:vAlign w:val="center"/>
          </w:tcPr>
          <w:p w14:paraId="7697A89C">
            <w:pPr>
              <w:spacing w:line="240" w:lineRule="exact"/>
              <w:rPr>
                <w:rFonts w:hint="eastAsia" w:ascii="宋体" w:hAnsi="宋体" w:cs="宋体"/>
                <w:color w:val="auto"/>
                <w:szCs w:val="21"/>
                <w:highlight w:val="none"/>
              </w:rPr>
            </w:pPr>
          </w:p>
        </w:tc>
      </w:tr>
    </w:tbl>
    <w:p w14:paraId="61719ADB">
      <w:pPr>
        <w:pStyle w:val="12"/>
        <w:spacing w:after="0"/>
        <w:ind w:left="424" w:hanging="424" w:hangingChars="202"/>
        <w:rPr>
          <w:rFonts w:hint="eastAsia" w:ascii="宋体" w:hAnsi="宋体" w:cs="宋体"/>
          <w:color w:val="auto"/>
          <w:sz w:val="21"/>
          <w:szCs w:val="21"/>
          <w:highlight w:val="none"/>
          <w:lang w:val="en-GB"/>
        </w:rPr>
      </w:pPr>
    </w:p>
    <w:p w14:paraId="7D26BD53">
      <w:pPr>
        <w:pStyle w:val="12"/>
        <w:spacing w:after="0"/>
        <w:rPr>
          <w:rFonts w:hint="eastAsia" w:ascii="宋体" w:hAnsi="宋体" w:cs="宋体"/>
          <w:color w:val="auto"/>
          <w:sz w:val="21"/>
          <w:szCs w:val="21"/>
          <w:highlight w:val="none"/>
        </w:rPr>
      </w:pPr>
    </w:p>
    <w:p w14:paraId="42975445">
      <w:pPr>
        <w:jc w:val="center"/>
        <w:rPr>
          <w:rFonts w:hint="eastAsia" w:ascii="宋体" w:hAnsi="宋体" w:cs="宋体"/>
          <w:b/>
          <w:bCs/>
          <w:color w:val="auto"/>
          <w:sz w:val="28"/>
          <w:highlight w:val="none"/>
        </w:rPr>
      </w:pPr>
    </w:p>
    <w:p w14:paraId="68101D40">
      <w:pPr>
        <w:jc w:val="center"/>
        <w:rPr>
          <w:rFonts w:hint="eastAsia" w:ascii="宋体" w:hAnsi="宋体" w:cs="宋体"/>
          <w:b/>
          <w:bCs/>
          <w:color w:val="auto"/>
          <w:sz w:val="28"/>
          <w:highlight w:val="none"/>
        </w:rPr>
      </w:pPr>
    </w:p>
    <w:p w14:paraId="563E0846">
      <w:pPr>
        <w:jc w:val="center"/>
        <w:rPr>
          <w:rFonts w:hint="eastAsia" w:ascii="宋体" w:hAnsi="宋体" w:cs="宋体"/>
          <w:b/>
          <w:bCs/>
          <w:color w:val="auto"/>
          <w:sz w:val="28"/>
          <w:highlight w:val="none"/>
        </w:rPr>
      </w:pPr>
    </w:p>
    <w:p w14:paraId="5216A943">
      <w:pPr>
        <w:jc w:val="center"/>
        <w:rPr>
          <w:rFonts w:hint="eastAsia" w:ascii="宋体" w:hAnsi="宋体" w:cs="宋体"/>
          <w:b/>
          <w:bCs/>
          <w:color w:val="auto"/>
          <w:sz w:val="28"/>
          <w:highlight w:val="none"/>
        </w:rPr>
      </w:pPr>
      <w:r>
        <w:rPr>
          <w:rFonts w:hint="eastAsia" w:ascii="宋体" w:hAnsi="宋体" w:cs="宋体"/>
          <w:b/>
          <w:bCs/>
          <w:color w:val="auto"/>
          <w:sz w:val="28"/>
          <w:highlight w:val="none"/>
        </w:rPr>
        <w:t>商务评审自查表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5050"/>
        <w:gridCol w:w="2562"/>
      </w:tblGrid>
      <w:tr w14:paraId="0923F598">
        <w:tblPrEx>
          <w:tblCellMar>
            <w:top w:w="0" w:type="dxa"/>
            <w:left w:w="108" w:type="dxa"/>
            <w:bottom w:w="0" w:type="dxa"/>
            <w:right w:w="108" w:type="dxa"/>
          </w:tblCellMar>
        </w:tblPrEx>
        <w:trPr>
          <w:trHeight w:val="397" w:hRule="atLeast"/>
          <w:jc w:val="center"/>
        </w:trPr>
        <w:tc>
          <w:tcPr>
            <w:tcW w:w="1106" w:type="dxa"/>
            <w:noWrap w:val="0"/>
            <w:vAlign w:val="center"/>
          </w:tcPr>
          <w:p w14:paraId="26BF8672">
            <w:pPr>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50" w:type="dxa"/>
            <w:noWrap w:val="0"/>
            <w:vAlign w:val="center"/>
          </w:tcPr>
          <w:p w14:paraId="06A430EC">
            <w:pPr>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62" w:type="dxa"/>
            <w:noWrap w:val="0"/>
            <w:vAlign w:val="center"/>
          </w:tcPr>
          <w:p w14:paraId="32D1026C">
            <w:pPr>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711B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7AF60992">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50" w:type="dxa"/>
            <w:noWrap w:val="0"/>
            <w:vAlign w:val="center"/>
          </w:tcPr>
          <w:p w14:paraId="1379D11A">
            <w:pPr>
              <w:jc w:val="left"/>
              <w:rPr>
                <w:rFonts w:hint="eastAsia" w:ascii="宋体" w:hAnsi="宋体" w:cs="宋体"/>
                <w:color w:val="auto"/>
                <w:szCs w:val="18"/>
                <w:highlight w:val="none"/>
              </w:rPr>
            </w:pPr>
          </w:p>
        </w:tc>
        <w:tc>
          <w:tcPr>
            <w:tcW w:w="2562" w:type="dxa"/>
            <w:noWrap w:val="0"/>
            <w:vAlign w:val="center"/>
          </w:tcPr>
          <w:p w14:paraId="69380904">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0423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6096550F">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50" w:type="dxa"/>
            <w:noWrap w:val="0"/>
            <w:vAlign w:val="center"/>
          </w:tcPr>
          <w:p w14:paraId="68DBE934">
            <w:pPr>
              <w:jc w:val="left"/>
              <w:rPr>
                <w:rFonts w:hint="eastAsia" w:ascii="宋体" w:hAnsi="宋体" w:cs="宋体"/>
                <w:color w:val="auto"/>
                <w:szCs w:val="18"/>
                <w:highlight w:val="none"/>
              </w:rPr>
            </w:pPr>
          </w:p>
        </w:tc>
        <w:tc>
          <w:tcPr>
            <w:tcW w:w="2562" w:type="dxa"/>
            <w:noWrap w:val="0"/>
            <w:vAlign w:val="center"/>
          </w:tcPr>
          <w:p w14:paraId="0A99E141">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25D1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471998C1">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50" w:type="dxa"/>
            <w:noWrap w:val="0"/>
            <w:vAlign w:val="center"/>
          </w:tcPr>
          <w:p w14:paraId="3B3CD972">
            <w:pPr>
              <w:adjustRightInd w:val="0"/>
              <w:snapToGrid w:val="0"/>
              <w:jc w:val="left"/>
              <w:rPr>
                <w:rFonts w:hint="eastAsia" w:ascii="宋体" w:hAnsi="宋体" w:cs="宋体"/>
                <w:color w:val="auto"/>
                <w:szCs w:val="18"/>
                <w:highlight w:val="none"/>
              </w:rPr>
            </w:pPr>
          </w:p>
        </w:tc>
        <w:tc>
          <w:tcPr>
            <w:tcW w:w="2562" w:type="dxa"/>
            <w:noWrap w:val="0"/>
            <w:vAlign w:val="center"/>
          </w:tcPr>
          <w:p w14:paraId="73E8355F">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7824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29D8BC9D">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50" w:type="dxa"/>
            <w:noWrap w:val="0"/>
            <w:vAlign w:val="center"/>
          </w:tcPr>
          <w:p w14:paraId="6E4F3F32">
            <w:pPr>
              <w:adjustRightInd w:val="0"/>
              <w:snapToGrid w:val="0"/>
              <w:jc w:val="left"/>
              <w:rPr>
                <w:rFonts w:hint="eastAsia" w:ascii="宋体" w:hAnsi="宋体" w:cs="宋体"/>
                <w:color w:val="auto"/>
                <w:szCs w:val="18"/>
                <w:highlight w:val="none"/>
              </w:rPr>
            </w:pPr>
          </w:p>
        </w:tc>
        <w:tc>
          <w:tcPr>
            <w:tcW w:w="2562" w:type="dxa"/>
            <w:noWrap w:val="0"/>
            <w:vAlign w:val="center"/>
          </w:tcPr>
          <w:p w14:paraId="5C7A4FB3">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111E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noWrap w:val="0"/>
            <w:vAlign w:val="center"/>
          </w:tcPr>
          <w:p w14:paraId="56D1524D">
            <w:pPr>
              <w:jc w:val="center"/>
              <w:rPr>
                <w:rFonts w:hint="eastAsia" w:ascii="宋体" w:hAnsi="宋体" w:cs="宋体"/>
                <w:color w:val="auto"/>
                <w:szCs w:val="21"/>
                <w:highlight w:val="none"/>
              </w:rPr>
            </w:pPr>
          </w:p>
        </w:tc>
        <w:tc>
          <w:tcPr>
            <w:tcW w:w="5050" w:type="dxa"/>
            <w:noWrap w:val="0"/>
            <w:vAlign w:val="center"/>
          </w:tcPr>
          <w:p w14:paraId="397FB1E0">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62" w:type="dxa"/>
            <w:noWrap w:val="0"/>
            <w:vAlign w:val="center"/>
          </w:tcPr>
          <w:p w14:paraId="116044E2">
            <w:pPr>
              <w:rPr>
                <w:rFonts w:hint="eastAsia" w:ascii="宋体" w:hAnsi="宋体" w:cs="宋体"/>
                <w:color w:val="auto"/>
                <w:szCs w:val="21"/>
                <w:highlight w:val="none"/>
              </w:rPr>
            </w:pPr>
          </w:p>
        </w:tc>
      </w:tr>
    </w:tbl>
    <w:p w14:paraId="734EA445">
      <w:pPr>
        <w:adjustRightInd w:val="0"/>
        <w:snapToGrid w:val="0"/>
        <w:rPr>
          <w:rFonts w:hint="eastAsia" w:ascii="宋体" w:hAnsi="宋体" w:cs="宋体"/>
          <w:color w:val="auto"/>
          <w:szCs w:val="21"/>
          <w:highlight w:val="none"/>
          <w:lang w:val="en-GB"/>
        </w:rPr>
      </w:pPr>
    </w:p>
    <w:p w14:paraId="406C6BF0">
      <w:pPr>
        <w:adjustRightInd w:val="0"/>
        <w:snapToGrid w:val="0"/>
        <w:rPr>
          <w:rFonts w:hint="eastAsia" w:ascii="宋体" w:hAnsi="宋体" w:cs="宋体"/>
          <w:color w:val="auto"/>
          <w:szCs w:val="21"/>
          <w:highlight w:val="none"/>
        </w:rPr>
      </w:pPr>
      <w:r>
        <w:rPr>
          <w:rFonts w:hint="eastAsia" w:ascii="宋体" w:hAnsi="宋体" w:cs="宋体"/>
          <w:color w:val="auto"/>
          <w:szCs w:val="21"/>
          <w:highlight w:val="none"/>
          <w:lang w:val="en-GB"/>
        </w:rPr>
        <w:t>注：</w:t>
      </w:r>
      <w:r>
        <w:rPr>
          <w:rFonts w:hint="eastAsia" w:ascii="宋体" w:hAnsi="宋体" w:cs="宋体"/>
          <w:color w:val="auto"/>
          <w:szCs w:val="21"/>
          <w:highlight w:val="none"/>
        </w:rPr>
        <w:t>投标人应根据《技术评</w:t>
      </w:r>
      <w:r>
        <w:rPr>
          <w:rFonts w:hint="eastAsia" w:ascii="宋体" w:hAnsi="宋体" w:cs="宋体"/>
          <w:color w:val="auto"/>
          <w:szCs w:val="21"/>
          <w:highlight w:val="none"/>
          <w:lang w:val="en-US" w:eastAsia="zh-CN"/>
        </w:rPr>
        <w:t>分</w:t>
      </w:r>
      <w:r>
        <w:rPr>
          <w:rFonts w:hint="eastAsia" w:ascii="宋体" w:hAnsi="宋体" w:cs="宋体"/>
          <w:color w:val="auto"/>
          <w:szCs w:val="21"/>
          <w:highlight w:val="none"/>
        </w:rPr>
        <w:t>表》《商务评</w:t>
      </w:r>
      <w:r>
        <w:rPr>
          <w:rFonts w:hint="eastAsia" w:ascii="宋体" w:hAnsi="宋体" w:cs="宋体"/>
          <w:color w:val="auto"/>
          <w:szCs w:val="21"/>
          <w:highlight w:val="none"/>
          <w:lang w:val="en-US" w:eastAsia="zh-CN"/>
        </w:rPr>
        <w:t>分</w:t>
      </w:r>
      <w:r>
        <w:rPr>
          <w:rFonts w:hint="eastAsia" w:ascii="宋体" w:hAnsi="宋体" w:cs="宋体"/>
          <w:color w:val="auto"/>
          <w:szCs w:val="21"/>
          <w:highlight w:val="none"/>
        </w:rPr>
        <w:t>表》的各项内容填写此表，并附于投标文件中</w:t>
      </w:r>
      <w:r>
        <w:rPr>
          <w:rFonts w:hint="eastAsia" w:ascii="宋体" w:hAnsi="宋体" w:cs="宋体"/>
          <w:color w:val="auto"/>
          <w:szCs w:val="21"/>
          <w:highlight w:val="none"/>
          <w:lang w:val="en-GB"/>
        </w:rPr>
        <w:t>。</w:t>
      </w:r>
    </w:p>
    <w:p w14:paraId="3BF3A74B">
      <w:pPr>
        <w:pStyle w:val="12"/>
        <w:spacing w:after="0"/>
        <w:rPr>
          <w:rFonts w:hint="eastAsia" w:ascii="宋体" w:hAnsi="宋体" w:cs="宋体"/>
          <w:color w:val="auto"/>
          <w:sz w:val="21"/>
          <w:szCs w:val="21"/>
          <w:highlight w:val="none"/>
        </w:rPr>
      </w:pPr>
    </w:p>
    <w:p w14:paraId="6F996445">
      <w:pPr>
        <w:pStyle w:val="12"/>
        <w:spacing w:after="0"/>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59509D22">
      <w:pPr>
        <w:pStyle w:val="4"/>
        <w:numPr>
          <w:ilvl w:val="0"/>
          <w:numId w:val="0"/>
        </w:numPr>
        <w:ind w:left="422"/>
        <w:rPr>
          <w:rFonts w:hint="eastAsia" w:hAnsi="宋体" w:cs="宋体"/>
          <w:color w:val="auto"/>
          <w:highlight w:val="none"/>
        </w:rPr>
      </w:pPr>
      <w:bookmarkStart w:id="87" w:name="_Toc476177427"/>
      <w:bookmarkStart w:id="88" w:name="_Toc477186328"/>
      <w:bookmarkStart w:id="89" w:name="_Toc118018363"/>
      <w:bookmarkStart w:id="90" w:name="_Toc477185967"/>
      <w:bookmarkStart w:id="91" w:name="_Toc476177986"/>
      <w:bookmarkStart w:id="92" w:name="_Toc455417781"/>
      <w:r>
        <w:rPr>
          <w:rFonts w:hint="eastAsia" w:hAnsi="宋体" w:cs="宋体"/>
          <w:color w:val="auto"/>
          <w:highlight w:val="none"/>
        </w:rPr>
        <w:t>三、投标报价表格式</w:t>
      </w:r>
      <w:bookmarkEnd w:id="87"/>
      <w:bookmarkEnd w:id="88"/>
      <w:bookmarkEnd w:id="89"/>
      <w:bookmarkEnd w:id="90"/>
      <w:bookmarkEnd w:id="91"/>
      <w:bookmarkEnd w:id="92"/>
    </w:p>
    <w:p w14:paraId="63824BFD">
      <w:pPr>
        <w:pStyle w:val="17"/>
        <w:spacing w:line="360" w:lineRule="auto"/>
        <w:ind w:firstLine="359" w:firstLineChars="171"/>
        <w:rPr>
          <w:rFonts w:hint="eastAsia" w:hAnsi="宋体" w:cs="宋体"/>
          <w:color w:val="auto"/>
          <w:szCs w:val="21"/>
          <w:highlight w:val="none"/>
        </w:rPr>
      </w:pPr>
      <w:r>
        <w:rPr>
          <w:rFonts w:hint="eastAsia" w:hAnsi="宋体" w:cs="宋体"/>
          <w:color w:val="auto"/>
          <w:highlight w:val="none"/>
        </w:rPr>
        <w:t>投标人应按附表1.1～1.2的格式提交投标报价表。</w:t>
      </w:r>
      <w:r>
        <w:rPr>
          <w:rFonts w:hint="eastAsia" w:hAnsi="宋体" w:cs="宋体"/>
          <w:color w:val="auto"/>
          <w:szCs w:val="21"/>
          <w:highlight w:val="none"/>
        </w:rPr>
        <w:tab/>
      </w:r>
    </w:p>
    <w:p w14:paraId="2BFB2586">
      <w:pPr>
        <w:pStyle w:val="17"/>
        <w:spacing w:line="360" w:lineRule="auto"/>
        <w:ind w:firstLine="359" w:firstLineChars="171"/>
        <w:rPr>
          <w:rFonts w:hint="eastAsia" w:hAnsi="宋体" w:cs="宋体"/>
          <w:color w:val="auto"/>
          <w:szCs w:val="21"/>
          <w:highlight w:val="none"/>
        </w:rPr>
      </w:pPr>
      <w:r>
        <w:rPr>
          <w:rFonts w:hint="eastAsia" w:hAnsi="宋体" w:cs="宋体"/>
          <w:color w:val="auto"/>
          <w:szCs w:val="21"/>
          <w:highlight w:val="none"/>
        </w:rPr>
        <w:t>附表1.1开标一览表</w:t>
      </w:r>
    </w:p>
    <w:p w14:paraId="2921398F">
      <w:pPr>
        <w:pStyle w:val="17"/>
        <w:spacing w:line="360" w:lineRule="auto"/>
        <w:ind w:firstLine="359" w:firstLineChars="171"/>
        <w:jc w:val="right"/>
        <w:rPr>
          <w:rFonts w:hint="eastAsia" w:hAnsi="宋体" w:cs="宋体"/>
          <w:color w:val="auto"/>
          <w:szCs w:val="21"/>
          <w:highlight w:val="none"/>
        </w:rPr>
      </w:pPr>
      <w:r>
        <w:rPr>
          <w:rFonts w:hint="eastAsia" w:hAnsi="宋体" w:cs="宋体"/>
          <w:color w:val="auto"/>
          <w:szCs w:val="21"/>
          <w:highlight w:val="none"/>
        </w:rPr>
        <w:t>金额单位：元（人民币）</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1198"/>
        <w:gridCol w:w="4089"/>
        <w:gridCol w:w="982"/>
        <w:gridCol w:w="984"/>
      </w:tblGrid>
      <w:tr w14:paraId="371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39" w:type="pct"/>
            <w:noWrap w:val="0"/>
            <w:vAlign w:val="center"/>
          </w:tcPr>
          <w:p w14:paraId="64BEF58B">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项目名称</w:t>
            </w:r>
          </w:p>
        </w:tc>
        <w:tc>
          <w:tcPr>
            <w:tcW w:w="687" w:type="pct"/>
            <w:noWrap w:val="0"/>
            <w:vAlign w:val="center"/>
          </w:tcPr>
          <w:p w14:paraId="25BEC469">
            <w:pPr>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子包（）</w:t>
            </w:r>
          </w:p>
        </w:tc>
        <w:tc>
          <w:tcPr>
            <w:tcW w:w="2345" w:type="pct"/>
            <w:noWrap w:val="0"/>
            <w:vAlign w:val="center"/>
          </w:tcPr>
          <w:p w14:paraId="3B128EE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投标报价</w:t>
            </w:r>
          </w:p>
        </w:tc>
        <w:tc>
          <w:tcPr>
            <w:tcW w:w="563" w:type="pct"/>
            <w:noWrap w:val="0"/>
            <w:vAlign w:val="center"/>
          </w:tcPr>
          <w:p w14:paraId="67226A1F">
            <w:pPr>
              <w:spacing w:line="360" w:lineRule="auto"/>
              <w:jc w:val="center"/>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服务期</w:t>
            </w:r>
          </w:p>
        </w:tc>
        <w:tc>
          <w:tcPr>
            <w:tcW w:w="564" w:type="pct"/>
            <w:noWrap w:val="0"/>
            <w:vAlign w:val="center"/>
          </w:tcPr>
          <w:p w14:paraId="6AEA57E6">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备注</w:t>
            </w:r>
          </w:p>
        </w:tc>
      </w:tr>
      <w:tr w14:paraId="5EB1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jc w:val="center"/>
        </w:trPr>
        <w:tc>
          <w:tcPr>
            <w:tcW w:w="839" w:type="pct"/>
            <w:noWrap w:val="0"/>
            <w:vAlign w:val="center"/>
          </w:tcPr>
          <w:p w14:paraId="7105E846">
            <w:pPr>
              <w:spacing w:line="360" w:lineRule="auto"/>
              <w:jc w:val="center"/>
              <w:rPr>
                <w:rFonts w:hint="eastAsia" w:ascii="宋体" w:hAnsi="宋体" w:eastAsia="宋体" w:cs="宋体"/>
                <w:color w:val="auto"/>
                <w:kern w:val="0"/>
                <w:szCs w:val="21"/>
                <w:highlight w:val="none"/>
                <w:lang w:eastAsia="zh-CN"/>
              </w:rPr>
            </w:pPr>
          </w:p>
        </w:tc>
        <w:tc>
          <w:tcPr>
            <w:tcW w:w="687" w:type="pct"/>
            <w:noWrap w:val="0"/>
            <w:vAlign w:val="center"/>
          </w:tcPr>
          <w:p w14:paraId="3CB5E23F">
            <w:pPr>
              <w:spacing w:line="360" w:lineRule="auto"/>
              <w:rPr>
                <w:rFonts w:hint="eastAsia" w:ascii="宋体" w:hAnsi="宋体" w:cs="宋体"/>
                <w:bCs/>
                <w:color w:val="auto"/>
                <w:kern w:val="0"/>
                <w:szCs w:val="21"/>
                <w:highlight w:val="none"/>
              </w:rPr>
            </w:pPr>
          </w:p>
        </w:tc>
        <w:tc>
          <w:tcPr>
            <w:tcW w:w="2345" w:type="pct"/>
            <w:noWrap w:val="0"/>
            <w:vAlign w:val="center"/>
          </w:tcPr>
          <w:p w14:paraId="45DD5363">
            <w:pPr>
              <w:spacing w:line="360" w:lineRule="auto"/>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投标报价（含增值税）（元 人民币）：</w:t>
            </w:r>
          </w:p>
          <w:p w14:paraId="45095122">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大写：人民币</w:t>
            </w:r>
            <w:r>
              <w:rPr>
                <w:rFonts w:hint="eastAsia" w:ascii="宋体" w:hAnsi="宋体" w:cs="宋体"/>
                <w:bCs/>
                <w:color w:val="auto"/>
                <w:kern w:val="0"/>
                <w:szCs w:val="21"/>
                <w:highlight w:val="none"/>
                <w:u w:val="single"/>
              </w:rPr>
              <w:t xml:space="preserve">                          </w:t>
            </w:r>
          </w:p>
          <w:p w14:paraId="34F5F166">
            <w:pPr>
              <w:spacing w:line="360" w:lineRule="auto"/>
              <w:rPr>
                <w:rFonts w:hint="eastAsia" w:ascii="宋体" w:hAnsi="宋体" w:cs="宋体"/>
                <w:b/>
                <w:bCs/>
                <w:color w:val="auto"/>
                <w:kern w:val="0"/>
                <w:szCs w:val="21"/>
                <w:highlight w:val="none"/>
              </w:rPr>
            </w:pPr>
            <w:r>
              <w:rPr>
                <w:rFonts w:hint="eastAsia" w:ascii="宋体" w:hAnsi="宋体" w:cs="宋体"/>
                <w:bCs/>
                <w:color w:val="auto"/>
                <w:kern w:val="0"/>
                <w:szCs w:val="21"/>
                <w:highlight w:val="none"/>
              </w:rPr>
              <w:t>小写：¥</w:t>
            </w:r>
            <w:r>
              <w:rPr>
                <w:rFonts w:hint="eastAsia" w:ascii="宋体" w:hAnsi="宋体" w:cs="宋体"/>
                <w:bCs/>
                <w:color w:val="auto"/>
                <w:kern w:val="0"/>
                <w:szCs w:val="21"/>
                <w:highlight w:val="none"/>
                <w:u w:val="single"/>
              </w:rPr>
              <w:t xml:space="preserve">                                </w:t>
            </w:r>
          </w:p>
        </w:tc>
        <w:tc>
          <w:tcPr>
            <w:tcW w:w="563" w:type="pct"/>
            <w:noWrap w:val="0"/>
            <w:vAlign w:val="center"/>
          </w:tcPr>
          <w:p w14:paraId="1DABF368">
            <w:pPr>
              <w:spacing w:line="360" w:lineRule="auto"/>
              <w:jc w:val="center"/>
              <w:rPr>
                <w:rFonts w:hint="default" w:ascii="宋体" w:hAnsi="宋体" w:eastAsia="宋体" w:cs="宋体"/>
                <w:color w:val="auto"/>
                <w:kern w:val="0"/>
                <w:szCs w:val="21"/>
                <w:highlight w:val="none"/>
                <w:lang w:val="en-US" w:eastAsia="zh-CN"/>
              </w:rPr>
            </w:pPr>
            <w:r>
              <w:rPr>
                <w:rFonts w:hint="eastAsia" w:cs="Times New Roman"/>
                <w:color w:val="auto"/>
                <w:szCs w:val="21"/>
                <w:lang w:val="en-US" w:eastAsia="zh-CN"/>
              </w:rPr>
              <w:t>按招标文件要求</w:t>
            </w:r>
          </w:p>
        </w:tc>
        <w:tc>
          <w:tcPr>
            <w:tcW w:w="564" w:type="pct"/>
            <w:noWrap w:val="0"/>
            <w:vAlign w:val="center"/>
          </w:tcPr>
          <w:p w14:paraId="5C731533">
            <w:pPr>
              <w:spacing w:line="360" w:lineRule="auto"/>
              <w:rPr>
                <w:rFonts w:hint="eastAsia" w:ascii="宋体" w:hAnsi="宋体" w:cs="宋体"/>
                <w:color w:val="auto"/>
                <w:kern w:val="0"/>
                <w:szCs w:val="21"/>
                <w:highlight w:val="none"/>
              </w:rPr>
            </w:pPr>
          </w:p>
        </w:tc>
      </w:tr>
    </w:tbl>
    <w:p w14:paraId="59756DF8">
      <w:pPr>
        <w:pStyle w:val="17"/>
        <w:snapToGrid w:val="0"/>
        <w:ind w:right="120" w:rightChars="57"/>
        <w:jc w:val="left"/>
        <w:rPr>
          <w:rFonts w:hint="eastAsia" w:hAnsi="宋体" w:cs="宋体"/>
          <w:color w:val="auto"/>
          <w:highlight w:val="none"/>
        </w:rPr>
      </w:pPr>
    </w:p>
    <w:p w14:paraId="7B7223D1">
      <w:pPr>
        <w:pStyle w:val="17"/>
        <w:snapToGrid w:val="0"/>
        <w:ind w:right="120" w:rightChars="57"/>
        <w:jc w:val="left"/>
        <w:rPr>
          <w:rFonts w:hint="eastAsia" w:hAnsi="宋体" w:cs="宋体"/>
          <w:b/>
          <w:color w:val="auto"/>
          <w:highlight w:val="none"/>
        </w:rPr>
      </w:pPr>
      <w:r>
        <w:rPr>
          <w:rFonts w:hint="eastAsia" w:hAnsi="宋体" w:cs="宋体"/>
          <w:b/>
          <w:color w:val="auto"/>
          <w:highlight w:val="none"/>
        </w:rPr>
        <w:t>注：</w:t>
      </w:r>
    </w:p>
    <w:p w14:paraId="27916F2A">
      <w:pPr>
        <w:pStyle w:val="17"/>
        <w:numPr>
          <w:ilvl w:val="-1"/>
          <w:numId w:val="0"/>
        </w:numPr>
        <w:snapToGrid w:val="0"/>
        <w:ind w:left="0" w:right="120" w:rightChars="57" w:firstLine="0"/>
        <w:jc w:val="left"/>
        <w:rPr>
          <w:rFonts w:hint="eastAsia" w:hAnsi="宋体" w:cs="宋体"/>
          <w:b/>
          <w:color w:val="auto"/>
          <w:highlight w:val="none"/>
        </w:rPr>
      </w:pPr>
      <w:r>
        <w:rPr>
          <w:rFonts w:hint="eastAsia" w:hAnsi="宋体" w:cs="宋体"/>
          <w:b/>
          <w:color w:val="auto"/>
          <w:highlight w:val="none"/>
          <w:lang w:val="en-US" w:eastAsia="zh-CN"/>
        </w:rPr>
        <w:t>1.</w:t>
      </w:r>
      <w:r>
        <w:rPr>
          <w:rFonts w:hint="eastAsia" w:hAnsi="宋体" w:cs="宋体"/>
          <w:b/>
          <w:color w:val="auto"/>
          <w:highlight w:val="none"/>
        </w:rPr>
        <w:t>投标报价超过最高限价的属于无效投标。</w:t>
      </w:r>
    </w:p>
    <w:p w14:paraId="31F3DD7C">
      <w:pPr>
        <w:pStyle w:val="17"/>
        <w:numPr>
          <w:ilvl w:val="-1"/>
          <w:numId w:val="0"/>
        </w:numPr>
        <w:snapToGrid w:val="0"/>
        <w:ind w:left="0" w:right="120" w:rightChars="57" w:firstLine="0"/>
        <w:jc w:val="left"/>
        <w:rPr>
          <w:rFonts w:hint="eastAsia" w:ascii="宋体" w:hAnsi="宋体" w:eastAsia="宋体" w:cs="宋体"/>
          <w:b/>
          <w:color w:val="auto"/>
          <w:highlight w:val="none"/>
          <w:lang w:val="en-US" w:eastAsia="zh-CN"/>
        </w:rPr>
      </w:pPr>
      <w:r>
        <w:rPr>
          <w:rFonts w:hint="eastAsia" w:hAnsi="宋体" w:cs="宋体"/>
          <w:b/>
          <w:color w:val="auto"/>
          <w:highlight w:val="none"/>
          <w:lang w:val="en-US" w:eastAsia="zh-CN"/>
        </w:rPr>
        <w:t>2.</w:t>
      </w:r>
      <w:r>
        <w:rPr>
          <w:rFonts w:hint="eastAsia" w:ascii="宋体" w:hAnsi="宋体" w:eastAsia="宋体" w:cs="宋体"/>
          <w:b/>
          <w:color w:val="auto"/>
          <w:highlight w:val="none"/>
          <w:lang w:val="en-US" w:eastAsia="zh-CN"/>
        </w:rPr>
        <w:t>所有报价保留两位小数。</w:t>
      </w:r>
    </w:p>
    <w:p w14:paraId="6CE7BCFD">
      <w:pPr>
        <w:pStyle w:val="17"/>
        <w:spacing w:line="360" w:lineRule="auto"/>
        <w:rPr>
          <w:rFonts w:hint="eastAsia" w:hAnsi="宋体" w:cs="宋体"/>
          <w:bCs/>
          <w:color w:val="auto"/>
          <w:highlight w:val="none"/>
        </w:rPr>
      </w:pPr>
      <w:r>
        <w:rPr>
          <w:rFonts w:hint="eastAsia" w:hAnsi="宋体" w:cs="宋体"/>
          <w:color w:val="auto"/>
          <w:highlight w:val="none"/>
        </w:rPr>
        <w:t xml:space="preserve">   </w:t>
      </w:r>
    </w:p>
    <w:p w14:paraId="522066C4">
      <w:pPr>
        <w:pStyle w:val="17"/>
        <w:jc w:val="left"/>
        <w:rPr>
          <w:rFonts w:hint="eastAsia" w:hAnsi="宋体" w:cs="宋体"/>
          <w:color w:val="auto"/>
          <w:highlight w:val="none"/>
        </w:rPr>
      </w:pPr>
      <w:r>
        <w:rPr>
          <w:rFonts w:hint="eastAsia" w:hAnsi="宋体" w:cs="宋体"/>
          <w:color w:val="auto"/>
          <w:highlight w:val="none"/>
        </w:rPr>
        <w:t>投标人名称:（盖章）</w:t>
      </w:r>
    </w:p>
    <w:p w14:paraId="7B566553">
      <w:pPr>
        <w:pStyle w:val="17"/>
        <w:jc w:val="left"/>
        <w:rPr>
          <w:rFonts w:hint="eastAsia" w:hAnsi="宋体" w:cs="宋体"/>
          <w:color w:val="auto"/>
          <w:highlight w:val="none"/>
        </w:rPr>
        <w:sectPr>
          <w:pgSz w:w="11907" w:h="16840"/>
          <w:pgMar w:top="1418" w:right="1701" w:bottom="1418" w:left="1701" w:header="737" w:footer="737" w:gutter="0"/>
          <w:cols w:space="720" w:num="1"/>
          <w:docGrid w:linePitch="285" w:charSpace="0"/>
        </w:sectPr>
      </w:pPr>
      <w:r>
        <w:rPr>
          <w:rFonts w:hint="eastAsia" w:hAnsi="宋体" w:cs="宋体"/>
          <w:color w:val="auto"/>
          <w:highlight w:val="none"/>
        </w:rPr>
        <w:t>日期：    年   月   日</w:t>
      </w:r>
    </w:p>
    <w:p w14:paraId="2C79E3CD">
      <w:pPr>
        <w:pStyle w:val="17"/>
        <w:spacing w:line="480" w:lineRule="auto"/>
        <w:rPr>
          <w:rFonts w:hint="eastAsia" w:hAnsi="宋体" w:cs="宋体"/>
          <w:color w:val="auto"/>
          <w:highlight w:val="none"/>
        </w:rPr>
      </w:pPr>
      <w:bookmarkStart w:id="93" w:name="_Toc118018364"/>
      <w:bookmarkStart w:id="94" w:name="_Toc496161872"/>
      <w:bookmarkStart w:id="95" w:name="_Toc476177431"/>
      <w:bookmarkStart w:id="96" w:name="_Toc476177990"/>
      <w:bookmarkStart w:id="97" w:name="_Toc455417782"/>
      <w:r>
        <w:rPr>
          <w:rFonts w:hint="eastAsia" w:hAnsi="宋体" w:cs="宋体"/>
          <w:color w:val="auto"/>
          <w:highlight w:val="none"/>
        </w:rPr>
        <w:t>附表1.2</w:t>
      </w:r>
    </w:p>
    <w:p w14:paraId="6E5A01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color w:val="auto"/>
          <w:sz w:val="24"/>
          <w:szCs w:val="24"/>
          <w:highlight w:val="none"/>
          <w:lang w:eastAsia="zh-CN"/>
        </w:rPr>
      </w:pPr>
      <w:r>
        <w:rPr>
          <w:rFonts w:hint="eastAsia"/>
          <w:b/>
          <w:bCs/>
          <w:color w:val="auto"/>
          <w:sz w:val="24"/>
          <w:szCs w:val="24"/>
          <w:highlight w:val="none"/>
          <w:lang w:eastAsia="zh-CN"/>
        </w:rPr>
        <w:t>大型文化艺术活动执行服务保障与品牌影响力提升全媒体宣传推广服务（第二次）</w:t>
      </w:r>
    </w:p>
    <w:p w14:paraId="11A862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color w:val="auto"/>
          <w:sz w:val="24"/>
          <w:szCs w:val="24"/>
          <w:highlight w:val="none"/>
          <w:u w:val="single"/>
          <w:lang w:eastAsia="zh-CN"/>
        </w:rPr>
      </w:pPr>
      <w:r>
        <w:rPr>
          <w:rFonts w:hint="eastAsia"/>
          <w:b/>
          <w:bCs/>
          <w:color w:val="auto"/>
          <w:sz w:val="24"/>
          <w:szCs w:val="24"/>
          <w:highlight w:val="none"/>
          <w:u w:val="single"/>
          <w:lang w:eastAsia="zh-CN"/>
        </w:rPr>
        <w:t>子包（）</w:t>
      </w:r>
    </w:p>
    <w:p w14:paraId="2F911D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分项报价表</w:t>
      </w:r>
    </w:p>
    <w:p w14:paraId="436F5C3E">
      <w:pPr>
        <w:tabs>
          <w:tab w:val="left" w:pos="7088"/>
        </w:tabs>
        <w:spacing w:before="120" w:after="12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（1）项目详细报价表</w:t>
      </w:r>
    </w:p>
    <w:p w14:paraId="105FB474">
      <w:pPr>
        <w:tabs>
          <w:tab w:val="left" w:pos="7088"/>
        </w:tabs>
        <w:spacing w:before="120" w:after="120" w:line="3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金额单位：元（人民币）</w:t>
      </w:r>
    </w:p>
    <w:tbl>
      <w:tblPr>
        <w:tblStyle w:val="27"/>
        <w:tblW w:w="4998" w:type="pct"/>
        <w:tblInd w:w="0"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Layout w:type="autofit"/>
        <w:tblCellMar>
          <w:top w:w="0" w:type="dxa"/>
          <w:left w:w="108" w:type="dxa"/>
          <w:bottom w:w="0" w:type="dxa"/>
          <w:right w:w="108" w:type="dxa"/>
        </w:tblCellMar>
      </w:tblPr>
      <w:tblGrid>
        <w:gridCol w:w="737"/>
        <w:gridCol w:w="3381"/>
        <w:gridCol w:w="1175"/>
        <w:gridCol w:w="1994"/>
        <w:gridCol w:w="1995"/>
      </w:tblGrid>
      <w:tr w14:paraId="0E3E80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59AC6">
            <w:pPr>
              <w:widowControl/>
              <w:jc w:val="center"/>
              <w:textAlignment w:val="center"/>
              <w:rPr>
                <w:rFonts w:ascii="宋体" w:hAnsi="宋体" w:cs="宋体"/>
                <w:color w:val="auto"/>
                <w:kern w:val="0"/>
                <w:szCs w:val="21"/>
                <w:lang w:bidi="ar"/>
              </w:rPr>
            </w:pPr>
            <w:r>
              <w:rPr>
                <w:rFonts w:hint="eastAsia" w:ascii="宋体" w:hAnsi="宋体" w:cs="宋体"/>
                <w:color w:val="auto"/>
                <w:kern w:val="0"/>
                <w:szCs w:val="21"/>
                <w:lang w:bidi="ar"/>
              </w:rPr>
              <w:t>序号</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83075">
            <w:pPr>
              <w:widowControl/>
              <w:jc w:val="center"/>
              <w:textAlignment w:val="center"/>
              <w:rPr>
                <w:rFonts w:hint="eastAsia" w:ascii="宋体" w:hAnsi="宋体" w:cs="宋体"/>
                <w:color w:val="auto"/>
                <w:kern w:val="0"/>
                <w:szCs w:val="21"/>
                <w:lang w:bidi="ar"/>
              </w:rPr>
            </w:pPr>
            <w:r>
              <w:rPr>
                <w:rFonts w:hint="eastAsia" w:ascii="宋体" w:hAnsi="宋体" w:cs="宋体"/>
                <w:color w:val="auto"/>
                <w:kern w:val="0"/>
                <w:szCs w:val="21"/>
                <w:lang w:bidi="ar"/>
              </w:rPr>
              <w:t>服务内容</w:t>
            </w: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57754539">
            <w:pPr>
              <w:widowControl/>
              <w:jc w:val="center"/>
              <w:textAlignment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数量</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A9338">
            <w:pPr>
              <w:widowControl/>
              <w:jc w:val="center"/>
              <w:textAlignment w:val="center"/>
              <w:rPr>
                <w:rFonts w:hint="default" w:ascii="宋体" w:hAnsi="宋体" w:cs="宋体"/>
                <w:color w:val="auto"/>
                <w:szCs w:val="21"/>
                <w:lang w:val="en-US" w:eastAsia="zh-CN"/>
              </w:rPr>
            </w:pPr>
            <w:r>
              <w:rPr>
                <w:rFonts w:hint="eastAsia" w:ascii="宋体" w:hAnsi="宋体" w:cs="宋体"/>
                <w:color w:val="auto"/>
                <w:szCs w:val="21"/>
                <w:lang w:val="en-US" w:eastAsia="zh-CN"/>
              </w:rPr>
              <w:t>单价（元）（含税）</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195CF">
            <w:pPr>
              <w:widowControl/>
              <w:jc w:val="center"/>
              <w:textAlignment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小计（元）（含税）</w:t>
            </w:r>
          </w:p>
        </w:tc>
      </w:tr>
      <w:tr w14:paraId="529A33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062B9">
            <w:pPr>
              <w:widowControl/>
              <w:jc w:val="center"/>
              <w:textAlignment w:val="center"/>
              <w:rPr>
                <w:color w:val="auto"/>
                <w:szCs w:val="21"/>
              </w:rPr>
            </w:pPr>
            <w:r>
              <w:rPr>
                <w:color w:val="auto"/>
                <w:kern w:val="0"/>
                <w:szCs w:val="21"/>
                <w:lang w:bidi="ar"/>
              </w:rPr>
              <w:t>1</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C4F63">
            <w:pPr>
              <w:pageBreakBefore w:val="0"/>
              <w:widowControl/>
              <w:kinsoku/>
              <w:wordWrap/>
              <w:overflowPunct/>
              <w:topLinePunct w:val="0"/>
              <w:autoSpaceDE/>
              <w:autoSpaceDN/>
              <w:bidi w:val="0"/>
              <w:adjustRightInd/>
              <w:snapToGrid/>
              <w:spacing w:line="360" w:lineRule="auto"/>
              <w:jc w:val="center"/>
              <w:rPr>
                <w:rFonts w:hint="eastAsia" w:ascii="宋体" w:hAnsi="宋体" w:cs="宋体"/>
                <w:color w:val="auto"/>
                <w:szCs w:val="21"/>
              </w:rPr>
            </w:pP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765BCA53">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BE80">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2E147">
            <w:pPr>
              <w:widowControl/>
              <w:jc w:val="right"/>
              <w:textAlignment w:val="center"/>
              <w:rPr>
                <w:rFonts w:hint="eastAsia" w:ascii="宋体" w:hAnsi="宋体" w:cs="宋体"/>
                <w:color w:val="auto"/>
                <w:szCs w:val="21"/>
              </w:rPr>
            </w:pPr>
          </w:p>
        </w:tc>
      </w:tr>
      <w:tr w14:paraId="19C9E7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F8DF4">
            <w:pPr>
              <w:widowControl/>
              <w:jc w:val="center"/>
              <w:textAlignment w:val="center"/>
              <w:rPr>
                <w:color w:val="auto"/>
                <w:szCs w:val="21"/>
              </w:rPr>
            </w:pPr>
            <w:r>
              <w:rPr>
                <w:color w:val="auto"/>
                <w:kern w:val="0"/>
                <w:szCs w:val="21"/>
                <w:lang w:bidi="ar"/>
              </w:rPr>
              <w:t>2</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F841F">
            <w:pPr>
              <w:pageBreakBefore w:val="0"/>
              <w:widowControl/>
              <w:kinsoku/>
              <w:wordWrap/>
              <w:overflowPunct/>
              <w:topLinePunct w:val="0"/>
              <w:autoSpaceDE/>
              <w:autoSpaceDN/>
              <w:bidi w:val="0"/>
              <w:adjustRightInd/>
              <w:snapToGrid/>
              <w:spacing w:line="360" w:lineRule="auto"/>
              <w:jc w:val="center"/>
              <w:rPr>
                <w:rFonts w:hint="eastAsia" w:ascii="宋体" w:hAnsi="宋体" w:cs="宋体"/>
                <w:color w:val="auto"/>
                <w:szCs w:val="21"/>
              </w:rPr>
            </w:pP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405F1304">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1322A">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852F4">
            <w:pPr>
              <w:widowControl/>
              <w:jc w:val="right"/>
              <w:textAlignment w:val="center"/>
              <w:rPr>
                <w:rFonts w:hint="eastAsia" w:ascii="宋体" w:hAnsi="宋体" w:cs="宋体"/>
                <w:color w:val="auto"/>
                <w:szCs w:val="21"/>
              </w:rPr>
            </w:pPr>
          </w:p>
        </w:tc>
      </w:tr>
      <w:tr w14:paraId="706673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E5FCE">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w:t>
            </w:r>
          </w:p>
        </w:tc>
        <w:tc>
          <w:tcPr>
            <w:tcW w:w="182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30618">
            <w:pPr>
              <w:pageBreakBefore w:val="0"/>
              <w:widowControl/>
              <w:kinsoku/>
              <w:wordWrap/>
              <w:overflowPunct/>
              <w:topLinePunct w:val="0"/>
              <w:autoSpaceDE/>
              <w:autoSpaceDN/>
              <w:bidi w:val="0"/>
              <w:adjustRightInd/>
              <w:snapToGrid/>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w:t>
            </w:r>
          </w:p>
        </w:tc>
        <w:tc>
          <w:tcPr>
            <w:tcW w:w="631" w:type="pct"/>
            <w:tcBorders>
              <w:top w:val="single" w:color="000000" w:sz="4" w:space="0"/>
              <w:left w:val="nil"/>
              <w:bottom w:val="single" w:color="000000" w:sz="4" w:space="0"/>
              <w:right w:val="single" w:color="000000" w:sz="4" w:space="0"/>
            </w:tcBorders>
            <w:shd w:val="clear" w:color="auto" w:fill="auto"/>
            <w:noWrap w:val="0"/>
            <w:vAlign w:val="center"/>
          </w:tcPr>
          <w:p w14:paraId="090349F2">
            <w:pPr>
              <w:widowControl/>
              <w:jc w:val="center"/>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DF80B">
            <w:pPr>
              <w:widowControl/>
              <w:jc w:val="right"/>
              <w:textAlignment w:val="center"/>
              <w:rPr>
                <w:rFonts w:hint="eastAsia" w:ascii="宋体" w:hAnsi="宋体" w:cs="宋体"/>
                <w:color w:val="auto"/>
                <w:szCs w:val="21"/>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1A85E">
            <w:pPr>
              <w:widowControl/>
              <w:jc w:val="right"/>
              <w:textAlignment w:val="center"/>
              <w:rPr>
                <w:rFonts w:hint="eastAsia" w:ascii="宋体" w:hAnsi="宋体" w:cs="宋体"/>
                <w:color w:val="auto"/>
                <w:szCs w:val="21"/>
              </w:rPr>
            </w:pPr>
          </w:p>
        </w:tc>
      </w:tr>
      <w:tr w14:paraId="210C33B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2851"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E202">
            <w:pPr>
              <w:widowControl/>
              <w:jc w:val="center"/>
              <w:textAlignment w:val="center"/>
              <w:rPr>
                <w:rFonts w:hint="eastAsia" w:ascii="宋体" w:hAnsi="宋体" w:eastAsia="宋体" w:cs="宋体"/>
                <w:color w:val="auto"/>
                <w:kern w:val="0"/>
                <w:szCs w:val="21"/>
                <w:lang w:eastAsia="zh-CN" w:bidi="ar"/>
              </w:rPr>
            </w:pPr>
            <w:r>
              <w:rPr>
                <w:rFonts w:hint="eastAsia" w:ascii="宋体" w:hAnsi="宋体" w:eastAsia="宋体" w:cs="宋体"/>
                <w:b/>
                <w:color w:val="auto"/>
                <w:szCs w:val="24"/>
                <w:highlight w:val="none"/>
              </w:rPr>
              <w:t>价税合计</w:t>
            </w:r>
            <w:r>
              <w:rPr>
                <w:rFonts w:hint="eastAsia" w:ascii="宋体" w:hAnsi="宋体" w:cs="宋体"/>
                <w:b/>
                <w:color w:val="auto"/>
                <w:szCs w:val="24"/>
                <w:highlight w:val="none"/>
              </w:rPr>
              <w:t>总额</w:t>
            </w:r>
            <w:r>
              <w:rPr>
                <w:rFonts w:hint="eastAsia" w:ascii="宋体" w:hAnsi="宋体" w:cs="宋体"/>
                <w:b/>
                <w:color w:val="auto"/>
                <w:szCs w:val="24"/>
                <w:highlight w:val="none"/>
                <w:lang w:eastAsia="zh-CN"/>
              </w:rPr>
              <w:t>（</w:t>
            </w:r>
            <w:r>
              <w:rPr>
                <w:rFonts w:hint="eastAsia" w:ascii="宋体" w:hAnsi="宋体" w:cs="宋体"/>
                <w:b/>
                <w:color w:val="auto"/>
                <w:szCs w:val="24"/>
                <w:highlight w:val="none"/>
                <w:lang w:val="en-US" w:eastAsia="zh-CN"/>
              </w:rPr>
              <w:t>元</w:t>
            </w:r>
            <w:r>
              <w:rPr>
                <w:rFonts w:hint="eastAsia" w:ascii="宋体" w:hAnsi="宋体" w:cs="宋体"/>
                <w:b/>
                <w:color w:val="auto"/>
                <w:szCs w:val="24"/>
                <w:highlight w:val="none"/>
                <w:lang w:eastAsia="zh-CN"/>
              </w:rPr>
              <w:t>）</w:t>
            </w:r>
          </w:p>
        </w:tc>
        <w:tc>
          <w:tcPr>
            <w:tcW w:w="2148"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BBC05">
            <w:pPr>
              <w:widowControl/>
              <w:jc w:val="right"/>
              <w:textAlignment w:val="center"/>
              <w:rPr>
                <w:rFonts w:hint="eastAsia" w:ascii="宋体" w:hAnsi="宋体" w:cs="宋体"/>
                <w:color w:val="auto"/>
                <w:szCs w:val="21"/>
              </w:rPr>
            </w:pPr>
          </w:p>
        </w:tc>
      </w:tr>
    </w:tbl>
    <w:p w14:paraId="067E7D23">
      <w:pPr>
        <w:pStyle w:val="17"/>
        <w:snapToGrid w:val="0"/>
        <w:ind w:left="-60" w:right="120" w:rightChars="57"/>
        <w:jc w:val="left"/>
        <w:rPr>
          <w:rFonts w:hint="eastAsia" w:ascii="宋体" w:hAnsi="宋体" w:eastAsia="宋体" w:cs="宋体"/>
          <w:color w:val="auto"/>
          <w:highlight w:val="none"/>
        </w:rPr>
      </w:pPr>
    </w:p>
    <w:p w14:paraId="7D92DA36">
      <w:pPr>
        <w:pStyle w:val="17"/>
        <w:keepNext w:val="0"/>
        <w:keepLines w:val="0"/>
        <w:pageBreakBefore w:val="0"/>
        <w:kinsoku/>
        <w:wordWrap/>
        <w:overflowPunct/>
        <w:topLinePunct w:val="0"/>
        <w:autoSpaceDE/>
        <w:autoSpaceDN/>
        <w:bidi w:val="0"/>
        <w:adjustRightInd/>
        <w:snapToGrid w:val="0"/>
        <w:spacing w:line="360" w:lineRule="auto"/>
        <w:ind w:left="-60" w:right="120" w:rightChars="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p>
    <w:p w14:paraId="5EA5820F">
      <w:pPr>
        <w:keepNext w:val="0"/>
        <w:keepLines w:val="0"/>
        <w:pageBreakBefore w:val="0"/>
        <w:widowControl w:val="0"/>
        <w:kinsoku/>
        <w:wordWrap/>
        <w:overflowPunct/>
        <w:topLinePunct w:val="0"/>
        <w:autoSpaceDE/>
        <w:autoSpaceDN/>
        <w:bidi w:val="0"/>
        <w:adjustRightInd/>
        <w:spacing w:line="360" w:lineRule="auto"/>
        <w:textAlignment w:val="auto"/>
        <w:rPr>
          <w:rFonts w:hint="eastAsia"/>
          <w:color w:val="auto"/>
          <w:highlight w:val="none"/>
          <w:lang w:val="en-US" w:eastAsia="zh-CN"/>
        </w:rPr>
      </w:pPr>
    </w:p>
    <w:p w14:paraId="7BC9DB30">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bCs w:val="0"/>
          <w:color w:val="auto"/>
          <w:szCs w:val="24"/>
          <w:highlight w:val="none"/>
          <w:lang w:val="en-US" w:eastAsia="zh-CN"/>
        </w:rPr>
      </w:pPr>
      <w:r>
        <w:rPr>
          <w:rFonts w:hint="eastAsia" w:ascii="宋体" w:hAnsi="宋体" w:cs="宋体"/>
          <w:b/>
          <w:color w:val="auto"/>
          <w:szCs w:val="24"/>
          <w:highlight w:val="none"/>
          <w:lang w:val="en-US" w:eastAsia="zh-CN"/>
        </w:rPr>
        <w:t>1.</w:t>
      </w:r>
      <w:r>
        <w:rPr>
          <w:rFonts w:hint="eastAsia" w:ascii="宋体" w:hAnsi="宋体" w:eastAsia="宋体" w:cs="宋体"/>
          <w:b/>
          <w:bCs w:val="0"/>
          <w:color w:val="auto"/>
          <w:szCs w:val="24"/>
          <w:highlight w:val="none"/>
          <w:lang w:val="en-US" w:eastAsia="zh-CN"/>
        </w:rPr>
        <w:t>所有报价</w:t>
      </w:r>
      <w:r>
        <w:rPr>
          <w:rFonts w:hint="eastAsia" w:ascii="宋体" w:hAnsi="宋体" w:cs="宋体"/>
          <w:b/>
          <w:bCs w:val="0"/>
          <w:color w:val="auto"/>
          <w:szCs w:val="24"/>
          <w:highlight w:val="none"/>
          <w:lang w:val="en-US" w:eastAsia="zh-CN"/>
        </w:rPr>
        <w:t>最多</w:t>
      </w:r>
      <w:r>
        <w:rPr>
          <w:rFonts w:hint="eastAsia" w:ascii="宋体" w:hAnsi="宋体" w:eastAsia="宋体" w:cs="宋体"/>
          <w:b/>
          <w:bCs w:val="0"/>
          <w:color w:val="auto"/>
          <w:szCs w:val="24"/>
          <w:highlight w:val="none"/>
          <w:lang w:val="en-US" w:eastAsia="zh-CN"/>
        </w:rPr>
        <w:t>保留两位小数。</w:t>
      </w:r>
    </w:p>
    <w:p w14:paraId="5918C4B0">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color w:val="auto"/>
          <w:sz w:val="21"/>
          <w:szCs w:val="24"/>
          <w:highlight w:val="none"/>
          <w:lang w:eastAsia="zh-CN"/>
        </w:rPr>
      </w:pPr>
      <w:r>
        <w:rPr>
          <w:rFonts w:hint="eastAsia" w:ascii="宋体" w:hAnsi="宋体" w:cs="宋体"/>
          <w:b/>
          <w:color w:val="auto"/>
          <w:szCs w:val="24"/>
          <w:highlight w:val="none"/>
          <w:lang w:val="en-US" w:eastAsia="zh-CN"/>
        </w:rPr>
        <w:t>2.</w:t>
      </w:r>
      <w:r>
        <w:rPr>
          <w:rFonts w:hint="eastAsia" w:ascii="宋体" w:hAnsi="宋体" w:eastAsia="宋体" w:cs="宋体"/>
          <w:b/>
          <w:color w:val="auto"/>
          <w:szCs w:val="24"/>
          <w:highlight w:val="none"/>
        </w:rPr>
        <w:t>本项目详细报价表的价税合计</w:t>
      </w:r>
      <w:r>
        <w:rPr>
          <w:rFonts w:hint="eastAsia" w:ascii="宋体" w:hAnsi="宋体" w:cs="宋体"/>
          <w:b/>
          <w:color w:val="auto"/>
          <w:szCs w:val="24"/>
          <w:highlight w:val="none"/>
        </w:rPr>
        <w:t>总额</w:t>
      </w:r>
      <w:r>
        <w:rPr>
          <w:rFonts w:hint="eastAsia" w:ascii="宋体" w:hAnsi="宋体" w:eastAsia="宋体" w:cs="宋体"/>
          <w:b/>
          <w:color w:val="auto"/>
          <w:szCs w:val="24"/>
          <w:highlight w:val="none"/>
        </w:rPr>
        <w:t>必须与开标一览表投标报价（含增值税）的总额一致</w:t>
      </w:r>
      <w:r>
        <w:rPr>
          <w:rFonts w:hint="eastAsia" w:ascii="宋体" w:hAnsi="宋体" w:eastAsia="宋体" w:cs="宋体"/>
          <w:b/>
          <w:color w:val="auto"/>
          <w:sz w:val="21"/>
          <w:szCs w:val="24"/>
          <w:highlight w:val="none"/>
          <w:lang w:eastAsia="zh-CN"/>
        </w:rPr>
        <w:t>。</w:t>
      </w:r>
    </w:p>
    <w:p w14:paraId="78968DD1">
      <w:pPr>
        <w:widowControl/>
        <w:spacing w:line="360" w:lineRule="auto"/>
        <w:rPr>
          <w:rFonts w:hint="eastAsia" w:ascii="宋体" w:hAnsi="宋体" w:cs="宋体"/>
          <w:b/>
          <w:color w:val="auto"/>
          <w:szCs w:val="24"/>
          <w:highlight w:val="none"/>
        </w:rPr>
      </w:pPr>
      <w:r>
        <w:rPr>
          <w:rFonts w:hint="eastAsia" w:ascii="宋体" w:hAnsi="宋体" w:cs="宋体"/>
          <w:b/>
          <w:color w:val="auto"/>
          <w:szCs w:val="24"/>
          <w:highlight w:val="none"/>
          <w:lang w:val="en-US" w:eastAsia="zh-CN"/>
        </w:rPr>
        <w:t>3.</w:t>
      </w:r>
      <w:r>
        <w:rPr>
          <w:rFonts w:hint="eastAsia" w:ascii="宋体" w:hAnsi="宋体" w:cs="宋体"/>
          <w:b/>
          <w:color w:val="auto"/>
          <w:szCs w:val="24"/>
          <w:highlight w:val="none"/>
        </w:rPr>
        <w:t>投标人可根据本表自行增加内容。</w:t>
      </w:r>
    </w:p>
    <w:p w14:paraId="5CEB26EC">
      <w:pPr>
        <w:widowControl/>
        <w:spacing w:line="360" w:lineRule="auto"/>
        <w:rPr>
          <w:rFonts w:hint="eastAsia" w:ascii="宋体" w:hAnsi="宋体" w:cs="宋体"/>
          <w:b/>
          <w:color w:val="auto"/>
          <w:szCs w:val="24"/>
          <w:highlight w:val="none"/>
        </w:rPr>
      </w:pPr>
      <w:r>
        <w:rPr>
          <w:rFonts w:hint="eastAsia" w:ascii="宋体" w:hAnsi="宋体" w:cs="宋体"/>
          <w:b/>
          <w:color w:val="auto"/>
          <w:szCs w:val="24"/>
          <w:highlight w:val="none"/>
          <w:lang w:val="en-US" w:eastAsia="zh-CN"/>
        </w:rPr>
        <w:t>4.</w:t>
      </w:r>
      <w:r>
        <w:rPr>
          <w:rFonts w:hint="eastAsia" w:ascii="宋体" w:hAnsi="宋体" w:cs="宋体"/>
          <w:b/>
          <w:color w:val="auto"/>
          <w:szCs w:val="24"/>
          <w:highlight w:val="none"/>
        </w:rPr>
        <w:t>本报价充分考虑包括价格上涨的各种风险，报价中应含税金及利润等相关的所有费用</w:t>
      </w:r>
      <w:r>
        <w:rPr>
          <w:rFonts w:hint="eastAsia" w:ascii="宋体" w:hAnsi="宋体" w:cs="宋体"/>
          <w:b/>
          <w:color w:val="auto"/>
          <w:szCs w:val="24"/>
          <w:highlight w:val="none"/>
          <w:lang w:eastAsia="zh-CN"/>
        </w:rPr>
        <w:t>。</w:t>
      </w:r>
    </w:p>
    <w:p w14:paraId="4F4B3A6B">
      <w:pPr>
        <w:keepNext w:val="0"/>
        <w:keepLines w:val="0"/>
        <w:pageBreakBefore w:val="0"/>
        <w:kinsoku/>
        <w:wordWrap/>
        <w:overflowPunct/>
        <w:topLinePunct w:val="0"/>
        <w:autoSpaceDE/>
        <w:autoSpaceDN/>
        <w:bidi w:val="0"/>
        <w:adjustRightInd/>
        <w:spacing w:line="360" w:lineRule="auto"/>
        <w:textAlignment w:val="auto"/>
        <w:rPr>
          <w:rFonts w:hint="default" w:ascii="Times New Roman" w:hAnsi="Times New Roman" w:eastAsia="宋体" w:cs="Times New Roman"/>
          <w:b w:val="0"/>
          <w:bCs w:val="0"/>
          <w:color w:val="auto"/>
          <w:lang w:val="en-US" w:eastAsia="zh-CN"/>
        </w:rPr>
      </w:pPr>
    </w:p>
    <w:p w14:paraId="7F8BC538">
      <w:pPr>
        <w:pStyle w:val="17"/>
        <w:keepNext w:val="0"/>
        <w:keepLines w:val="0"/>
        <w:pageBreakBefore w:val="0"/>
        <w:numPr>
          <w:ilvl w:val="0"/>
          <w:numId w:val="0"/>
        </w:numPr>
        <w:kinsoku/>
        <w:wordWrap/>
        <w:overflowPunct/>
        <w:topLinePunct w:val="0"/>
        <w:autoSpaceDE/>
        <w:autoSpaceDN/>
        <w:bidi w:val="0"/>
        <w:adjustRightInd/>
        <w:snapToGrid w:val="0"/>
        <w:spacing w:line="360" w:lineRule="auto"/>
        <w:ind w:left="0" w:right="0" w:rightChars="0" w:firstLine="0"/>
        <w:textAlignment w:val="auto"/>
        <w:rPr>
          <w:rFonts w:hint="eastAsia" w:hAnsi="宋体" w:cs="宋体"/>
          <w:color w:val="auto"/>
          <w:highlight w:val="none"/>
        </w:rPr>
      </w:pPr>
      <w:r>
        <w:rPr>
          <w:rFonts w:hint="eastAsia" w:hAnsi="宋体" w:cs="宋体"/>
          <w:color w:val="auto"/>
          <w:highlight w:val="none"/>
        </w:rPr>
        <w:t>投标人名称:（盖章）</w:t>
      </w:r>
    </w:p>
    <w:p w14:paraId="4482DE91">
      <w:pPr>
        <w:pStyle w:val="17"/>
        <w:keepNext w:val="0"/>
        <w:keepLines w:val="0"/>
        <w:pageBreakBefore w:val="0"/>
        <w:kinsoku/>
        <w:wordWrap/>
        <w:overflowPunct/>
        <w:topLinePunct w:val="0"/>
        <w:autoSpaceDE/>
        <w:autoSpaceDN/>
        <w:bidi w:val="0"/>
        <w:adjustRightInd/>
        <w:spacing w:line="360" w:lineRule="auto"/>
        <w:jc w:val="left"/>
        <w:textAlignment w:val="auto"/>
        <w:rPr>
          <w:rFonts w:hint="eastAsia" w:hAnsi="宋体" w:cs="宋体"/>
          <w:color w:val="auto"/>
          <w:highlight w:val="none"/>
        </w:rPr>
      </w:pPr>
      <w:r>
        <w:rPr>
          <w:rFonts w:hint="eastAsia" w:hAnsi="宋体" w:cs="宋体"/>
          <w:color w:val="auto"/>
          <w:highlight w:val="none"/>
        </w:rPr>
        <w:t>日期：    年   月   日</w:t>
      </w:r>
    </w:p>
    <w:p w14:paraId="04783F9E">
      <w:pPr>
        <w:pStyle w:val="17"/>
        <w:snapToGrid w:val="0"/>
        <w:ind w:left="360" w:right="120" w:rightChars="57"/>
        <w:jc w:val="left"/>
        <w:rPr>
          <w:rFonts w:hint="eastAsia" w:hAnsi="宋体" w:cs="宋体"/>
          <w:color w:val="auto"/>
          <w:highlight w:val="none"/>
        </w:rPr>
      </w:pPr>
    </w:p>
    <w:p w14:paraId="21CA1CD6">
      <w:pPr>
        <w:pStyle w:val="17"/>
        <w:snapToGrid w:val="0"/>
        <w:ind w:left="360" w:right="120" w:rightChars="57"/>
        <w:jc w:val="left"/>
        <w:rPr>
          <w:rFonts w:hint="eastAsia" w:hAnsi="宋体" w:cs="宋体"/>
          <w:color w:val="auto"/>
          <w:highlight w:val="none"/>
        </w:rPr>
      </w:pPr>
      <w:r>
        <w:rPr>
          <w:rFonts w:hint="eastAsia" w:hAnsi="宋体" w:cs="宋体"/>
          <w:color w:val="auto"/>
          <w:szCs w:val="21"/>
          <w:highlight w:val="none"/>
        </w:rPr>
        <w:br w:type="page"/>
      </w:r>
    </w:p>
    <w:bookmarkEnd w:id="93"/>
    <w:bookmarkEnd w:id="94"/>
    <w:bookmarkEnd w:id="95"/>
    <w:bookmarkEnd w:id="96"/>
    <w:bookmarkEnd w:id="97"/>
    <w:p w14:paraId="681C9D2C">
      <w:pPr>
        <w:pStyle w:val="4"/>
        <w:numPr>
          <w:ilvl w:val="0"/>
          <w:numId w:val="0"/>
        </w:numPr>
        <w:ind w:left="422"/>
        <w:rPr>
          <w:rFonts w:hint="eastAsia" w:hAnsi="宋体" w:cs="宋体"/>
          <w:color w:val="auto"/>
          <w:highlight w:val="none"/>
        </w:rPr>
      </w:pPr>
      <w:r>
        <w:rPr>
          <w:rFonts w:hint="eastAsia" w:hAnsi="宋体" w:cs="宋体"/>
          <w:color w:val="auto"/>
          <w:highlight w:val="none"/>
        </w:rPr>
        <w:t>四、资格证明材料</w:t>
      </w:r>
    </w:p>
    <w:p w14:paraId="74EFC1BE">
      <w:pPr>
        <w:pStyle w:val="4"/>
        <w:numPr>
          <w:ilvl w:val="0"/>
          <w:numId w:val="0"/>
        </w:numPr>
        <w:ind w:left="422"/>
        <w:rPr>
          <w:rFonts w:hint="eastAsia" w:hAnsi="宋体" w:cs="宋体"/>
          <w:b w:val="0"/>
          <w:color w:val="auto"/>
          <w:highlight w:val="none"/>
        </w:rPr>
      </w:pPr>
      <w:r>
        <w:rPr>
          <w:rFonts w:hint="eastAsia" w:hAnsi="宋体" w:cs="宋体"/>
          <w:b w:val="0"/>
          <w:color w:val="auto"/>
          <w:highlight w:val="none"/>
        </w:rPr>
        <w:t>（1）投标函</w:t>
      </w:r>
    </w:p>
    <w:p w14:paraId="13945C2C">
      <w:pPr>
        <w:jc w:val="center"/>
        <w:rPr>
          <w:rFonts w:hint="eastAsia" w:ascii="宋体" w:hAnsi="宋体" w:cs="宋体"/>
          <w:b/>
          <w:color w:val="auto"/>
          <w:sz w:val="28"/>
          <w:highlight w:val="none"/>
        </w:rPr>
      </w:pPr>
      <w:r>
        <w:rPr>
          <w:rFonts w:hint="eastAsia" w:ascii="宋体" w:hAnsi="宋体" w:cs="宋体"/>
          <w:b/>
          <w:color w:val="auto"/>
          <w:sz w:val="28"/>
          <w:highlight w:val="none"/>
        </w:rPr>
        <w:t>投 标 函</w:t>
      </w:r>
    </w:p>
    <w:p w14:paraId="1742510D">
      <w:pPr>
        <w:spacing w:line="360" w:lineRule="auto"/>
        <w:rPr>
          <w:rFonts w:hint="eastAsia" w:ascii="宋体" w:hAnsi="宋体" w:cs="宋体"/>
          <w:color w:val="auto"/>
          <w:highlight w:val="none"/>
        </w:rPr>
      </w:pPr>
    </w:p>
    <w:p w14:paraId="62893BB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致:（招标人名称）</w:t>
      </w:r>
    </w:p>
    <w:p w14:paraId="2CB7352E">
      <w:pPr>
        <w:spacing w:line="360" w:lineRule="auto"/>
        <w:rPr>
          <w:rFonts w:hint="eastAsia" w:ascii="宋体" w:hAnsi="宋体" w:cs="宋体"/>
          <w:color w:val="auto"/>
          <w:highlight w:val="none"/>
        </w:rPr>
      </w:pPr>
    </w:p>
    <w:p w14:paraId="0D54BCAA">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 xml:space="preserve">  我方确认收到贵方提供的（</w:t>
      </w:r>
      <w:r>
        <w:rPr>
          <w:rFonts w:hint="eastAsia" w:ascii="宋体" w:hAnsi="宋体" w:cs="宋体"/>
          <w:color w:val="auto"/>
          <w:kern w:val="28"/>
          <w:highlight w:val="none"/>
          <w:u w:val="single"/>
        </w:rPr>
        <w:t>招标项目名称）子包（）</w:t>
      </w:r>
      <w:r>
        <w:rPr>
          <w:rFonts w:hint="eastAsia" w:ascii="宋体" w:hAnsi="宋体" w:cs="宋体"/>
          <w:color w:val="auto"/>
          <w:kern w:val="28"/>
          <w:highlight w:val="none"/>
          <w:u w:val="single"/>
          <w:lang w:eastAsia="zh-CN"/>
        </w:rPr>
        <w:t>）</w:t>
      </w:r>
      <w:r>
        <w:rPr>
          <w:rFonts w:hint="eastAsia" w:ascii="宋体" w:hAnsi="宋体" w:cs="宋体"/>
          <w:color w:val="auto"/>
          <w:highlight w:val="none"/>
        </w:rPr>
        <w:t>的招标文件的全部内容，我方：</w:t>
      </w:r>
      <w:r>
        <w:rPr>
          <w:rFonts w:hint="eastAsia" w:ascii="宋体" w:hAnsi="宋体" w:cs="宋体"/>
          <w:color w:val="auto"/>
          <w:highlight w:val="none"/>
          <w:u w:val="single"/>
        </w:rPr>
        <w:t xml:space="preserve">                                   （投标人名称）</w:t>
      </w:r>
      <w:r>
        <w:rPr>
          <w:rFonts w:hint="eastAsia" w:ascii="宋体" w:hAnsi="宋体" w:cs="宋体"/>
          <w:color w:val="auto"/>
          <w:highlight w:val="none"/>
        </w:rPr>
        <w:t>作为投标者正式授权</w:t>
      </w:r>
      <w:r>
        <w:rPr>
          <w:rFonts w:hint="eastAsia" w:ascii="宋体" w:hAnsi="宋体" w:cs="宋体"/>
          <w:color w:val="auto"/>
          <w:highlight w:val="none"/>
          <w:u w:val="single"/>
        </w:rPr>
        <w:t>（授权代表全名, 职务）</w:t>
      </w:r>
      <w:r>
        <w:rPr>
          <w:rFonts w:hint="eastAsia" w:ascii="宋体" w:hAnsi="宋体" w:cs="宋体"/>
          <w:color w:val="auto"/>
          <w:highlight w:val="none"/>
        </w:rPr>
        <w:t>代表我方进行有关本投标的一切事宜。</w:t>
      </w:r>
    </w:p>
    <w:p w14:paraId="35146D38">
      <w:pPr>
        <w:spacing w:line="360" w:lineRule="auto"/>
        <w:ind w:firstLine="516" w:firstLineChars="246"/>
        <w:rPr>
          <w:rFonts w:hint="eastAsia" w:ascii="宋体" w:hAnsi="宋体" w:cs="宋体"/>
          <w:color w:val="auto"/>
          <w:highlight w:val="none"/>
        </w:rPr>
      </w:pPr>
      <w:r>
        <w:rPr>
          <w:rFonts w:hint="eastAsia" w:ascii="宋体" w:hAnsi="宋体" w:cs="宋体"/>
          <w:color w:val="auto"/>
          <w:highlight w:val="none"/>
        </w:rPr>
        <w:t>在此提交的投标文件, 正本一份, 副本</w:t>
      </w:r>
      <w:r>
        <w:rPr>
          <w:rFonts w:hint="eastAsia" w:ascii="宋体" w:hAnsi="宋体" w:cs="宋体"/>
          <w:color w:val="auto"/>
          <w:highlight w:val="none"/>
          <w:u w:val="single"/>
        </w:rPr>
        <w:t xml:space="preserve">     </w:t>
      </w:r>
      <w:r>
        <w:rPr>
          <w:rFonts w:hint="eastAsia" w:ascii="宋体" w:hAnsi="宋体" w:cs="宋体"/>
          <w:color w:val="auto"/>
          <w:highlight w:val="none"/>
        </w:rPr>
        <w:t>份，包括如下等内容：</w:t>
      </w:r>
    </w:p>
    <w:p w14:paraId="549C1781">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报价表；</w:t>
      </w:r>
    </w:p>
    <w:p w14:paraId="330F1E5E">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投标函；</w:t>
      </w:r>
    </w:p>
    <w:p w14:paraId="3C28EA07">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法定代表人证明书及法人授权书；</w:t>
      </w:r>
    </w:p>
    <w:p w14:paraId="2E22EAE8">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投标保证金支付证明复印件；</w:t>
      </w:r>
    </w:p>
    <w:p w14:paraId="5A301272">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有关确立投标人法律地位的原始文件副本复印件（如营业执照、组织代码证、税务登记证等）；</w:t>
      </w:r>
    </w:p>
    <w:p w14:paraId="5C8D1309">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资格及能力证明文件；</w:t>
      </w:r>
    </w:p>
    <w:p w14:paraId="00EF7FB0">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商务响应文件；</w:t>
      </w:r>
    </w:p>
    <w:p w14:paraId="7D15C668">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技术响应文件；</w:t>
      </w:r>
    </w:p>
    <w:p w14:paraId="58BF4855">
      <w:pPr>
        <w:numPr>
          <w:ilvl w:val="0"/>
          <w:numId w:val="4"/>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应招标文件的要求提供的其他有关文件</w:t>
      </w:r>
    </w:p>
    <w:p w14:paraId="36D372D5">
      <w:pPr>
        <w:spacing w:line="360" w:lineRule="auto"/>
        <w:ind w:firstLine="411" w:firstLineChars="196"/>
        <w:rPr>
          <w:rFonts w:hint="eastAsia" w:ascii="宋体" w:hAnsi="宋体" w:cs="宋体"/>
          <w:b w:val="0"/>
          <w:bCs w:val="0"/>
          <w:color w:val="auto"/>
          <w:highlight w:val="none"/>
        </w:rPr>
      </w:pPr>
      <w:r>
        <w:rPr>
          <w:rFonts w:hint="eastAsia" w:ascii="宋体" w:hAnsi="宋体" w:cs="宋体"/>
          <w:b w:val="0"/>
          <w:bCs w:val="0"/>
          <w:color w:val="auto"/>
          <w:sz w:val="21"/>
          <w:szCs w:val="21"/>
          <w:highlight w:val="none"/>
        </w:rPr>
        <w:t>我方已完全</w:t>
      </w:r>
      <w:r>
        <w:rPr>
          <w:rFonts w:hint="eastAsia" w:ascii="宋体" w:hAnsi="宋体" w:cs="宋体"/>
          <w:b w:val="0"/>
          <w:bCs w:val="0"/>
          <w:color w:val="auto"/>
          <w:highlight w:val="none"/>
        </w:rPr>
        <w:t>明白招标文件的所有条款要求，并重申以下几点：</w:t>
      </w:r>
    </w:p>
    <w:p w14:paraId="62440211">
      <w:pPr>
        <w:spacing w:line="360" w:lineRule="auto"/>
        <w:ind w:firstLine="411" w:firstLineChars="196"/>
        <w:rPr>
          <w:rFonts w:hint="eastAsia" w:ascii="宋体" w:hAnsi="宋体" w:cs="宋体"/>
          <w:color w:val="auto"/>
          <w:highlight w:val="none"/>
        </w:rPr>
      </w:pPr>
      <w:r>
        <w:rPr>
          <w:rFonts w:hint="eastAsia" w:ascii="宋体" w:hAnsi="宋体" w:cs="宋体"/>
          <w:b w:val="0"/>
          <w:bCs w:val="0"/>
          <w:color w:val="auto"/>
          <w:highlight w:val="none"/>
        </w:rPr>
        <w:t>（一）我方决定参</w:t>
      </w:r>
      <w:r>
        <w:rPr>
          <w:rFonts w:hint="eastAsia" w:ascii="宋体" w:hAnsi="宋体" w:cs="宋体"/>
          <w:color w:val="auto"/>
          <w:highlight w:val="none"/>
        </w:rPr>
        <w:t>加：项目名称为</w:t>
      </w:r>
      <w:r>
        <w:rPr>
          <w:rFonts w:hint="eastAsia" w:ascii="宋体" w:hAnsi="宋体" w:cs="宋体"/>
          <w:color w:val="auto"/>
          <w:highlight w:val="none"/>
          <w:u w:val="single"/>
        </w:rPr>
        <w:t xml:space="preserve">            子包（）</w:t>
      </w:r>
      <w:r>
        <w:rPr>
          <w:rFonts w:hint="eastAsia" w:ascii="宋体" w:hAnsi="宋体" w:cs="宋体"/>
          <w:color w:val="auto"/>
          <w:highlight w:val="none"/>
        </w:rPr>
        <w:t>的投标。</w:t>
      </w:r>
    </w:p>
    <w:p w14:paraId="26120F23">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（二）有关服务的投标总价详见投标报价表。</w:t>
      </w:r>
    </w:p>
    <w:p w14:paraId="219055AE">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（三）本投标文件的有效期投标截止日后</w:t>
      </w:r>
      <w:r>
        <w:rPr>
          <w:rFonts w:hint="eastAsia" w:ascii="宋体" w:hAnsi="宋体" w:cs="宋体"/>
          <w:b/>
          <w:color w:val="auto"/>
          <w:highlight w:val="none"/>
        </w:rPr>
        <w:t>90日</w:t>
      </w:r>
      <w:r>
        <w:rPr>
          <w:rFonts w:hint="eastAsia" w:ascii="宋体" w:hAnsi="宋体" w:cs="宋体"/>
          <w:color w:val="auto"/>
          <w:highlight w:val="none"/>
        </w:rPr>
        <w:t>有效，如中标，有效期将延至合同终止日为止。</w:t>
      </w:r>
    </w:p>
    <w:p w14:paraId="045870EF">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（四）我方已详细研究了招标文件的所有内容包括修正文（如果有）和所有已提供的参考资料以及有关附件并完全明白, 我方放弃在此方面提出含糊意见或误解的一切权力。</w:t>
      </w:r>
    </w:p>
    <w:p w14:paraId="53D7AF37">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（五）我方明白并愿意在规定的开标时间和日期之后,投标有效期之内撤回投标, 则投标保证金将被贵方没收。</w:t>
      </w:r>
    </w:p>
    <w:p w14:paraId="2C4EE11A">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（六）我方同意按照贵方可能提出的要求而提供与投标有关的任何其它数据或信息。</w:t>
      </w:r>
    </w:p>
    <w:p w14:paraId="589723B6">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（七）我方理解贵方不一定接受最低标价或任何贵方可能收到的投标。</w:t>
      </w:r>
    </w:p>
    <w:p w14:paraId="10965FEF">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（八）我方如果中标，将保证履行招标文件以及招标文件修改书（如果有的话）中的全部责任和义务，按质、按量、按期完成《合同书》中的全部任务。</w:t>
      </w:r>
    </w:p>
    <w:p w14:paraId="365142CD">
      <w:pPr>
        <w:spacing w:line="360" w:lineRule="auto"/>
        <w:ind w:firstLine="411" w:firstLineChars="196"/>
        <w:rPr>
          <w:rFonts w:hint="eastAsia" w:ascii="宋体" w:hAnsi="宋体" w:cs="宋体"/>
          <w:color w:val="auto"/>
          <w:szCs w:val="21"/>
          <w:highlight w:val="none"/>
        </w:rPr>
      </w:pPr>
      <w:r>
        <w:rPr>
          <w:rFonts w:hint="eastAsia" w:ascii="宋体" w:hAnsi="宋体" w:cs="宋体"/>
          <w:color w:val="auto"/>
          <w:highlight w:val="none"/>
        </w:rPr>
        <w:t>（九）如我方被授予合同，我方就本次招标支付有关的招标服务费。</w:t>
      </w:r>
    </w:p>
    <w:p w14:paraId="0FDE917D">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（十）所有与本招标有关的函件请发往下列地址:</w:t>
      </w:r>
    </w:p>
    <w:p w14:paraId="4D3A4857">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邮政编码：</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36B39C0">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电    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r>
        <w:rPr>
          <w:rFonts w:hint="eastAsia" w:ascii="宋体" w:hAnsi="宋体" w:cs="宋体"/>
          <w:color w:val="auto"/>
          <w:highlight w:val="none"/>
          <w:lang w:val="en-US" w:eastAsia="zh-CN"/>
        </w:rPr>
        <w:t>邮</w:t>
      </w:r>
      <w:r>
        <w:rPr>
          <w:rFonts w:hint="eastAsia" w:ascii="宋体" w:hAnsi="宋体" w:cs="宋体"/>
          <w:color w:val="auto"/>
          <w:highlight w:val="none"/>
        </w:rPr>
        <w:t xml:space="preserve">    </w:t>
      </w:r>
      <w:r>
        <w:rPr>
          <w:rFonts w:hint="eastAsia" w:ascii="宋体" w:hAnsi="宋体" w:cs="宋体"/>
          <w:color w:val="auto"/>
          <w:highlight w:val="none"/>
          <w:lang w:val="en-US" w:eastAsia="zh-CN"/>
        </w:rPr>
        <w:t>箱</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EBA797B">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代表姓名：</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职    务：</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2C6BE67">
      <w:pPr>
        <w:spacing w:line="360" w:lineRule="auto"/>
        <w:rPr>
          <w:rFonts w:hint="eastAsia" w:ascii="宋体" w:hAnsi="宋体" w:cs="宋体"/>
          <w:color w:val="auto"/>
          <w:highlight w:val="none"/>
          <w:u w:val="single"/>
        </w:rPr>
      </w:pPr>
    </w:p>
    <w:p w14:paraId="21752F56">
      <w:pPr>
        <w:spacing w:line="360" w:lineRule="auto"/>
        <w:ind w:left="630" w:hanging="630"/>
        <w:rPr>
          <w:rFonts w:hint="eastAsia" w:ascii="宋体" w:hAnsi="宋体" w:cs="宋体"/>
          <w:color w:val="auto"/>
          <w:highlight w:val="none"/>
        </w:rPr>
      </w:pPr>
    </w:p>
    <w:p w14:paraId="246498DD">
      <w:pPr>
        <w:spacing w:line="360" w:lineRule="auto"/>
        <w:rPr>
          <w:rFonts w:hint="eastAsia" w:ascii="宋体" w:hAnsi="宋体" w:cs="宋体"/>
          <w:color w:val="auto"/>
          <w:highlight w:val="none"/>
          <w:u w:val="single"/>
        </w:rPr>
      </w:pPr>
    </w:p>
    <w:p w14:paraId="686559E2">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567E177D">
      <w:pPr>
        <w:pStyle w:val="17"/>
        <w:ind w:left="4700" w:leftChars="2238"/>
        <w:jc w:val="left"/>
        <w:rPr>
          <w:rFonts w:hint="eastAsia" w:hAnsi="宋体" w:cs="宋体"/>
          <w:color w:val="auto"/>
          <w:highlight w:val="none"/>
        </w:rPr>
      </w:pPr>
      <w:r>
        <w:rPr>
          <w:rFonts w:hint="eastAsia" w:hAnsi="宋体" w:cs="宋体"/>
          <w:color w:val="auto"/>
          <w:highlight w:val="none"/>
        </w:rPr>
        <w:t>投标人法定代表人或其授权代表（签名或盖章）：</w:t>
      </w:r>
    </w:p>
    <w:p w14:paraId="79E2CD69">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62CA9B6B">
      <w:pPr>
        <w:spacing w:line="360" w:lineRule="auto"/>
        <w:ind w:left="721"/>
        <w:rPr>
          <w:rFonts w:hint="eastAsia" w:ascii="宋体" w:hAnsi="宋体" w:cs="宋体"/>
          <w:color w:val="auto"/>
          <w:highlight w:val="none"/>
          <w:u w:val="single"/>
        </w:rPr>
      </w:pPr>
    </w:p>
    <w:p w14:paraId="1AC64F5D">
      <w:pPr>
        <w:tabs>
          <w:tab w:val="left" w:pos="4320"/>
        </w:tabs>
        <w:rPr>
          <w:rFonts w:hint="eastAsia" w:ascii="宋体" w:hAnsi="宋体" w:cs="宋体"/>
          <w:color w:val="auto"/>
          <w:highlight w:val="none"/>
        </w:rPr>
      </w:pPr>
    </w:p>
    <w:p w14:paraId="0249C1EC">
      <w:pPr>
        <w:tabs>
          <w:tab w:val="left" w:pos="4320"/>
        </w:tabs>
        <w:rPr>
          <w:rFonts w:hint="eastAsia" w:ascii="宋体" w:hAnsi="宋体" w:cs="宋体"/>
          <w:color w:val="auto"/>
          <w:highlight w:val="none"/>
        </w:rPr>
      </w:pPr>
    </w:p>
    <w:p w14:paraId="69E55E90">
      <w:pPr>
        <w:tabs>
          <w:tab w:val="left" w:pos="4320"/>
        </w:tabs>
        <w:rPr>
          <w:rFonts w:hint="eastAsia" w:ascii="宋体" w:hAnsi="宋体" w:cs="宋体"/>
          <w:color w:val="auto"/>
          <w:highlight w:val="none"/>
        </w:rPr>
      </w:pPr>
    </w:p>
    <w:p w14:paraId="3B901F91">
      <w:pPr>
        <w:tabs>
          <w:tab w:val="left" w:pos="4320"/>
        </w:tabs>
        <w:rPr>
          <w:rFonts w:hint="eastAsia" w:ascii="宋体" w:hAnsi="宋体" w:cs="宋体"/>
          <w:color w:val="auto"/>
          <w:highlight w:val="none"/>
        </w:rPr>
      </w:pPr>
    </w:p>
    <w:p w14:paraId="57D506C5">
      <w:pPr>
        <w:tabs>
          <w:tab w:val="left" w:pos="4320"/>
        </w:tabs>
        <w:rPr>
          <w:rFonts w:hint="eastAsia" w:ascii="宋体" w:hAnsi="宋体" w:cs="宋体"/>
          <w:color w:val="auto"/>
          <w:highlight w:val="none"/>
        </w:rPr>
      </w:pPr>
    </w:p>
    <w:p w14:paraId="5E7EC47D">
      <w:pPr>
        <w:tabs>
          <w:tab w:val="left" w:pos="4320"/>
        </w:tabs>
        <w:rPr>
          <w:rFonts w:hint="eastAsia" w:ascii="宋体" w:hAnsi="宋体" w:cs="宋体"/>
          <w:color w:val="auto"/>
          <w:highlight w:val="none"/>
        </w:rPr>
      </w:pPr>
    </w:p>
    <w:p w14:paraId="090C7CF7">
      <w:pPr>
        <w:tabs>
          <w:tab w:val="left" w:pos="4320"/>
        </w:tabs>
        <w:rPr>
          <w:rFonts w:hint="eastAsia" w:ascii="宋体" w:hAnsi="宋体" w:cs="宋体"/>
          <w:color w:val="auto"/>
          <w:highlight w:val="none"/>
        </w:rPr>
      </w:pPr>
    </w:p>
    <w:p w14:paraId="1C862E8D">
      <w:pPr>
        <w:tabs>
          <w:tab w:val="left" w:pos="4320"/>
        </w:tabs>
        <w:rPr>
          <w:rFonts w:hint="eastAsia" w:ascii="宋体" w:hAnsi="宋体" w:cs="宋体"/>
          <w:color w:val="auto"/>
          <w:highlight w:val="none"/>
        </w:rPr>
      </w:pPr>
    </w:p>
    <w:p w14:paraId="3853074B">
      <w:pPr>
        <w:tabs>
          <w:tab w:val="left" w:pos="4320"/>
        </w:tabs>
        <w:rPr>
          <w:rFonts w:hint="eastAsia" w:ascii="宋体" w:hAnsi="宋体" w:cs="宋体"/>
          <w:color w:val="auto"/>
          <w:highlight w:val="none"/>
        </w:rPr>
      </w:pPr>
    </w:p>
    <w:p w14:paraId="2B83FBE1">
      <w:pPr>
        <w:tabs>
          <w:tab w:val="left" w:pos="4320"/>
        </w:tabs>
        <w:rPr>
          <w:rFonts w:hint="eastAsia" w:ascii="宋体" w:hAnsi="宋体" w:cs="宋体"/>
          <w:color w:val="auto"/>
          <w:highlight w:val="none"/>
        </w:rPr>
      </w:pPr>
    </w:p>
    <w:p w14:paraId="19A6EBD8">
      <w:pPr>
        <w:tabs>
          <w:tab w:val="left" w:pos="4320"/>
        </w:tabs>
        <w:rPr>
          <w:rFonts w:hint="eastAsia" w:ascii="宋体" w:hAnsi="宋体" w:cs="宋体"/>
          <w:color w:val="auto"/>
          <w:highlight w:val="none"/>
        </w:rPr>
      </w:pPr>
    </w:p>
    <w:p w14:paraId="1BE6A348">
      <w:pPr>
        <w:tabs>
          <w:tab w:val="left" w:pos="4320"/>
        </w:tabs>
        <w:rPr>
          <w:rFonts w:hint="eastAsia" w:ascii="宋体" w:hAnsi="宋体" w:cs="宋体"/>
          <w:color w:val="auto"/>
          <w:highlight w:val="none"/>
        </w:rPr>
      </w:pPr>
    </w:p>
    <w:p w14:paraId="10DD749A">
      <w:pPr>
        <w:rPr>
          <w:rFonts w:hint="eastAsia" w:ascii="宋体" w:hAnsi="宋体" w:cs="宋体"/>
          <w:color w:val="auto"/>
          <w:highlight w:val="none"/>
        </w:rPr>
      </w:pPr>
      <w:bookmarkStart w:id="98" w:name="_Toc496161873"/>
      <w:bookmarkStart w:id="99" w:name="_Toc118018365"/>
      <w:r>
        <w:rPr>
          <w:rFonts w:hint="eastAsia" w:ascii="宋体" w:hAnsi="宋体" w:cs="宋体"/>
          <w:color w:val="auto"/>
          <w:highlight w:val="none"/>
        </w:rPr>
        <w:br w:type="page"/>
      </w:r>
      <w:bookmarkStart w:id="100" w:name="_Toc476177991"/>
      <w:bookmarkStart w:id="101" w:name="_Toc476177432"/>
      <w:bookmarkStart w:id="102" w:name="_Toc455417783"/>
    </w:p>
    <w:p w14:paraId="32527105">
      <w:pPr>
        <w:pStyle w:val="4"/>
        <w:numPr>
          <w:ilvl w:val="0"/>
          <w:numId w:val="0"/>
        </w:numPr>
        <w:ind w:left="422"/>
        <w:rPr>
          <w:rFonts w:hint="eastAsia" w:hAnsi="宋体" w:cs="宋体"/>
          <w:b w:val="0"/>
          <w:bCs/>
          <w:color w:val="auto"/>
          <w:highlight w:val="none"/>
        </w:rPr>
      </w:pPr>
      <w:bookmarkStart w:id="103" w:name="_Toc477185969"/>
      <w:bookmarkStart w:id="104" w:name="_Toc477186330"/>
      <w:r>
        <w:rPr>
          <w:rFonts w:hint="eastAsia" w:hAnsi="宋体" w:cs="宋体"/>
          <w:b w:val="0"/>
          <w:bCs/>
          <w:color w:val="auto"/>
          <w:highlight w:val="none"/>
        </w:rPr>
        <w:t>（2）法定代表人证明书</w:t>
      </w:r>
      <w:bookmarkEnd w:id="98"/>
      <w:r>
        <w:rPr>
          <w:rFonts w:hint="eastAsia" w:hAnsi="宋体" w:cs="宋体"/>
          <w:b w:val="0"/>
          <w:bCs/>
          <w:color w:val="auto"/>
          <w:highlight w:val="none"/>
        </w:rPr>
        <w:t>及法定代表人授权书</w:t>
      </w:r>
      <w:bookmarkEnd w:id="99"/>
      <w:bookmarkEnd w:id="100"/>
      <w:bookmarkEnd w:id="101"/>
      <w:bookmarkEnd w:id="102"/>
      <w:bookmarkEnd w:id="103"/>
      <w:bookmarkEnd w:id="104"/>
    </w:p>
    <w:p w14:paraId="49685C40">
      <w:pPr>
        <w:widowControl/>
        <w:jc w:val="left"/>
        <w:rPr>
          <w:rFonts w:hint="eastAsia" w:ascii="宋体" w:hAnsi="宋体" w:cs="宋体"/>
          <w:color w:val="auto"/>
          <w:highlight w:val="none"/>
        </w:rPr>
      </w:pPr>
    </w:p>
    <w:p w14:paraId="26B6E91A">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（投标人可使用下述格式，也可使用广东省工商行政管理局统一印制的法定代表人证明书格式）</w:t>
      </w:r>
    </w:p>
    <w:p w14:paraId="079AFCDD">
      <w:pPr>
        <w:spacing w:line="360" w:lineRule="auto"/>
        <w:jc w:val="center"/>
        <w:rPr>
          <w:rFonts w:hint="eastAsia" w:ascii="宋体" w:hAnsi="宋体" w:cs="宋体"/>
          <w:b/>
          <w:color w:val="auto"/>
          <w:sz w:val="24"/>
          <w:highlight w:val="none"/>
        </w:rPr>
      </w:pPr>
    </w:p>
    <w:p w14:paraId="6B0503B3">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w:t>
      </w:r>
    </w:p>
    <w:p w14:paraId="6C0BA94E">
      <w:pPr>
        <w:spacing w:line="360" w:lineRule="auto"/>
        <w:rPr>
          <w:rFonts w:hint="eastAsia" w:ascii="宋体" w:hAnsi="宋体" w:cs="宋体"/>
          <w:bCs/>
          <w:color w:val="auto"/>
          <w:szCs w:val="21"/>
          <w:highlight w:val="none"/>
          <w:u w:val="single"/>
        </w:rPr>
      </w:pPr>
    </w:p>
    <w:p w14:paraId="3BCADA91">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u w:val="single"/>
        </w:rPr>
        <w:t>（姓名）</w:t>
      </w:r>
      <w:r>
        <w:rPr>
          <w:rFonts w:hint="eastAsia" w:ascii="宋体" w:hAnsi="宋体" w:cs="宋体"/>
          <w:bCs/>
          <w:color w:val="auto"/>
          <w:szCs w:val="21"/>
          <w:highlight w:val="none"/>
        </w:rPr>
        <w:t>现任我单位</w:t>
      </w:r>
      <w:r>
        <w:rPr>
          <w:rFonts w:hint="eastAsia" w:ascii="宋体" w:hAnsi="宋体" w:cs="宋体"/>
          <w:bCs/>
          <w:color w:val="auto"/>
          <w:szCs w:val="21"/>
          <w:highlight w:val="none"/>
          <w:u w:val="single"/>
        </w:rPr>
        <w:t>（职务）</w:t>
      </w:r>
      <w:r>
        <w:rPr>
          <w:rFonts w:hint="eastAsia" w:ascii="宋体" w:hAnsi="宋体" w:cs="宋体"/>
          <w:bCs/>
          <w:color w:val="auto"/>
          <w:szCs w:val="21"/>
          <w:highlight w:val="none"/>
        </w:rPr>
        <w:t>，为我司</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法定代表人，特此证明。</w:t>
      </w:r>
    </w:p>
    <w:p w14:paraId="2433E383">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有效期限：</w:t>
      </w:r>
    </w:p>
    <w:p w14:paraId="31302D39">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附：代表人性别：年龄：身份证号码：___________________________</w:t>
      </w:r>
    </w:p>
    <w:p w14:paraId="379DA95B">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 xml:space="preserve">企业注册号码：企业类型：_____________________________________ </w:t>
      </w:r>
    </w:p>
    <w:p w14:paraId="778CBAD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经营范围：</w:t>
      </w:r>
    </w:p>
    <w:p w14:paraId="08BDD6D7">
      <w:pPr>
        <w:spacing w:line="360" w:lineRule="auto"/>
        <w:jc w:val="left"/>
        <w:rPr>
          <w:rFonts w:hint="eastAsia" w:ascii="宋体" w:hAnsi="宋体" w:cs="宋体"/>
          <w:b/>
          <w:color w:val="auto"/>
          <w:szCs w:val="21"/>
          <w:highlight w:val="none"/>
          <w:u w:val="single"/>
        </w:rPr>
      </w:pPr>
      <w:r>
        <w:rPr>
          <w:rFonts w:hint="eastAsia" w:ascii="宋体" w:hAnsi="宋体" w:cs="宋体"/>
          <w:bCs/>
          <w:color w:val="auto"/>
          <w:szCs w:val="21"/>
          <w:highlight w:val="none"/>
        </w:rPr>
        <w:t>______________________________________________________。</w:t>
      </w:r>
    </w:p>
    <w:p w14:paraId="2E2F9EE7">
      <w:pPr>
        <w:spacing w:line="360" w:lineRule="auto"/>
        <w:rPr>
          <w:rFonts w:hint="eastAsia" w:ascii="宋体" w:hAnsi="宋体" w:cs="宋体"/>
          <w:b/>
          <w:color w:val="auto"/>
          <w:szCs w:val="21"/>
          <w:highlight w:val="none"/>
        </w:rPr>
      </w:pPr>
    </w:p>
    <w:p w14:paraId="5A927E3F">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52397695">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6F0988FB">
      <w:pPr>
        <w:rPr>
          <w:rFonts w:hint="eastAsia" w:ascii="宋体" w:hAnsi="宋体" w:cs="宋体"/>
          <w:color w:val="auto"/>
          <w:sz w:val="28"/>
          <w:szCs w:val="28"/>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8"/>
      </w:tblGrid>
      <w:tr w14:paraId="71F3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0" w:hRule="atLeast"/>
        </w:trPr>
        <w:tc>
          <w:tcPr>
            <w:tcW w:w="8338" w:type="dxa"/>
            <w:noWrap w:val="0"/>
            <w:vAlign w:val="center"/>
          </w:tcPr>
          <w:p w14:paraId="56471490">
            <w:pPr>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粘贴法定代表人身份证复印件</w:t>
            </w:r>
          </w:p>
        </w:tc>
      </w:tr>
    </w:tbl>
    <w:p w14:paraId="115BB89E">
      <w:pPr>
        <w:spacing w:line="360" w:lineRule="auto"/>
        <w:rPr>
          <w:rFonts w:hint="eastAsia" w:ascii="宋体" w:hAnsi="宋体" w:cs="宋体"/>
          <w:color w:val="auto"/>
          <w:highlight w:val="none"/>
        </w:rPr>
      </w:pPr>
      <w:r>
        <w:rPr>
          <w:rFonts w:hint="eastAsia" w:ascii="宋体" w:hAnsi="宋体" w:cs="宋体"/>
          <w:color w:val="auto"/>
          <w:highlight w:val="none"/>
        </w:rPr>
        <w:br w:type="page"/>
      </w:r>
    </w:p>
    <w:p w14:paraId="4C4CE410">
      <w:pPr>
        <w:spacing w:line="360" w:lineRule="auto"/>
        <w:jc w:val="center"/>
        <w:rPr>
          <w:rFonts w:hint="eastAsia" w:ascii="宋体" w:hAnsi="宋体" w:cs="宋体"/>
          <w:b/>
          <w:bCs/>
          <w:color w:val="auto"/>
          <w:sz w:val="30"/>
          <w:highlight w:val="none"/>
        </w:rPr>
      </w:pPr>
      <w:r>
        <w:rPr>
          <w:rFonts w:hint="eastAsia" w:ascii="宋体" w:hAnsi="宋体" w:cs="宋体"/>
          <w:b/>
          <w:bCs/>
          <w:color w:val="auto"/>
          <w:sz w:val="30"/>
          <w:highlight w:val="none"/>
        </w:rPr>
        <w:t>法定代表人授权书</w:t>
      </w:r>
    </w:p>
    <w:p w14:paraId="78690144">
      <w:pPr>
        <w:spacing w:line="360" w:lineRule="auto"/>
        <w:rPr>
          <w:rFonts w:hint="eastAsia"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szCs w:val="21"/>
          <w:highlight w:val="none"/>
        </w:rPr>
        <w:t>广东省机电设备招标有限公司</w:t>
      </w:r>
    </w:p>
    <w:p w14:paraId="2D59933B">
      <w:pPr>
        <w:spacing w:line="360" w:lineRule="auto"/>
        <w:ind w:firstLine="630" w:firstLineChars="300"/>
        <w:rPr>
          <w:rFonts w:hint="eastAsia" w:ascii="宋体" w:hAnsi="宋体" w:cs="宋体"/>
          <w:color w:val="auto"/>
          <w:highlight w:val="none"/>
        </w:rPr>
      </w:pPr>
      <w:r>
        <w:rPr>
          <w:rFonts w:hint="eastAsia" w:ascii="宋体" w:hAnsi="宋体" w:cs="宋体"/>
          <w:color w:val="auto"/>
          <w:highlight w:val="none"/>
        </w:rPr>
        <w:t>本授权书声明：注册于</w:t>
      </w:r>
      <w:r>
        <w:rPr>
          <w:rFonts w:hint="eastAsia" w:ascii="宋体" w:hAnsi="宋体" w:cs="宋体"/>
          <w:color w:val="auto"/>
          <w:highlight w:val="none"/>
          <w:u w:val="single"/>
        </w:rPr>
        <w:t>（国家或地区）</w:t>
      </w:r>
      <w:r>
        <w:rPr>
          <w:rFonts w:hint="eastAsia" w:ascii="宋体" w:hAnsi="宋体" w:cs="宋体"/>
          <w:color w:val="auto"/>
          <w:highlight w:val="none"/>
        </w:rPr>
        <w:t>的</w:t>
      </w:r>
      <w:r>
        <w:rPr>
          <w:rFonts w:hint="eastAsia" w:ascii="宋体" w:hAnsi="宋体" w:cs="宋体"/>
          <w:color w:val="auto"/>
          <w:highlight w:val="none"/>
          <w:u w:val="single"/>
        </w:rPr>
        <w:t>（投标人名称）</w:t>
      </w:r>
      <w:r>
        <w:rPr>
          <w:rFonts w:hint="eastAsia" w:ascii="宋体" w:hAnsi="宋体" w:cs="宋体"/>
          <w:color w:val="auto"/>
          <w:highlight w:val="none"/>
        </w:rPr>
        <w:t>的在下面签字的</w:t>
      </w:r>
      <w:r>
        <w:rPr>
          <w:rFonts w:hint="eastAsia" w:ascii="宋体" w:hAnsi="宋体" w:cs="宋体"/>
          <w:color w:val="auto"/>
          <w:highlight w:val="none"/>
          <w:u w:val="single"/>
        </w:rPr>
        <w:t>（法定代表人的姓名、职务）</w:t>
      </w:r>
      <w:r>
        <w:rPr>
          <w:rFonts w:hint="eastAsia" w:ascii="宋体" w:hAnsi="宋体" w:cs="宋体"/>
          <w:color w:val="auto"/>
          <w:highlight w:val="none"/>
        </w:rPr>
        <w:t>代表本公司授权在下面签字的</w:t>
      </w:r>
      <w:r>
        <w:rPr>
          <w:rFonts w:hint="eastAsia" w:ascii="宋体" w:hAnsi="宋体" w:cs="宋体"/>
          <w:color w:val="auto"/>
          <w:highlight w:val="none"/>
          <w:u w:val="single"/>
        </w:rPr>
        <w:t>（被授权人的姓名、职务）</w:t>
      </w:r>
      <w:r>
        <w:rPr>
          <w:rFonts w:hint="eastAsia" w:ascii="宋体" w:hAnsi="宋体" w:cs="宋体"/>
          <w:color w:val="auto"/>
          <w:highlight w:val="none"/>
        </w:rPr>
        <w:t>为本公司的合法代表人，就“项目名称：</w:t>
      </w:r>
      <w:r>
        <w:rPr>
          <w:rFonts w:hint="eastAsia" w:ascii="宋体" w:hAnsi="宋体" w:cs="宋体"/>
          <w:b/>
          <w:color w:val="auto"/>
          <w:szCs w:val="21"/>
          <w:highlight w:val="none"/>
          <w:u w:val="single"/>
        </w:rPr>
        <w:t xml:space="preserve">                 </w:t>
      </w:r>
      <w:r>
        <w:rPr>
          <w:rFonts w:hint="eastAsia" w:ascii="宋体" w:hAnsi="宋体" w:cs="宋体"/>
          <w:b w:val="0"/>
          <w:bCs/>
          <w:color w:val="auto"/>
          <w:szCs w:val="21"/>
          <w:highlight w:val="none"/>
          <w:u w:val="single"/>
        </w:rPr>
        <w:t xml:space="preserve"> 子包（）</w:t>
      </w:r>
      <w:r>
        <w:rPr>
          <w:rFonts w:hint="eastAsia" w:ascii="宋体" w:hAnsi="宋体" w:cs="宋体"/>
          <w:color w:val="auto"/>
          <w:szCs w:val="21"/>
          <w:highlight w:val="none"/>
        </w:rPr>
        <w:t>【项目编号：</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highlight w:val="none"/>
        </w:rPr>
        <w:t>招标的投标和合同执行，以我方的名义处理一切与之有关的事宜。</w:t>
      </w:r>
    </w:p>
    <w:p w14:paraId="6135D3C9">
      <w:pPr>
        <w:spacing w:line="276" w:lineRule="auto"/>
        <w:rPr>
          <w:rFonts w:hint="eastAsia" w:ascii="宋体" w:hAnsi="宋体" w:cs="宋体"/>
          <w:color w:val="auto"/>
          <w:highlight w:val="none"/>
        </w:rPr>
      </w:pPr>
    </w:p>
    <w:p w14:paraId="71B3DD51">
      <w:pPr>
        <w:spacing w:line="360" w:lineRule="auto"/>
        <w:rPr>
          <w:rFonts w:hint="eastAsia" w:ascii="宋体" w:hAnsi="宋体" w:cs="宋体"/>
          <w:color w:val="auto"/>
          <w:highlight w:val="none"/>
        </w:rPr>
      </w:pPr>
      <w:r>
        <w:rPr>
          <w:rFonts w:hint="eastAsia" w:ascii="宋体" w:hAnsi="宋体" w:cs="宋体"/>
          <w:color w:val="auto"/>
          <w:highlight w:val="none"/>
        </w:rPr>
        <w:t>本授权书于 年 月 日签字生效，特此证明。</w:t>
      </w:r>
    </w:p>
    <w:p w14:paraId="1D6DA1DD">
      <w:pPr>
        <w:spacing w:line="480" w:lineRule="auto"/>
        <w:ind w:firstLine="4740"/>
        <w:rPr>
          <w:rFonts w:hint="eastAsia" w:ascii="宋体" w:hAnsi="宋体" w:cs="宋体"/>
          <w:color w:val="auto"/>
          <w:highlight w:val="none"/>
        </w:rPr>
      </w:pPr>
      <w:r>
        <w:rPr>
          <w:rFonts w:hint="eastAsia" w:ascii="宋体" w:hAnsi="宋体" w:cs="宋体"/>
          <w:color w:val="auto"/>
          <w:highlight w:val="none"/>
        </w:rPr>
        <w:t>投标人名称:（盖章）：</w:t>
      </w:r>
    </w:p>
    <w:p w14:paraId="369D0AA4">
      <w:pPr>
        <w:spacing w:line="480" w:lineRule="auto"/>
        <w:ind w:firstLine="4740"/>
        <w:rPr>
          <w:rFonts w:hint="eastAsia" w:ascii="宋体" w:hAnsi="宋体" w:cs="宋体"/>
          <w:color w:val="auto"/>
          <w:highlight w:val="none"/>
        </w:rPr>
      </w:pPr>
      <w:r>
        <w:rPr>
          <w:rFonts w:hint="eastAsia" w:ascii="宋体" w:hAnsi="宋体" w:cs="宋体"/>
          <w:color w:val="auto"/>
          <w:highlight w:val="none"/>
        </w:rPr>
        <w:t>法定代表人（签字或盖章）：</w:t>
      </w:r>
    </w:p>
    <w:p w14:paraId="43F76EA4">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p w14:paraId="657A6267">
      <w:pPr>
        <w:spacing w:line="480" w:lineRule="auto"/>
        <w:ind w:firstLine="4740"/>
        <w:rPr>
          <w:rFonts w:hint="eastAsia" w:ascii="宋体" w:hAnsi="宋体" w:cs="宋体"/>
          <w:color w:val="auto"/>
          <w:highlight w:val="none"/>
        </w:rPr>
      </w:pPr>
    </w:p>
    <w:p w14:paraId="71C01E88">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被授权人（签字或盖章）：</w:t>
      </w:r>
    </w:p>
    <w:p w14:paraId="599D8191">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被授权人身份证号码：</w:t>
      </w:r>
    </w:p>
    <w:p w14:paraId="33FAFC53">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6"/>
      </w:tblGrid>
      <w:tr w14:paraId="44CE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trPr>
        <w:tc>
          <w:tcPr>
            <w:tcW w:w="8696" w:type="dxa"/>
            <w:noWrap w:val="0"/>
            <w:vAlign w:val="center"/>
          </w:tcPr>
          <w:p w14:paraId="73A2D396">
            <w:pPr>
              <w:spacing w:line="360" w:lineRule="auto"/>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粘贴被授权人身份证复印件</w:t>
            </w:r>
          </w:p>
        </w:tc>
      </w:tr>
    </w:tbl>
    <w:p w14:paraId="0D6667A1">
      <w:pPr>
        <w:widowControl/>
        <w:jc w:val="left"/>
        <w:rPr>
          <w:rFonts w:hint="eastAsia" w:ascii="宋体" w:hAnsi="宋体" w:cs="宋体"/>
          <w:bCs/>
          <w:color w:val="auto"/>
          <w:sz w:val="28"/>
          <w:szCs w:val="28"/>
          <w:highlight w:val="none"/>
        </w:rPr>
      </w:pPr>
      <w:r>
        <w:rPr>
          <w:rFonts w:hint="eastAsia" w:ascii="宋体" w:hAnsi="宋体" w:cs="宋体"/>
          <w:color w:val="auto"/>
          <w:highlight w:val="none"/>
        </w:rPr>
        <w:br w:type="page"/>
      </w:r>
    </w:p>
    <w:p w14:paraId="5BCF2BA2">
      <w:pPr>
        <w:spacing w:line="480" w:lineRule="auto"/>
        <w:rPr>
          <w:rFonts w:hint="eastAsia" w:ascii="宋体" w:hAnsi="宋体" w:cs="宋体"/>
          <w:bCs/>
          <w:color w:val="auto"/>
          <w:sz w:val="28"/>
          <w:szCs w:val="28"/>
          <w:highlight w:val="none"/>
        </w:rPr>
      </w:pPr>
      <w:r>
        <w:rPr>
          <w:rFonts w:hint="eastAsia" w:ascii="宋体" w:hAnsi="宋体" w:cs="宋体"/>
          <w:bCs/>
          <w:color w:val="auto"/>
          <w:sz w:val="28"/>
          <w:szCs w:val="28"/>
          <w:highlight w:val="none"/>
        </w:rPr>
        <w:t>（3）资格声明格式</w:t>
      </w:r>
    </w:p>
    <w:p w14:paraId="5ABAEA7D">
      <w:pPr>
        <w:spacing w:before="120" w:line="360" w:lineRule="auto"/>
        <w:jc w:val="center"/>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rPr>
        <w:t>资格声明</w:t>
      </w:r>
      <w:r>
        <w:rPr>
          <w:rFonts w:hint="eastAsia" w:ascii="宋体" w:hAnsi="宋体" w:cs="宋体"/>
          <w:b/>
          <w:color w:val="auto"/>
          <w:sz w:val="24"/>
          <w:highlight w:val="none"/>
          <w:lang w:val="en-US" w:eastAsia="zh-CN"/>
        </w:rPr>
        <w:t>函</w:t>
      </w:r>
    </w:p>
    <w:p w14:paraId="629E38EC">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广东南都娱乐传媒有限公司：</w:t>
      </w:r>
    </w:p>
    <w:p w14:paraId="603D2A97">
      <w:pPr>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下述投标人愿响应你方</w:t>
      </w:r>
      <w:r>
        <w:rPr>
          <w:rFonts w:hint="eastAsia" w:ascii="宋体" w:hAnsi="宋体" w:cs="宋体"/>
          <w:color w:val="auto"/>
          <w:szCs w:val="21"/>
          <w:highlight w:val="none"/>
          <w:u w:val="single"/>
        </w:rPr>
        <w:t>（项目</w:t>
      </w:r>
      <w:r>
        <w:rPr>
          <w:rFonts w:hint="eastAsia" w:ascii="宋体" w:hAnsi="宋体" w:cs="宋体"/>
          <w:color w:val="auto"/>
          <w:szCs w:val="21"/>
          <w:highlight w:val="none"/>
          <w:u w:val="single"/>
          <w:lang w:val="en-US" w:eastAsia="zh-CN"/>
        </w:rPr>
        <w:t>名称</w:t>
      </w:r>
      <w:r>
        <w:rPr>
          <w:rFonts w:hint="eastAsia" w:ascii="宋体" w:hAnsi="宋体" w:cs="宋体"/>
          <w:color w:val="auto"/>
          <w:szCs w:val="21"/>
          <w:highlight w:val="none"/>
          <w:u w:val="single"/>
        </w:rPr>
        <w:t>）子包（）</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rPr>
        <w:t>投标邀请，参与投标，并按招标文件要求提交所附资格文件且声明和保证如下：</w:t>
      </w:r>
    </w:p>
    <w:p w14:paraId="7011AF6A">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我方为本次投标所提交的所有证明其合格和资格的文件是真实的和正确的，并愿为其真实性和正确性承担法律责任；</w:t>
      </w:r>
    </w:p>
    <w:p w14:paraId="3CC7ED36">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我方是依法注册的法人，在法律上、财务上和运作上完全独立于广东南都娱乐传媒有限公司及广东省机电设备招标有限公司</w:t>
      </w:r>
      <w:bookmarkStart w:id="204" w:name="_GoBack"/>
      <w:bookmarkEnd w:id="204"/>
      <w:r>
        <w:rPr>
          <w:rFonts w:hint="eastAsia" w:ascii="宋体" w:hAnsi="宋体" w:cs="宋体"/>
          <w:color w:val="auto"/>
          <w:szCs w:val="21"/>
          <w:highlight w:val="none"/>
        </w:rPr>
        <w:t>；</w:t>
      </w:r>
    </w:p>
    <w:p w14:paraId="43EB12FD">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rPr>
        <w:t>具有独立承担民事责任能力</w:t>
      </w:r>
      <w:r>
        <w:rPr>
          <w:rFonts w:hint="eastAsia" w:ascii="宋体" w:hAnsi="宋体" w:cs="宋体"/>
          <w:bCs/>
          <w:color w:val="auto"/>
          <w:kern w:val="28"/>
          <w:szCs w:val="22"/>
          <w:lang w:eastAsia="zh-CN"/>
        </w:rPr>
        <w:t>；</w:t>
      </w:r>
    </w:p>
    <w:p w14:paraId="4A430556">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具有良好的商业信誉和健全的财务制度</w:t>
      </w:r>
      <w:r>
        <w:rPr>
          <w:rFonts w:hint="eastAsia" w:ascii="宋体" w:hAnsi="宋体" w:cs="宋体"/>
          <w:bCs/>
          <w:color w:val="auto"/>
          <w:kern w:val="28"/>
          <w:szCs w:val="22"/>
          <w:highlight w:val="none"/>
          <w:lang w:eastAsia="zh-CN"/>
        </w:rPr>
        <w:t>；</w:t>
      </w:r>
    </w:p>
    <w:p w14:paraId="7FE69757">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具有依法缴纳税收和社会保障资金的良好记录</w:t>
      </w:r>
      <w:r>
        <w:rPr>
          <w:rFonts w:hint="eastAsia" w:ascii="宋体" w:hAnsi="宋体" w:cs="宋体"/>
          <w:bCs/>
          <w:color w:val="auto"/>
          <w:kern w:val="28"/>
          <w:szCs w:val="22"/>
          <w:highlight w:val="none"/>
          <w:lang w:eastAsia="zh-CN"/>
        </w:rPr>
        <w:t>；</w:t>
      </w:r>
    </w:p>
    <w:p w14:paraId="0D6EA5A0">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具备</w:t>
      </w:r>
      <w:r>
        <w:rPr>
          <w:rFonts w:hint="eastAsia" w:ascii="宋体" w:hAnsi="宋体" w:cs="宋体"/>
          <w:bCs/>
          <w:color w:val="auto"/>
          <w:kern w:val="28"/>
          <w:szCs w:val="22"/>
          <w:highlight w:val="none"/>
          <w:lang w:val="zh-CN"/>
        </w:rPr>
        <w:t>履行合同所必需的设备和专业技术能力；</w:t>
      </w:r>
    </w:p>
    <w:p w14:paraId="6F83798F">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color w:val="auto"/>
          <w:kern w:val="28"/>
          <w:szCs w:val="22"/>
          <w:lang w:val="en-US" w:eastAsia="zh-CN"/>
        </w:rPr>
        <w:t>我方未为</w:t>
      </w:r>
      <w:r>
        <w:rPr>
          <w:rFonts w:hint="eastAsia" w:ascii="宋体" w:hAnsi="宋体" w:cs="宋体"/>
          <w:bCs/>
          <w:color w:val="auto"/>
          <w:kern w:val="28"/>
          <w:szCs w:val="22"/>
        </w:rPr>
        <w:t>本项目提供整体设计、规范编制或者项目管理、 监理、 检测等服务</w:t>
      </w:r>
    </w:p>
    <w:p w14:paraId="3870AC0E">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我方所属的单位负责人为同一人或者存在控股、管理等关联关系的不同供应商，未参加同一合同项下的采购活动</w:t>
      </w:r>
      <w:r>
        <w:rPr>
          <w:rFonts w:hint="eastAsia" w:ascii="宋体" w:hAnsi="宋体" w:cs="宋体"/>
          <w:color w:val="auto"/>
          <w:szCs w:val="21"/>
          <w:highlight w:val="none"/>
          <w:lang w:eastAsia="zh-CN"/>
        </w:rPr>
        <w:t>；</w:t>
      </w:r>
    </w:p>
    <w:p w14:paraId="61E735DD">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color w:val="auto"/>
          <w:kern w:val="28"/>
          <w:szCs w:val="22"/>
          <w:highlight w:val="none"/>
        </w:rPr>
        <w:t>参加采购活动前3年内，在经营活动中没有重大违法记录</w:t>
      </w:r>
      <w:r>
        <w:rPr>
          <w:rFonts w:hint="eastAsia" w:ascii="宋体" w:hAnsi="宋体" w:cs="宋体"/>
          <w:bCs/>
          <w:color w:val="auto"/>
          <w:kern w:val="28"/>
          <w:szCs w:val="22"/>
          <w:highlight w:val="none"/>
          <w:lang w:eastAsia="zh-CN"/>
        </w:rPr>
        <w:t>；</w:t>
      </w:r>
    </w:p>
    <w:p w14:paraId="47AA63C7">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color w:val="auto"/>
          <w:kern w:val="28"/>
          <w:szCs w:val="22"/>
          <w:lang w:val="en-US" w:eastAsia="zh-CN"/>
        </w:rPr>
        <w:t>我方</w:t>
      </w:r>
      <w:r>
        <w:rPr>
          <w:rFonts w:hint="eastAsia" w:ascii="宋体" w:hAnsi="宋体" w:cs="宋体"/>
          <w:bCs/>
          <w:color w:val="auto"/>
          <w:kern w:val="28"/>
          <w:szCs w:val="22"/>
        </w:rPr>
        <w:t>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w:t>
      </w:r>
      <w:r>
        <w:rPr>
          <w:rFonts w:hint="eastAsia" w:ascii="宋体" w:hAnsi="宋体" w:cs="宋体"/>
          <w:bCs/>
          <w:color w:val="auto"/>
          <w:kern w:val="28"/>
          <w:szCs w:val="22"/>
          <w:lang w:eastAsia="zh-CN"/>
        </w:rPr>
        <w:t>；</w:t>
      </w:r>
    </w:p>
    <w:p w14:paraId="1D444538">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lang w:val="en-US" w:eastAsia="zh-CN"/>
        </w:rPr>
        <w:t>我方未提供备选方案，不</w:t>
      </w:r>
      <w:r>
        <w:rPr>
          <w:rFonts w:hint="eastAsia" w:ascii="宋体" w:hAnsi="宋体" w:cs="宋体"/>
          <w:bCs/>
          <w:color w:val="auto"/>
          <w:kern w:val="28"/>
          <w:szCs w:val="22"/>
          <w:lang w:val="en-US" w:eastAsia="zh-CN"/>
        </w:rPr>
        <w:t>违法</w:t>
      </w:r>
      <w:r>
        <w:rPr>
          <w:rFonts w:hint="eastAsia" w:ascii="宋体" w:hAnsi="宋体" w:cs="宋体"/>
          <w:bCs/>
          <w:color w:val="auto"/>
          <w:kern w:val="28"/>
          <w:szCs w:val="22"/>
        </w:rPr>
        <w:t>分包或转包，</w:t>
      </w:r>
      <w:r>
        <w:rPr>
          <w:rFonts w:hint="eastAsia" w:ascii="宋体" w:hAnsi="宋体" w:cs="宋体"/>
          <w:bCs/>
          <w:color w:val="auto"/>
          <w:kern w:val="28"/>
          <w:szCs w:val="22"/>
          <w:lang w:val="en-US" w:eastAsia="zh-CN"/>
        </w:rPr>
        <w:t>未以</w:t>
      </w:r>
      <w:r>
        <w:rPr>
          <w:rFonts w:hint="eastAsia" w:ascii="宋体" w:hAnsi="宋体" w:cs="宋体"/>
          <w:bCs/>
          <w:color w:val="auto"/>
          <w:kern w:val="28"/>
          <w:szCs w:val="22"/>
        </w:rPr>
        <w:t>接受联合体</w:t>
      </w:r>
      <w:r>
        <w:rPr>
          <w:rFonts w:hint="eastAsia" w:ascii="宋体" w:hAnsi="宋体" w:cs="宋体"/>
          <w:bCs/>
          <w:color w:val="auto"/>
          <w:kern w:val="28"/>
          <w:szCs w:val="22"/>
          <w:lang w:val="en-US" w:eastAsia="zh-CN"/>
        </w:rPr>
        <w:t>身份</w:t>
      </w:r>
      <w:r>
        <w:rPr>
          <w:rFonts w:hint="eastAsia" w:ascii="宋体" w:hAnsi="宋体" w:cs="宋体"/>
          <w:bCs/>
          <w:color w:val="auto"/>
          <w:kern w:val="28"/>
          <w:szCs w:val="22"/>
        </w:rPr>
        <w:t>投标</w:t>
      </w:r>
      <w:r>
        <w:rPr>
          <w:rFonts w:hint="eastAsia" w:ascii="宋体" w:hAnsi="宋体" w:cs="宋体"/>
          <w:bCs/>
          <w:color w:val="auto"/>
          <w:kern w:val="28"/>
          <w:szCs w:val="22"/>
          <w:lang w:eastAsia="zh-CN"/>
        </w:rPr>
        <w:t>；</w:t>
      </w:r>
    </w:p>
    <w:p w14:paraId="74DA8E6E">
      <w:pPr>
        <w:numPr>
          <w:ilvl w:val="0"/>
          <w:numId w:val="5"/>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单位地址为同一地址的不同投标人，未参与同一合同项下的采购活动。</w:t>
      </w:r>
    </w:p>
    <w:p w14:paraId="366B6376">
      <w:pPr>
        <w:spacing w:line="360" w:lineRule="auto"/>
        <w:ind w:firstLine="3990" w:firstLineChars="1900"/>
        <w:rPr>
          <w:rFonts w:hint="eastAsia" w:ascii="宋体" w:hAnsi="宋体" w:cs="宋体"/>
          <w:color w:val="auto"/>
          <w:highlight w:val="none"/>
        </w:rPr>
      </w:pPr>
    </w:p>
    <w:p w14:paraId="7A208860">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12E114AD">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7CEC09DD">
      <w:pPr>
        <w:spacing w:line="480" w:lineRule="auto"/>
        <w:ind w:firstLine="3990" w:firstLineChars="1900"/>
        <w:rPr>
          <w:rFonts w:hint="eastAsia" w:ascii="宋体" w:hAnsi="宋体" w:cs="宋体"/>
          <w:color w:val="auto"/>
          <w:highlight w:val="none"/>
          <w:u w:val="single"/>
        </w:rPr>
      </w:pPr>
    </w:p>
    <w:p w14:paraId="043F3CDA">
      <w:pPr>
        <w:pStyle w:val="6"/>
        <w:spacing w:before="0" w:after="0" w:line="360" w:lineRule="auto"/>
        <w:ind w:left="0" w:firstLine="0"/>
        <w:rPr>
          <w:rFonts w:hint="eastAsia" w:ascii="宋体" w:hAnsi="宋体" w:cs="宋体"/>
          <w:b w:val="0"/>
          <w:bCs/>
          <w:color w:val="auto"/>
          <w:szCs w:val="21"/>
          <w:highlight w:val="none"/>
        </w:rPr>
      </w:pPr>
      <w:r>
        <w:rPr>
          <w:rFonts w:hint="eastAsia" w:ascii="宋体" w:hAnsi="宋体" w:cs="宋体"/>
          <w:color w:val="auto"/>
          <w:highlight w:val="none"/>
        </w:rPr>
        <w:br w:type="page"/>
      </w:r>
      <w:r>
        <w:rPr>
          <w:rFonts w:hint="eastAsia" w:ascii="宋体" w:hAnsi="宋体" w:cs="宋体"/>
          <w:b w:val="0"/>
          <w:bCs/>
          <w:color w:val="auto"/>
          <w:szCs w:val="28"/>
          <w:highlight w:val="none"/>
        </w:rPr>
        <w:t>（4）其他资格证明材料</w:t>
      </w:r>
    </w:p>
    <w:p w14:paraId="3C0DFCF4">
      <w:pPr>
        <w:spacing w:line="480" w:lineRule="auto"/>
        <w:rPr>
          <w:rFonts w:hint="eastAsia" w:ascii="宋体" w:hAnsi="宋体" w:cs="宋体"/>
          <w:color w:val="auto"/>
          <w:highlight w:val="none"/>
        </w:rPr>
      </w:pPr>
      <w:r>
        <w:rPr>
          <w:rFonts w:hint="eastAsia" w:ascii="宋体" w:hAnsi="宋体" w:cs="宋体"/>
          <w:color w:val="auto"/>
          <w:highlight w:val="none"/>
        </w:rPr>
        <w:t>根据合格投标人资格条件提供证明材料</w:t>
      </w:r>
    </w:p>
    <w:p w14:paraId="44D7AE30">
      <w:pPr>
        <w:spacing w:line="360" w:lineRule="auto"/>
        <w:ind w:left="-359" w:leftChars="-171" w:firstLine="462" w:firstLineChars="220"/>
        <w:rPr>
          <w:rFonts w:hint="eastAsia" w:ascii="宋体" w:hAnsi="宋体" w:eastAsia="宋体" w:cs="宋体"/>
          <w:bCs/>
          <w:color w:val="auto"/>
          <w:szCs w:val="21"/>
          <w:highlight w:val="none"/>
        </w:rPr>
      </w:pPr>
      <w:r>
        <w:rPr>
          <w:rFonts w:hint="eastAsia" w:ascii="宋体" w:hAnsi="宋体" w:eastAsia="宋体" w:cs="宋体"/>
          <w:b w:val="0"/>
          <w:color w:val="auto"/>
          <w:highlight w:val="none"/>
        </w:rPr>
        <w:br w:type="page"/>
      </w:r>
      <w:r>
        <w:rPr>
          <w:rFonts w:hint="eastAsia" w:ascii="宋体" w:hAnsi="宋体" w:cs="宋体"/>
          <w:bCs/>
          <w:color w:val="auto"/>
          <w:sz w:val="28"/>
          <w:szCs w:val="28"/>
          <w:highlight w:val="none"/>
        </w:rPr>
        <w:t>五、商务文件格式</w:t>
      </w:r>
    </w:p>
    <w:p w14:paraId="28E4313A">
      <w:pPr>
        <w:pStyle w:val="5"/>
        <w:spacing w:before="0" w:after="0"/>
        <w:ind w:left="0" w:firstLine="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（一）企业状况</w:t>
      </w:r>
    </w:p>
    <w:p w14:paraId="6E69FA79">
      <w:pPr>
        <w:pStyle w:val="6"/>
        <w:spacing w:before="0" w:after="0"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（1）企业基本情况介绍</w:t>
      </w:r>
    </w:p>
    <w:tbl>
      <w:tblPr>
        <w:tblStyle w:val="27"/>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8"/>
        <w:gridCol w:w="1035"/>
        <w:gridCol w:w="1125"/>
        <w:gridCol w:w="840"/>
        <w:gridCol w:w="420"/>
        <w:gridCol w:w="311"/>
        <w:gridCol w:w="1078"/>
        <w:gridCol w:w="490"/>
        <w:gridCol w:w="860"/>
        <w:gridCol w:w="1532"/>
      </w:tblGrid>
      <w:tr w14:paraId="0528BB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64F357A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投标人名称</w:t>
            </w:r>
          </w:p>
        </w:tc>
        <w:tc>
          <w:tcPr>
            <w:tcW w:w="7691" w:type="dxa"/>
            <w:gridSpan w:val="9"/>
            <w:tcBorders>
              <w:top w:val="single" w:color="auto" w:sz="4" w:space="0"/>
              <w:left w:val="single" w:color="auto" w:sz="4" w:space="0"/>
              <w:bottom w:val="single" w:color="auto" w:sz="4" w:space="0"/>
              <w:right w:val="single" w:color="auto" w:sz="4" w:space="0"/>
            </w:tcBorders>
            <w:noWrap w:val="0"/>
            <w:vAlign w:val="center"/>
          </w:tcPr>
          <w:p w14:paraId="6632F066">
            <w:pPr>
              <w:topLinePunct/>
              <w:snapToGrid w:val="0"/>
              <w:spacing w:line="360" w:lineRule="auto"/>
              <w:jc w:val="center"/>
              <w:rPr>
                <w:rFonts w:hint="eastAsia" w:ascii="宋体" w:hAnsi="宋体" w:cs="宋体"/>
                <w:color w:val="auto"/>
                <w:szCs w:val="21"/>
                <w:highlight w:val="none"/>
              </w:rPr>
            </w:pPr>
          </w:p>
        </w:tc>
      </w:tr>
      <w:tr w14:paraId="4E4D0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032CD76C">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注册地址（以营业执照上的住所填写）</w:t>
            </w:r>
          </w:p>
        </w:tc>
        <w:tc>
          <w:tcPr>
            <w:tcW w:w="3731" w:type="dxa"/>
            <w:gridSpan w:val="5"/>
            <w:tcBorders>
              <w:top w:val="single" w:color="auto" w:sz="4" w:space="0"/>
              <w:left w:val="single" w:color="auto" w:sz="4" w:space="0"/>
              <w:bottom w:val="single" w:color="auto" w:sz="4" w:space="0"/>
              <w:right w:val="single" w:color="auto" w:sz="4" w:space="0"/>
            </w:tcBorders>
            <w:noWrap w:val="0"/>
            <w:vAlign w:val="center"/>
          </w:tcPr>
          <w:p w14:paraId="44D04EAF">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C84A72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007A657A">
            <w:pPr>
              <w:topLinePunct/>
              <w:snapToGrid w:val="0"/>
              <w:spacing w:line="360" w:lineRule="auto"/>
              <w:jc w:val="center"/>
              <w:rPr>
                <w:rFonts w:hint="eastAsia" w:ascii="宋体" w:hAnsi="宋体" w:cs="宋体"/>
                <w:color w:val="auto"/>
                <w:szCs w:val="21"/>
                <w:highlight w:val="none"/>
              </w:rPr>
            </w:pPr>
          </w:p>
        </w:tc>
      </w:tr>
      <w:tr w14:paraId="3C7C3C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908" w:type="dxa"/>
            <w:vMerge w:val="restart"/>
            <w:tcBorders>
              <w:top w:val="single" w:color="auto" w:sz="4" w:space="0"/>
              <w:left w:val="single" w:color="auto" w:sz="4" w:space="0"/>
              <w:bottom w:val="single" w:color="auto" w:sz="4" w:space="0"/>
              <w:right w:val="single" w:color="auto" w:sz="4" w:space="0"/>
            </w:tcBorders>
            <w:noWrap w:val="0"/>
            <w:vAlign w:val="center"/>
          </w:tcPr>
          <w:p w14:paraId="1C1B8B1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652D8A5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696" w:type="dxa"/>
            <w:gridSpan w:val="4"/>
            <w:tcBorders>
              <w:top w:val="single" w:color="auto" w:sz="4" w:space="0"/>
              <w:left w:val="single" w:color="auto" w:sz="4" w:space="0"/>
              <w:bottom w:val="single" w:color="auto" w:sz="4" w:space="0"/>
              <w:right w:val="single" w:color="auto" w:sz="4" w:space="0"/>
            </w:tcBorders>
            <w:noWrap w:val="0"/>
            <w:vAlign w:val="center"/>
          </w:tcPr>
          <w:p w14:paraId="5B71F672">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5AC4A7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 xml:space="preserve">电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话</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0978D6D9">
            <w:pPr>
              <w:topLinePunct/>
              <w:snapToGrid w:val="0"/>
              <w:spacing w:line="360" w:lineRule="auto"/>
              <w:jc w:val="center"/>
              <w:rPr>
                <w:rFonts w:hint="eastAsia" w:ascii="宋体" w:hAnsi="宋体" w:cs="宋体"/>
                <w:color w:val="auto"/>
                <w:szCs w:val="21"/>
                <w:highlight w:val="none"/>
              </w:rPr>
            </w:pPr>
          </w:p>
        </w:tc>
      </w:tr>
      <w:tr w14:paraId="7DF8D8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08" w:type="dxa"/>
            <w:vMerge w:val="continue"/>
            <w:tcBorders>
              <w:top w:val="single" w:color="auto" w:sz="4" w:space="0"/>
              <w:left w:val="single" w:color="auto" w:sz="4" w:space="0"/>
              <w:bottom w:val="single" w:color="auto" w:sz="4" w:space="0"/>
              <w:right w:val="single" w:color="auto" w:sz="4" w:space="0"/>
            </w:tcBorders>
            <w:noWrap w:val="0"/>
            <w:vAlign w:val="center"/>
          </w:tcPr>
          <w:p w14:paraId="1B661502">
            <w:pPr>
              <w:topLinePunct/>
              <w:snapToGrid w:val="0"/>
              <w:spacing w:line="360" w:lineRule="auto"/>
              <w:jc w:val="center"/>
              <w:rPr>
                <w:rFonts w:hint="eastAsia" w:ascii="宋体" w:hAnsi="宋体" w:cs="宋体"/>
                <w:color w:val="auto"/>
                <w:szCs w:val="21"/>
                <w:highlight w:val="none"/>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D06E733">
            <w:pPr>
              <w:topLinePunct/>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邮  箱</w:t>
            </w:r>
          </w:p>
        </w:tc>
        <w:tc>
          <w:tcPr>
            <w:tcW w:w="2696" w:type="dxa"/>
            <w:gridSpan w:val="4"/>
            <w:tcBorders>
              <w:top w:val="single" w:color="auto" w:sz="4" w:space="0"/>
              <w:left w:val="single" w:color="auto" w:sz="4" w:space="0"/>
              <w:bottom w:val="single" w:color="auto" w:sz="4" w:space="0"/>
              <w:right w:val="single" w:color="auto" w:sz="4" w:space="0"/>
            </w:tcBorders>
            <w:noWrap w:val="0"/>
            <w:vAlign w:val="center"/>
          </w:tcPr>
          <w:p w14:paraId="7A359FFF">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5D700D4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网</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址</w:t>
            </w:r>
          </w:p>
        </w:tc>
        <w:tc>
          <w:tcPr>
            <w:tcW w:w="2882" w:type="dxa"/>
            <w:gridSpan w:val="3"/>
            <w:tcBorders>
              <w:top w:val="single" w:color="auto" w:sz="4" w:space="0"/>
              <w:left w:val="single" w:color="auto" w:sz="4" w:space="0"/>
              <w:bottom w:val="single" w:color="auto" w:sz="4" w:space="0"/>
              <w:right w:val="single" w:color="auto" w:sz="4" w:space="0"/>
            </w:tcBorders>
            <w:noWrap w:val="0"/>
            <w:vAlign w:val="center"/>
          </w:tcPr>
          <w:p w14:paraId="3467C40E">
            <w:pPr>
              <w:topLinePunct/>
              <w:snapToGrid w:val="0"/>
              <w:spacing w:line="360" w:lineRule="auto"/>
              <w:jc w:val="center"/>
              <w:rPr>
                <w:rFonts w:hint="eastAsia" w:ascii="宋体" w:hAnsi="宋体" w:cs="宋体"/>
                <w:color w:val="auto"/>
                <w:szCs w:val="21"/>
                <w:highlight w:val="none"/>
              </w:rPr>
            </w:pPr>
          </w:p>
        </w:tc>
      </w:tr>
      <w:tr w14:paraId="2FDEC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7935783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643EE08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75851B6">
            <w:pPr>
              <w:topLinePunct/>
              <w:snapToGrid w:val="0"/>
              <w:spacing w:line="360" w:lineRule="auto"/>
              <w:jc w:val="center"/>
              <w:rPr>
                <w:rFonts w:hint="eastAsia" w:ascii="宋体" w:hAnsi="宋体" w:cs="宋体"/>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6458698">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7A322BF7">
            <w:pPr>
              <w:topLinePunct/>
              <w:snapToGrid w:val="0"/>
              <w:spacing w:line="360" w:lineRule="auto"/>
              <w:jc w:val="center"/>
              <w:rPr>
                <w:rFonts w:hint="eastAsia" w:ascii="宋体" w:hAnsi="宋体" w:cs="宋体"/>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60A4D798">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532" w:type="dxa"/>
            <w:tcBorders>
              <w:top w:val="single" w:color="auto" w:sz="4" w:space="0"/>
              <w:left w:val="single" w:color="auto" w:sz="4" w:space="0"/>
              <w:bottom w:val="single" w:color="auto" w:sz="4" w:space="0"/>
              <w:right w:val="single" w:color="auto" w:sz="4" w:space="0"/>
            </w:tcBorders>
            <w:noWrap w:val="0"/>
            <w:vAlign w:val="center"/>
          </w:tcPr>
          <w:p w14:paraId="4C7020BF">
            <w:pPr>
              <w:topLinePunct/>
              <w:snapToGrid w:val="0"/>
              <w:spacing w:line="360" w:lineRule="auto"/>
              <w:jc w:val="center"/>
              <w:rPr>
                <w:rFonts w:hint="eastAsia" w:ascii="宋体" w:hAnsi="宋体" w:cs="宋体"/>
                <w:color w:val="auto"/>
                <w:szCs w:val="21"/>
                <w:highlight w:val="none"/>
              </w:rPr>
            </w:pPr>
          </w:p>
        </w:tc>
      </w:tr>
      <w:tr w14:paraId="7AC29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407B831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2345429D">
            <w:pPr>
              <w:topLinePunct/>
              <w:snapToGrid w:val="0"/>
              <w:spacing w:line="360" w:lineRule="auto"/>
              <w:jc w:val="center"/>
              <w:rPr>
                <w:rFonts w:hint="eastAsia" w:ascii="宋体" w:hAnsi="宋体" w:cs="宋体"/>
                <w:color w:val="auto"/>
                <w:szCs w:val="21"/>
                <w:highlight w:val="none"/>
              </w:rPr>
            </w:pPr>
          </w:p>
        </w:tc>
        <w:tc>
          <w:tcPr>
            <w:tcW w:w="5531" w:type="dxa"/>
            <w:gridSpan w:val="7"/>
            <w:tcBorders>
              <w:top w:val="single" w:color="auto" w:sz="4" w:space="0"/>
              <w:left w:val="single" w:color="auto" w:sz="4" w:space="0"/>
              <w:bottom w:val="single" w:color="auto" w:sz="4" w:space="0"/>
              <w:right w:val="single" w:color="auto" w:sz="4" w:space="0"/>
            </w:tcBorders>
            <w:noWrap w:val="0"/>
            <w:vAlign w:val="center"/>
          </w:tcPr>
          <w:p w14:paraId="4DD77944">
            <w:pPr>
              <w:topLinePunct/>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03EA38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74E10EC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企业资质等级</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36C07C8C">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0AD9BE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4F62672">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1、各类注册人员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4E1E7B5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r>
      <w:tr w14:paraId="6F7133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1A9DA5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营业执照号</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5B80E56E">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7DA98B1E">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03B5CF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2、高级职称人员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139F7CC">
            <w:pPr>
              <w:topLinePunct/>
              <w:snapToGrid w:val="0"/>
              <w:spacing w:line="360" w:lineRule="auto"/>
              <w:jc w:val="center"/>
              <w:rPr>
                <w:rFonts w:hint="eastAsia" w:ascii="宋体" w:hAnsi="宋体" w:cs="宋体"/>
                <w:color w:val="auto"/>
                <w:szCs w:val="21"/>
                <w:highlight w:val="none"/>
              </w:rPr>
            </w:pPr>
          </w:p>
        </w:tc>
      </w:tr>
      <w:tr w14:paraId="1E41C2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4D43D96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注册资金（资本）</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045F6A22">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8517C13">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E07FA5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3、中级职称人员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B626E54">
            <w:pPr>
              <w:topLinePunct/>
              <w:snapToGrid w:val="0"/>
              <w:spacing w:line="360" w:lineRule="auto"/>
              <w:jc w:val="center"/>
              <w:rPr>
                <w:rFonts w:hint="eastAsia" w:ascii="宋体" w:hAnsi="宋体" w:cs="宋体"/>
                <w:color w:val="auto"/>
                <w:szCs w:val="21"/>
                <w:highlight w:val="none"/>
              </w:rPr>
            </w:pPr>
          </w:p>
        </w:tc>
      </w:tr>
      <w:tr w14:paraId="25E9C7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173308A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实缴资金（资本）</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658585B8">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83711E8">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92F86E2">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4、初级职称人员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13260A04">
            <w:pPr>
              <w:topLinePunct/>
              <w:snapToGrid w:val="0"/>
              <w:spacing w:line="360" w:lineRule="auto"/>
              <w:jc w:val="center"/>
              <w:rPr>
                <w:rFonts w:hint="eastAsia" w:ascii="宋体" w:hAnsi="宋体" w:cs="宋体"/>
                <w:color w:val="auto"/>
                <w:szCs w:val="21"/>
                <w:highlight w:val="none"/>
              </w:rPr>
            </w:pPr>
          </w:p>
        </w:tc>
      </w:tr>
      <w:tr w14:paraId="4C458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0A0F05C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基本存款账户开户银行</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2EAB0264">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FE8EE83">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79FA473E">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1-4人员合计</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21D72802">
            <w:pPr>
              <w:topLinePunct/>
              <w:snapToGrid w:val="0"/>
              <w:spacing w:line="360" w:lineRule="auto"/>
              <w:jc w:val="center"/>
              <w:rPr>
                <w:rFonts w:hint="eastAsia" w:ascii="宋体" w:hAnsi="宋体" w:cs="宋体"/>
                <w:color w:val="auto"/>
                <w:szCs w:val="21"/>
                <w:highlight w:val="none"/>
              </w:rPr>
            </w:pPr>
          </w:p>
        </w:tc>
      </w:tr>
      <w:tr w14:paraId="37A74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7"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6885493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6D0BDAB7">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55370FE4">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D4C8CC1">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2103730E">
            <w:pPr>
              <w:topLinePunct/>
              <w:snapToGrid w:val="0"/>
              <w:spacing w:line="360" w:lineRule="auto"/>
              <w:jc w:val="center"/>
              <w:rPr>
                <w:rFonts w:hint="eastAsia" w:ascii="宋体" w:hAnsi="宋体" w:cs="宋体"/>
                <w:color w:val="auto"/>
                <w:szCs w:val="21"/>
                <w:highlight w:val="none"/>
              </w:rPr>
            </w:pPr>
          </w:p>
        </w:tc>
      </w:tr>
      <w:tr w14:paraId="5C52AD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48A36A99">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委托代理人姓名</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003D51CD">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68928F1">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职   务</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1EA5858">
            <w:pPr>
              <w:tabs>
                <w:tab w:val="left" w:pos="900"/>
                <w:tab w:val="left" w:pos="1080"/>
              </w:tabs>
              <w:snapToGrid w:val="0"/>
              <w:spacing w:line="360" w:lineRule="auto"/>
              <w:rPr>
                <w:rFonts w:hint="eastAsia" w:ascii="宋体" w:hAnsi="宋体" w:cs="宋体"/>
                <w:color w:val="auto"/>
                <w:szCs w:val="21"/>
                <w:highlight w:val="none"/>
              </w:rPr>
            </w:pPr>
          </w:p>
        </w:tc>
      </w:tr>
      <w:tr w14:paraId="1E386A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51ACD087">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固定电话</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5C59D7F3">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7594B531">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手   机</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2135B10">
            <w:pPr>
              <w:tabs>
                <w:tab w:val="left" w:pos="900"/>
                <w:tab w:val="left" w:pos="1080"/>
              </w:tabs>
              <w:snapToGrid w:val="0"/>
              <w:spacing w:line="360" w:lineRule="auto"/>
              <w:rPr>
                <w:rFonts w:hint="eastAsia" w:ascii="宋体" w:hAnsi="宋体" w:cs="宋体"/>
                <w:color w:val="auto"/>
                <w:szCs w:val="21"/>
                <w:highlight w:val="none"/>
              </w:rPr>
            </w:pPr>
          </w:p>
        </w:tc>
      </w:tr>
      <w:tr w14:paraId="73B02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3B04025F">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3000" w:type="dxa"/>
            <w:gridSpan w:val="3"/>
            <w:tcBorders>
              <w:top w:val="single" w:color="auto" w:sz="4" w:space="0"/>
              <w:left w:val="single" w:color="auto" w:sz="4" w:space="0"/>
              <w:bottom w:val="single" w:color="auto" w:sz="4" w:space="0"/>
              <w:right w:val="single" w:color="auto" w:sz="4" w:space="0"/>
            </w:tcBorders>
            <w:noWrap w:val="0"/>
            <w:vAlign w:val="center"/>
          </w:tcPr>
          <w:p w14:paraId="0BC3E458">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4CF1FA4">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   箱</w:t>
            </w:r>
          </w:p>
        </w:tc>
        <w:tc>
          <w:tcPr>
            <w:tcW w:w="2392" w:type="dxa"/>
            <w:gridSpan w:val="2"/>
            <w:tcBorders>
              <w:top w:val="single" w:color="auto" w:sz="4" w:space="0"/>
              <w:left w:val="single" w:color="auto" w:sz="4" w:space="0"/>
              <w:bottom w:val="single" w:color="auto" w:sz="4" w:space="0"/>
              <w:right w:val="single" w:color="auto" w:sz="4" w:space="0"/>
            </w:tcBorders>
            <w:noWrap w:val="0"/>
            <w:vAlign w:val="center"/>
          </w:tcPr>
          <w:p w14:paraId="56DBE5FC">
            <w:pPr>
              <w:tabs>
                <w:tab w:val="left" w:pos="900"/>
                <w:tab w:val="left" w:pos="1080"/>
              </w:tabs>
              <w:snapToGrid w:val="0"/>
              <w:spacing w:line="360" w:lineRule="auto"/>
              <w:rPr>
                <w:rFonts w:hint="eastAsia" w:ascii="宋体" w:hAnsi="宋体" w:cs="宋体"/>
                <w:color w:val="auto"/>
                <w:szCs w:val="21"/>
                <w:highlight w:val="none"/>
              </w:rPr>
            </w:pPr>
          </w:p>
        </w:tc>
      </w:tr>
      <w:tr w14:paraId="2A206B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1908" w:type="dxa"/>
            <w:tcBorders>
              <w:top w:val="single" w:color="auto" w:sz="4" w:space="0"/>
              <w:left w:val="single" w:color="auto" w:sz="4" w:space="0"/>
              <w:right w:val="single" w:color="auto" w:sz="4" w:space="0"/>
            </w:tcBorders>
            <w:noWrap w:val="0"/>
            <w:vAlign w:val="center"/>
          </w:tcPr>
          <w:p w14:paraId="0BAC47F3">
            <w:pPr>
              <w:topLinePunct/>
              <w:snapToGrid w:val="0"/>
              <w:spacing w:line="360" w:lineRule="auto"/>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后附证明文件</w:t>
            </w:r>
          </w:p>
        </w:tc>
        <w:tc>
          <w:tcPr>
            <w:tcW w:w="7691" w:type="dxa"/>
            <w:gridSpan w:val="9"/>
            <w:tcBorders>
              <w:top w:val="single" w:color="auto" w:sz="4" w:space="0"/>
              <w:left w:val="single" w:color="auto" w:sz="4" w:space="0"/>
              <w:right w:val="single" w:color="auto" w:sz="4" w:space="0"/>
            </w:tcBorders>
            <w:noWrap w:val="0"/>
            <w:vAlign w:val="center"/>
          </w:tcPr>
          <w:p w14:paraId="3967E1E4">
            <w:pPr>
              <w:tabs>
                <w:tab w:val="left" w:pos="900"/>
                <w:tab w:val="left" w:pos="1080"/>
              </w:tabs>
              <w:snapToGrid w:val="0"/>
              <w:spacing w:line="360" w:lineRule="auto"/>
              <w:rPr>
                <w:rFonts w:hint="eastAsia" w:ascii="宋体" w:hAnsi="宋体" w:cs="宋体"/>
                <w:color w:val="auto"/>
                <w:highlight w:val="none"/>
              </w:rPr>
            </w:pPr>
            <w:r>
              <w:rPr>
                <w:rFonts w:hint="eastAsia" w:ascii="宋体" w:hAnsi="宋体" w:cs="宋体"/>
                <w:color w:val="auto"/>
                <w:highlight w:val="none"/>
              </w:rPr>
              <w:t>1、投标人介绍；</w:t>
            </w:r>
          </w:p>
        </w:tc>
      </w:tr>
      <w:tr w14:paraId="1066F1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1C07CA9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691" w:type="dxa"/>
            <w:gridSpan w:val="9"/>
            <w:tcBorders>
              <w:top w:val="single" w:color="auto" w:sz="4" w:space="0"/>
              <w:left w:val="single" w:color="auto" w:sz="4" w:space="0"/>
              <w:bottom w:val="single" w:color="auto" w:sz="4" w:space="0"/>
              <w:right w:val="single" w:color="auto" w:sz="4" w:space="0"/>
            </w:tcBorders>
            <w:noWrap w:val="0"/>
            <w:vAlign w:val="center"/>
          </w:tcPr>
          <w:p w14:paraId="328F9761">
            <w:pPr>
              <w:topLinePunct/>
              <w:snapToGrid w:val="0"/>
              <w:spacing w:line="360" w:lineRule="auto"/>
              <w:jc w:val="center"/>
              <w:rPr>
                <w:rFonts w:hint="eastAsia" w:ascii="宋体" w:hAnsi="宋体" w:cs="宋体"/>
                <w:color w:val="auto"/>
                <w:szCs w:val="21"/>
                <w:highlight w:val="none"/>
              </w:rPr>
            </w:pPr>
          </w:p>
        </w:tc>
      </w:tr>
    </w:tbl>
    <w:p w14:paraId="186EB178">
      <w:pPr>
        <w:jc w:val="center"/>
        <w:rPr>
          <w:rFonts w:ascii="宋体" w:hAnsi="宋体" w:cs="宋体"/>
          <w:b/>
          <w:color w:val="auto"/>
          <w:sz w:val="28"/>
          <w:szCs w:val="28"/>
        </w:rPr>
      </w:pPr>
      <w:r>
        <w:rPr>
          <w:rFonts w:hint="eastAsia" w:ascii="宋体" w:hAnsi="宋体" w:cs="宋体"/>
          <w:color w:val="auto"/>
          <w:sz w:val="21"/>
          <w:szCs w:val="21"/>
          <w:highlight w:val="none"/>
        </w:rPr>
        <w:br w:type="page"/>
      </w:r>
      <w:r>
        <w:rPr>
          <w:rFonts w:hint="eastAsia" w:ascii="宋体" w:hAnsi="宋体" w:cs="宋体"/>
          <w:b/>
          <w:color w:val="auto"/>
          <w:sz w:val="28"/>
          <w:szCs w:val="28"/>
        </w:rPr>
        <w:t>企业股东构成情况表</w:t>
      </w:r>
    </w:p>
    <w:tbl>
      <w:tblPr>
        <w:tblStyle w:val="27"/>
        <w:tblW w:w="945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1335"/>
        <w:gridCol w:w="295"/>
        <w:gridCol w:w="1481"/>
        <w:gridCol w:w="1568"/>
        <w:gridCol w:w="657"/>
        <w:gridCol w:w="470"/>
        <w:gridCol w:w="568"/>
        <w:gridCol w:w="1186"/>
        <w:gridCol w:w="1193"/>
      </w:tblGrid>
      <w:tr w14:paraId="332524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1A03736E">
            <w:pPr>
              <w:topLinePunct/>
              <w:spacing w:line="440" w:lineRule="exact"/>
              <w:jc w:val="center"/>
              <w:rPr>
                <w:rFonts w:ascii="宋体" w:hAnsi="宋体" w:cs="宋体"/>
                <w:color w:val="auto"/>
                <w:szCs w:val="21"/>
              </w:rPr>
            </w:pPr>
            <w:r>
              <w:rPr>
                <w:rFonts w:hint="eastAsia" w:ascii="宋体" w:hAnsi="宋体" w:cs="宋体"/>
                <w:color w:val="auto"/>
                <w:szCs w:val="21"/>
              </w:rPr>
              <w:t>企业名称</w:t>
            </w:r>
          </w:p>
        </w:tc>
        <w:tc>
          <w:tcPr>
            <w:tcW w:w="7418" w:type="dxa"/>
            <w:gridSpan w:val="8"/>
            <w:tcBorders>
              <w:top w:val="single" w:color="auto" w:sz="4" w:space="0"/>
              <w:left w:val="single" w:color="auto" w:sz="4" w:space="0"/>
              <w:bottom w:val="single" w:color="auto" w:sz="4" w:space="0"/>
              <w:right w:val="single" w:color="auto" w:sz="4" w:space="0"/>
            </w:tcBorders>
            <w:vAlign w:val="center"/>
          </w:tcPr>
          <w:p w14:paraId="7F27C78C">
            <w:pPr>
              <w:topLinePunct/>
              <w:spacing w:line="440" w:lineRule="exact"/>
              <w:jc w:val="center"/>
              <w:rPr>
                <w:rFonts w:ascii="宋体" w:hAnsi="宋体" w:cs="宋体"/>
                <w:color w:val="auto"/>
                <w:szCs w:val="21"/>
              </w:rPr>
            </w:pPr>
          </w:p>
        </w:tc>
      </w:tr>
      <w:tr w14:paraId="0F89A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5555B107">
            <w:pPr>
              <w:topLinePunct/>
              <w:spacing w:line="440" w:lineRule="exact"/>
              <w:jc w:val="center"/>
              <w:rPr>
                <w:rFonts w:ascii="宋体" w:hAnsi="宋体" w:cs="宋体"/>
                <w:color w:val="auto"/>
                <w:szCs w:val="21"/>
              </w:rPr>
            </w:pPr>
            <w:r>
              <w:rPr>
                <w:rFonts w:hint="eastAsia" w:ascii="宋体" w:hAnsi="宋体" w:cs="宋体"/>
                <w:color w:val="auto"/>
                <w:szCs w:val="21"/>
              </w:rPr>
              <w:t>注册地址</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5FDA19E6">
            <w:pPr>
              <w:topLinePunct/>
              <w:spacing w:line="440" w:lineRule="exact"/>
              <w:jc w:val="center"/>
              <w:rPr>
                <w:rFonts w:ascii="宋体" w:hAnsi="宋体" w:cs="宋体"/>
                <w:color w:val="auto"/>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4D2CB057">
            <w:pPr>
              <w:topLinePunct/>
              <w:spacing w:line="440" w:lineRule="exact"/>
              <w:jc w:val="center"/>
              <w:rPr>
                <w:rFonts w:ascii="宋体" w:hAnsi="宋体" w:cs="宋体"/>
                <w:color w:val="auto"/>
                <w:szCs w:val="21"/>
              </w:rPr>
            </w:pPr>
            <w:r>
              <w:rPr>
                <w:rFonts w:hint="eastAsia" w:ascii="宋体" w:hAnsi="宋体" w:cs="宋体"/>
                <w:color w:val="auto"/>
                <w:szCs w:val="21"/>
              </w:rPr>
              <w:t>企业类型</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38D2E80F">
            <w:pPr>
              <w:topLinePunct/>
              <w:spacing w:line="440" w:lineRule="exact"/>
              <w:jc w:val="center"/>
              <w:rPr>
                <w:rFonts w:ascii="宋体" w:hAnsi="宋体" w:cs="宋体"/>
                <w:color w:val="auto"/>
                <w:szCs w:val="21"/>
              </w:rPr>
            </w:pPr>
          </w:p>
        </w:tc>
      </w:tr>
      <w:tr w14:paraId="1AE31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6A7846CA">
            <w:pPr>
              <w:topLinePunct/>
              <w:spacing w:line="440" w:lineRule="exact"/>
              <w:jc w:val="center"/>
              <w:rPr>
                <w:rFonts w:ascii="宋体" w:hAnsi="宋体" w:cs="宋体"/>
                <w:color w:val="auto"/>
                <w:szCs w:val="21"/>
              </w:rPr>
            </w:pPr>
            <w:r>
              <w:rPr>
                <w:rFonts w:hint="eastAsia" w:ascii="宋体" w:hAnsi="宋体" w:cs="宋体"/>
                <w:color w:val="auto"/>
                <w:szCs w:val="21"/>
              </w:rPr>
              <w:t>法定代表人姓名</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099C35F8">
            <w:pPr>
              <w:topLinePunct/>
              <w:spacing w:line="440" w:lineRule="exact"/>
              <w:jc w:val="center"/>
              <w:rPr>
                <w:rFonts w:ascii="宋体" w:hAnsi="宋体" w:cs="宋体"/>
                <w:color w:val="auto"/>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52A4A88F">
            <w:pPr>
              <w:topLinePunct/>
              <w:spacing w:line="440" w:lineRule="exact"/>
              <w:jc w:val="center"/>
              <w:rPr>
                <w:rFonts w:ascii="宋体" w:hAnsi="宋体" w:cs="宋体"/>
                <w:color w:val="auto"/>
                <w:szCs w:val="21"/>
              </w:rPr>
            </w:pPr>
            <w:r>
              <w:rPr>
                <w:rFonts w:hint="eastAsia" w:ascii="宋体" w:hAnsi="宋体" w:cs="宋体"/>
                <w:color w:val="auto"/>
                <w:szCs w:val="21"/>
              </w:rPr>
              <w:t>电话</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1CEFF7BC">
            <w:pPr>
              <w:topLinePunct/>
              <w:spacing w:line="440" w:lineRule="exact"/>
              <w:jc w:val="center"/>
              <w:rPr>
                <w:rFonts w:ascii="宋体" w:hAnsi="宋体" w:cs="宋体"/>
                <w:color w:val="auto"/>
                <w:szCs w:val="21"/>
              </w:rPr>
            </w:pPr>
          </w:p>
        </w:tc>
      </w:tr>
      <w:tr w14:paraId="6D5EF2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458" w:type="dxa"/>
            <w:gridSpan w:val="10"/>
            <w:tcBorders>
              <w:top w:val="single" w:color="auto" w:sz="4" w:space="0"/>
              <w:left w:val="single" w:color="auto" w:sz="4" w:space="0"/>
              <w:bottom w:val="single" w:color="auto" w:sz="4" w:space="0"/>
              <w:right w:val="single" w:color="auto" w:sz="4" w:space="0"/>
            </w:tcBorders>
            <w:vAlign w:val="center"/>
          </w:tcPr>
          <w:p w14:paraId="298D9966">
            <w:pPr>
              <w:topLinePunct/>
              <w:spacing w:line="440" w:lineRule="exact"/>
              <w:jc w:val="center"/>
              <w:rPr>
                <w:rFonts w:ascii="宋体" w:hAnsi="宋体" w:cs="宋体"/>
                <w:b/>
                <w:color w:val="auto"/>
                <w:szCs w:val="21"/>
              </w:rPr>
            </w:pPr>
            <w:r>
              <w:rPr>
                <w:rFonts w:hint="eastAsia" w:ascii="宋体" w:hAnsi="宋体" w:cs="宋体"/>
                <w:b/>
                <w:color w:val="auto"/>
                <w:szCs w:val="21"/>
              </w:rPr>
              <w:t>股东及出资信息</w:t>
            </w:r>
          </w:p>
        </w:tc>
      </w:tr>
      <w:tr w14:paraId="263D8A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22F0F972">
            <w:pPr>
              <w:topLinePunct/>
              <w:spacing w:line="440" w:lineRule="exact"/>
              <w:jc w:val="center"/>
              <w:rPr>
                <w:rFonts w:ascii="宋体" w:hAnsi="宋体" w:cs="宋体"/>
                <w:b/>
                <w:color w:val="auto"/>
                <w:szCs w:val="21"/>
              </w:rPr>
            </w:pPr>
            <w:r>
              <w:rPr>
                <w:rFonts w:hint="eastAsia" w:ascii="宋体" w:hAnsi="宋体" w:cs="宋体"/>
                <w:b/>
                <w:color w:val="auto"/>
                <w:szCs w:val="21"/>
              </w:rPr>
              <w:t>序号</w:t>
            </w: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1A301818">
            <w:pPr>
              <w:topLinePunct/>
              <w:spacing w:line="440" w:lineRule="exact"/>
              <w:jc w:val="center"/>
              <w:rPr>
                <w:rFonts w:ascii="宋体" w:hAnsi="宋体" w:cs="宋体"/>
                <w:b/>
                <w:color w:val="auto"/>
                <w:szCs w:val="21"/>
              </w:rPr>
            </w:pPr>
            <w:r>
              <w:rPr>
                <w:rFonts w:hint="eastAsia" w:ascii="宋体" w:hAnsi="宋体" w:cs="宋体"/>
                <w:b/>
                <w:color w:val="auto"/>
                <w:szCs w:val="21"/>
              </w:rPr>
              <w:t>股东名称</w:t>
            </w:r>
            <w:r>
              <w:rPr>
                <w:rFonts w:ascii="宋体" w:hAnsi="宋体" w:cs="宋体"/>
                <w:b/>
                <w:color w:val="auto"/>
                <w:szCs w:val="21"/>
              </w:rPr>
              <w:t>(姓名/股东全称)</w:t>
            </w:r>
          </w:p>
        </w:tc>
        <w:tc>
          <w:tcPr>
            <w:tcW w:w="1481" w:type="dxa"/>
            <w:tcBorders>
              <w:top w:val="single" w:color="auto" w:sz="4" w:space="0"/>
              <w:left w:val="single" w:color="auto" w:sz="4" w:space="0"/>
              <w:bottom w:val="single" w:color="auto" w:sz="4" w:space="0"/>
              <w:right w:val="single" w:color="auto" w:sz="4" w:space="0"/>
            </w:tcBorders>
            <w:vAlign w:val="center"/>
          </w:tcPr>
          <w:p w14:paraId="2543BDB9">
            <w:pPr>
              <w:topLinePunct/>
              <w:spacing w:line="440" w:lineRule="exact"/>
              <w:jc w:val="center"/>
              <w:rPr>
                <w:rFonts w:ascii="宋体" w:hAnsi="宋体" w:cs="宋体"/>
                <w:b/>
                <w:color w:val="auto"/>
                <w:szCs w:val="21"/>
              </w:rPr>
            </w:pPr>
            <w:r>
              <w:rPr>
                <w:rFonts w:hint="eastAsia" w:ascii="宋体" w:hAnsi="宋体" w:cs="宋体"/>
                <w:b/>
                <w:color w:val="auto"/>
                <w:szCs w:val="21"/>
              </w:rPr>
              <w:t>股东类型</w:t>
            </w:r>
          </w:p>
          <w:p w14:paraId="2F4B3A73">
            <w:pPr>
              <w:topLinePunct/>
              <w:spacing w:line="440" w:lineRule="exact"/>
              <w:jc w:val="center"/>
              <w:rPr>
                <w:rFonts w:ascii="宋体" w:hAnsi="宋体" w:cs="宋体"/>
                <w:b/>
                <w:color w:val="auto"/>
                <w:szCs w:val="21"/>
              </w:rPr>
            </w:pPr>
            <w:r>
              <w:rPr>
                <w:rFonts w:ascii="宋体" w:hAnsi="宋体" w:cs="宋体"/>
                <w:b/>
                <w:color w:val="auto"/>
                <w:szCs w:val="21"/>
              </w:rPr>
              <w:t>(自然人股东/法人股东)</w:t>
            </w: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1CEF8DA2">
            <w:pPr>
              <w:topLinePunct/>
              <w:spacing w:line="440" w:lineRule="exact"/>
              <w:jc w:val="center"/>
              <w:rPr>
                <w:rFonts w:ascii="宋体" w:hAnsi="宋体" w:cs="宋体"/>
                <w:b/>
                <w:color w:val="auto"/>
                <w:szCs w:val="21"/>
              </w:rPr>
            </w:pPr>
            <w:r>
              <w:rPr>
                <w:rFonts w:hint="eastAsia" w:ascii="宋体" w:hAnsi="宋体" w:cs="宋体"/>
                <w:b/>
                <w:color w:val="auto"/>
                <w:szCs w:val="21"/>
              </w:rPr>
              <w:t>身份证号</w:t>
            </w:r>
          </w:p>
          <w:p w14:paraId="0935F30A">
            <w:pPr>
              <w:topLinePunct/>
              <w:spacing w:line="440" w:lineRule="exact"/>
              <w:jc w:val="center"/>
              <w:rPr>
                <w:rFonts w:ascii="宋体" w:hAnsi="宋体" w:cs="宋体"/>
                <w:b/>
                <w:color w:val="auto"/>
                <w:szCs w:val="21"/>
              </w:rPr>
            </w:pPr>
            <w:r>
              <w:rPr>
                <w:rFonts w:ascii="宋体" w:hAnsi="宋体" w:cs="宋体"/>
                <w:b/>
                <w:color w:val="auto"/>
                <w:szCs w:val="21"/>
              </w:rPr>
              <w:t>/统一社会信用代码</w:t>
            </w: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09EB94D">
            <w:pPr>
              <w:topLinePunct/>
              <w:spacing w:line="440" w:lineRule="exact"/>
              <w:jc w:val="center"/>
              <w:rPr>
                <w:rFonts w:ascii="宋体" w:hAnsi="宋体" w:cs="宋体"/>
                <w:b/>
                <w:color w:val="auto"/>
                <w:szCs w:val="21"/>
              </w:rPr>
            </w:pPr>
            <w:r>
              <w:rPr>
                <w:rFonts w:hint="eastAsia" w:ascii="宋体" w:hAnsi="宋体" w:cs="宋体"/>
                <w:b/>
                <w:color w:val="auto"/>
                <w:szCs w:val="21"/>
              </w:rPr>
              <w:t>出资额</w:t>
            </w:r>
            <w:r>
              <w:rPr>
                <w:rFonts w:ascii="宋体" w:hAnsi="宋体" w:cs="宋体"/>
                <w:b/>
                <w:color w:val="auto"/>
                <w:szCs w:val="21"/>
              </w:rPr>
              <w:t>(万元)</w:t>
            </w:r>
          </w:p>
        </w:tc>
        <w:tc>
          <w:tcPr>
            <w:tcW w:w="1186" w:type="dxa"/>
            <w:tcBorders>
              <w:top w:val="single" w:color="auto" w:sz="4" w:space="0"/>
              <w:left w:val="single" w:color="auto" w:sz="4" w:space="0"/>
              <w:bottom w:val="single" w:color="auto" w:sz="4" w:space="0"/>
              <w:right w:val="single" w:color="auto" w:sz="4" w:space="0"/>
            </w:tcBorders>
            <w:vAlign w:val="center"/>
          </w:tcPr>
          <w:p w14:paraId="31F431A7">
            <w:pPr>
              <w:topLinePunct/>
              <w:spacing w:line="440" w:lineRule="exact"/>
              <w:jc w:val="center"/>
              <w:rPr>
                <w:rFonts w:ascii="宋体" w:hAnsi="宋体" w:cs="宋体"/>
                <w:b/>
                <w:color w:val="auto"/>
                <w:szCs w:val="21"/>
              </w:rPr>
            </w:pPr>
            <w:r>
              <w:rPr>
                <w:rFonts w:hint="eastAsia" w:ascii="宋体" w:hAnsi="宋体" w:cs="宋体"/>
                <w:b/>
                <w:color w:val="auto"/>
                <w:szCs w:val="21"/>
              </w:rPr>
              <w:t>出资方式</w:t>
            </w:r>
          </w:p>
        </w:tc>
        <w:tc>
          <w:tcPr>
            <w:tcW w:w="1193" w:type="dxa"/>
            <w:tcBorders>
              <w:top w:val="single" w:color="auto" w:sz="4" w:space="0"/>
              <w:left w:val="single" w:color="auto" w:sz="4" w:space="0"/>
              <w:bottom w:val="single" w:color="auto" w:sz="4" w:space="0"/>
              <w:right w:val="single" w:color="auto" w:sz="4" w:space="0"/>
            </w:tcBorders>
            <w:vAlign w:val="center"/>
          </w:tcPr>
          <w:p w14:paraId="3C8AA207">
            <w:pPr>
              <w:topLinePunct/>
              <w:spacing w:line="440" w:lineRule="exact"/>
              <w:jc w:val="center"/>
              <w:rPr>
                <w:rFonts w:ascii="宋体" w:hAnsi="宋体" w:cs="宋体"/>
                <w:b/>
                <w:color w:val="auto"/>
                <w:szCs w:val="21"/>
              </w:rPr>
            </w:pPr>
            <w:r>
              <w:rPr>
                <w:rFonts w:hint="eastAsia" w:ascii="宋体" w:hAnsi="宋体" w:cs="宋体"/>
                <w:b/>
                <w:color w:val="auto"/>
                <w:szCs w:val="21"/>
              </w:rPr>
              <w:t>占全部股份比例</w:t>
            </w:r>
          </w:p>
        </w:tc>
      </w:tr>
      <w:tr w14:paraId="26369A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7A5196D9">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35E5A40B">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3FA8590D">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4BA248C8">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4C4ECE38">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1CCF49A4">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3FF5C72A">
            <w:pPr>
              <w:topLinePunct/>
              <w:spacing w:line="440" w:lineRule="exact"/>
              <w:jc w:val="center"/>
              <w:rPr>
                <w:rFonts w:ascii="宋体" w:hAnsi="宋体" w:cs="宋体"/>
                <w:color w:val="auto"/>
                <w:szCs w:val="21"/>
              </w:rPr>
            </w:pPr>
          </w:p>
        </w:tc>
      </w:tr>
      <w:tr w14:paraId="6AC7BB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04B5527F">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62E75C18">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C6001F3">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4E0E2FBD">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6640AD1E">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43F47EC">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502AF868">
            <w:pPr>
              <w:topLinePunct/>
              <w:spacing w:line="440" w:lineRule="exact"/>
              <w:jc w:val="center"/>
              <w:rPr>
                <w:rFonts w:ascii="宋体" w:hAnsi="宋体" w:cs="宋体"/>
                <w:color w:val="auto"/>
                <w:szCs w:val="21"/>
              </w:rPr>
            </w:pPr>
          </w:p>
        </w:tc>
      </w:tr>
      <w:tr w14:paraId="36304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1E3B41A5">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6281CC58">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2A89F409">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62804AD1">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491E759C">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8A2774C">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31CAF701">
            <w:pPr>
              <w:topLinePunct/>
              <w:spacing w:line="440" w:lineRule="exact"/>
              <w:jc w:val="center"/>
              <w:rPr>
                <w:rFonts w:ascii="宋体" w:hAnsi="宋体" w:cs="宋体"/>
                <w:color w:val="auto"/>
                <w:szCs w:val="21"/>
              </w:rPr>
            </w:pPr>
          </w:p>
        </w:tc>
      </w:tr>
      <w:tr w14:paraId="73772D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21838514">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30ED27CF">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202B148E">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74BAE6E9">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4A42D564">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EDF2DAB">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2752F79E">
            <w:pPr>
              <w:topLinePunct/>
              <w:spacing w:line="440" w:lineRule="exact"/>
              <w:jc w:val="center"/>
              <w:rPr>
                <w:rFonts w:ascii="宋体" w:hAnsi="宋体" w:cs="宋体"/>
                <w:color w:val="auto"/>
                <w:szCs w:val="21"/>
              </w:rPr>
            </w:pPr>
          </w:p>
        </w:tc>
      </w:tr>
      <w:tr w14:paraId="64AC9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0BF3DFC6">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0DF8B233">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E00466A">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080561F6">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D7CF1FD">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5C6F2020">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467A42A9">
            <w:pPr>
              <w:topLinePunct/>
              <w:spacing w:line="440" w:lineRule="exact"/>
              <w:jc w:val="center"/>
              <w:rPr>
                <w:rFonts w:ascii="宋体" w:hAnsi="宋体" w:cs="宋体"/>
                <w:color w:val="auto"/>
                <w:szCs w:val="21"/>
              </w:rPr>
            </w:pPr>
          </w:p>
        </w:tc>
      </w:tr>
      <w:tr w14:paraId="0C92B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773A83EE">
            <w:pPr>
              <w:topLinePunct/>
              <w:spacing w:line="440" w:lineRule="exact"/>
              <w:jc w:val="center"/>
              <w:rPr>
                <w:rFonts w:ascii="宋体" w:hAnsi="宋体" w:cs="宋体"/>
                <w:color w:val="auto"/>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69DE64F7">
            <w:pPr>
              <w:topLinePunct/>
              <w:spacing w:line="440" w:lineRule="exact"/>
              <w:jc w:val="center"/>
              <w:rPr>
                <w:rFonts w:ascii="宋体" w:hAnsi="宋体" w:cs="宋体"/>
                <w:color w:val="auto"/>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2A642DC">
            <w:pPr>
              <w:topLinePunct/>
              <w:spacing w:line="440" w:lineRule="exact"/>
              <w:jc w:val="center"/>
              <w:rPr>
                <w:rFonts w:ascii="宋体" w:hAnsi="宋体" w:cs="宋体"/>
                <w:color w:val="auto"/>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69EB2453">
            <w:pPr>
              <w:topLinePunct/>
              <w:spacing w:line="440" w:lineRule="exact"/>
              <w:jc w:val="center"/>
              <w:rPr>
                <w:rFonts w:ascii="宋体" w:hAnsi="宋体" w:cs="宋体"/>
                <w:color w:val="auto"/>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1EEAFDD">
            <w:pPr>
              <w:topLinePunct/>
              <w:spacing w:line="440" w:lineRule="exact"/>
              <w:jc w:val="center"/>
              <w:rPr>
                <w:rFonts w:ascii="宋体" w:hAnsi="宋体" w:cs="宋体"/>
                <w:color w:val="auto"/>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0E188541">
            <w:pPr>
              <w:topLinePunct/>
              <w:spacing w:line="440" w:lineRule="exact"/>
              <w:jc w:val="center"/>
              <w:rPr>
                <w:rFonts w:ascii="宋体" w:hAnsi="宋体" w:cs="宋体"/>
                <w:color w:val="auto"/>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30BD001C">
            <w:pPr>
              <w:topLinePunct/>
              <w:spacing w:line="440" w:lineRule="exact"/>
              <w:jc w:val="center"/>
              <w:rPr>
                <w:rFonts w:ascii="宋体" w:hAnsi="宋体" w:cs="宋体"/>
                <w:color w:val="auto"/>
                <w:szCs w:val="21"/>
              </w:rPr>
            </w:pPr>
          </w:p>
        </w:tc>
      </w:tr>
    </w:tbl>
    <w:p w14:paraId="5F4533B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hint="eastAsia" w:ascii="宋体" w:hAnsi="宋体" w:cs="宋体"/>
          <w:color w:val="auto"/>
          <w:szCs w:val="21"/>
        </w:rPr>
        <w:t>备注：</w:t>
      </w:r>
    </w:p>
    <w:p w14:paraId="48CF947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ascii="宋体" w:hAnsi="宋体" w:cs="宋体"/>
          <w:color w:val="auto"/>
          <w:szCs w:val="21"/>
        </w:rPr>
        <w:t>1.股东或出资人为自然人的，填写自然人姓名及身份证号；股东或出资人为法人的，填写法人企业全称及统一社会信用代码。出资方式填写：货物、实物、工艺产权和非专利技术、土地使用权等。</w:t>
      </w:r>
    </w:p>
    <w:p w14:paraId="2FD71EA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color w:val="auto"/>
          <w:szCs w:val="21"/>
        </w:rPr>
      </w:pPr>
      <w:r>
        <w:rPr>
          <w:rFonts w:ascii="宋体" w:hAnsi="宋体" w:cs="宋体"/>
          <w:color w:val="auto"/>
          <w:szCs w:val="21"/>
        </w:rPr>
        <w:t>2.投标人必须如实填写股东构成情况，同时打印“国家企业信用信息公示系统” (网站：</w:t>
      </w:r>
      <w:r>
        <w:rPr>
          <w:color w:val="auto"/>
        </w:rPr>
        <w:fldChar w:fldCharType="begin"/>
      </w:r>
      <w:r>
        <w:rPr>
          <w:color w:val="auto"/>
        </w:rPr>
        <w:instrText xml:space="preserve">HYPERLINK "http://gsxt.gdgs.gov.cn/"</w:instrText>
      </w:r>
      <w:r>
        <w:rPr>
          <w:color w:val="auto"/>
        </w:rPr>
        <w:fldChar w:fldCharType="separate"/>
      </w:r>
      <w:r>
        <w:rPr>
          <w:rStyle w:val="32"/>
          <w:rFonts w:ascii="宋体" w:hAnsi="宋体" w:eastAsia="宋体" w:cs="宋体"/>
          <w:color w:val="auto"/>
          <w:szCs w:val="21"/>
        </w:rPr>
        <w:t>http://gsxt.gdgs.gov.cn/</w:t>
      </w:r>
      <w:r>
        <w:rPr>
          <w:color w:val="auto"/>
        </w:rPr>
        <w:fldChar w:fldCharType="end"/>
      </w:r>
      <w:r>
        <w:rPr>
          <w:rFonts w:ascii="宋体" w:hAnsi="宋体" w:cs="宋体"/>
          <w:color w:val="auto"/>
          <w:szCs w:val="21"/>
        </w:rPr>
        <w:t>)网页查询的信息截图。</w:t>
      </w:r>
    </w:p>
    <w:p w14:paraId="7941EE25">
      <w:pPr>
        <w:keepNext w:val="0"/>
        <w:keepLines w:val="0"/>
        <w:pageBreakBefore w:val="0"/>
        <w:widowControl w:val="0"/>
        <w:tabs>
          <w:tab w:val="left" w:pos="4320"/>
        </w:tabs>
        <w:kinsoku/>
        <w:wordWrap/>
        <w:overflowPunct/>
        <w:topLinePunct w:val="0"/>
        <w:autoSpaceDE/>
        <w:autoSpaceDN/>
        <w:bidi w:val="0"/>
        <w:adjustRightInd/>
        <w:snapToGrid/>
        <w:spacing w:line="360" w:lineRule="auto"/>
        <w:textAlignment w:val="auto"/>
        <w:rPr>
          <w:rFonts w:ascii="宋体" w:hAnsi="宋体" w:cs="宋体"/>
          <w:color w:val="auto"/>
          <w:szCs w:val="21"/>
        </w:rPr>
      </w:pPr>
      <w:r>
        <w:rPr>
          <w:rFonts w:ascii="宋体" w:hAnsi="宋体" w:cs="宋体"/>
          <w:color w:val="auto"/>
          <w:szCs w:val="21"/>
        </w:rPr>
        <w:t>3.本表格如有虚假或与事实不符，作无效投标处理</w:t>
      </w:r>
    </w:p>
    <w:p w14:paraId="38CD758A">
      <w:pP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2448111B">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同类</w:t>
      </w:r>
      <w:r>
        <w:rPr>
          <w:rFonts w:hint="eastAsia" w:ascii="宋体" w:hAnsi="宋体" w:cs="宋体"/>
          <w:color w:val="auto"/>
          <w:sz w:val="21"/>
          <w:szCs w:val="21"/>
          <w:highlight w:val="none"/>
        </w:rPr>
        <w:t>项目业绩证明材料</w:t>
      </w:r>
    </w:p>
    <w:p w14:paraId="65AD6E78">
      <w:pPr>
        <w:spacing w:line="360" w:lineRule="auto"/>
        <w:jc w:val="center"/>
        <w:rPr>
          <w:rFonts w:hint="eastAsia" w:ascii="宋体" w:hAnsi="宋体" w:cs="宋体"/>
          <w:b/>
          <w:bCs/>
          <w:color w:val="auto"/>
          <w:spacing w:val="20"/>
          <w:sz w:val="30"/>
          <w:szCs w:val="30"/>
          <w:highlight w:val="none"/>
        </w:rPr>
      </w:pPr>
      <w:r>
        <w:rPr>
          <w:rFonts w:hint="eastAsia" w:ascii="宋体" w:hAnsi="宋体" w:cs="宋体"/>
          <w:b/>
          <w:bCs/>
          <w:color w:val="auto"/>
          <w:spacing w:val="20"/>
          <w:sz w:val="30"/>
          <w:szCs w:val="30"/>
          <w:highlight w:val="none"/>
        </w:rPr>
        <w:t>业绩表</w:t>
      </w:r>
    </w:p>
    <w:p w14:paraId="42EFBD5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1712"/>
        <w:gridCol w:w="1742"/>
        <w:gridCol w:w="1740"/>
        <w:gridCol w:w="1419"/>
        <w:gridCol w:w="2062"/>
      </w:tblGrid>
      <w:tr w14:paraId="055A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center"/>
          </w:tcPr>
          <w:p w14:paraId="236E252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712" w:type="dxa"/>
            <w:noWrap w:val="0"/>
            <w:vAlign w:val="center"/>
          </w:tcPr>
          <w:p w14:paraId="2BBCFF2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742" w:type="dxa"/>
            <w:noWrap w:val="0"/>
            <w:vAlign w:val="center"/>
          </w:tcPr>
          <w:p w14:paraId="5775DE8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合同金额（万元）</w:t>
            </w:r>
          </w:p>
        </w:tc>
        <w:tc>
          <w:tcPr>
            <w:tcW w:w="1740" w:type="dxa"/>
            <w:noWrap w:val="0"/>
            <w:vAlign w:val="center"/>
          </w:tcPr>
          <w:p w14:paraId="7799933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合同签订时间</w:t>
            </w:r>
          </w:p>
        </w:tc>
        <w:tc>
          <w:tcPr>
            <w:tcW w:w="1419" w:type="dxa"/>
            <w:noWrap w:val="0"/>
            <w:vAlign w:val="center"/>
          </w:tcPr>
          <w:p w14:paraId="60D9755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w:t>
            </w:r>
          </w:p>
        </w:tc>
        <w:tc>
          <w:tcPr>
            <w:tcW w:w="2062" w:type="dxa"/>
            <w:noWrap w:val="0"/>
            <w:vAlign w:val="center"/>
          </w:tcPr>
          <w:p w14:paraId="3032F6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联系人及联系方式</w:t>
            </w:r>
          </w:p>
        </w:tc>
      </w:tr>
      <w:tr w14:paraId="0D54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53811F0F">
            <w:pPr>
              <w:spacing w:line="360" w:lineRule="auto"/>
              <w:rPr>
                <w:rFonts w:hint="eastAsia" w:ascii="宋体" w:hAnsi="宋体" w:cs="宋体"/>
                <w:color w:val="auto"/>
                <w:szCs w:val="21"/>
                <w:highlight w:val="none"/>
              </w:rPr>
            </w:pPr>
          </w:p>
        </w:tc>
        <w:tc>
          <w:tcPr>
            <w:tcW w:w="1712" w:type="dxa"/>
            <w:noWrap w:val="0"/>
            <w:vAlign w:val="top"/>
          </w:tcPr>
          <w:p w14:paraId="070AEAF6">
            <w:pPr>
              <w:spacing w:line="360" w:lineRule="auto"/>
              <w:rPr>
                <w:rFonts w:hint="eastAsia" w:ascii="宋体" w:hAnsi="宋体" w:cs="宋体"/>
                <w:color w:val="auto"/>
                <w:szCs w:val="21"/>
                <w:highlight w:val="none"/>
              </w:rPr>
            </w:pPr>
          </w:p>
        </w:tc>
        <w:tc>
          <w:tcPr>
            <w:tcW w:w="1742" w:type="dxa"/>
            <w:noWrap w:val="0"/>
            <w:vAlign w:val="top"/>
          </w:tcPr>
          <w:p w14:paraId="0AE25EB7">
            <w:pPr>
              <w:spacing w:line="360" w:lineRule="auto"/>
              <w:rPr>
                <w:rFonts w:hint="eastAsia" w:ascii="宋体" w:hAnsi="宋体" w:cs="宋体"/>
                <w:color w:val="auto"/>
                <w:szCs w:val="21"/>
                <w:highlight w:val="none"/>
              </w:rPr>
            </w:pPr>
          </w:p>
        </w:tc>
        <w:tc>
          <w:tcPr>
            <w:tcW w:w="1740" w:type="dxa"/>
            <w:noWrap w:val="0"/>
            <w:vAlign w:val="top"/>
          </w:tcPr>
          <w:p w14:paraId="38CE149D">
            <w:pPr>
              <w:spacing w:line="360" w:lineRule="auto"/>
              <w:rPr>
                <w:rFonts w:hint="eastAsia" w:ascii="宋体" w:hAnsi="宋体" w:cs="宋体"/>
                <w:color w:val="auto"/>
                <w:szCs w:val="21"/>
                <w:highlight w:val="none"/>
              </w:rPr>
            </w:pPr>
          </w:p>
        </w:tc>
        <w:tc>
          <w:tcPr>
            <w:tcW w:w="1419" w:type="dxa"/>
            <w:noWrap w:val="0"/>
            <w:vAlign w:val="top"/>
          </w:tcPr>
          <w:p w14:paraId="03C0E937">
            <w:pPr>
              <w:spacing w:line="360" w:lineRule="auto"/>
              <w:rPr>
                <w:rFonts w:hint="eastAsia" w:ascii="宋体" w:hAnsi="宋体" w:cs="宋体"/>
                <w:color w:val="auto"/>
                <w:szCs w:val="21"/>
                <w:highlight w:val="none"/>
              </w:rPr>
            </w:pPr>
          </w:p>
        </w:tc>
        <w:tc>
          <w:tcPr>
            <w:tcW w:w="2062" w:type="dxa"/>
            <w:noWrap w:val="0"/>
            <w:vAlign w:val="top"/>
          </w:tcPr>
          <w:p w14:paraId="2B326873">
            <w:pPr>
              <w:spacing w:line="360" w:lineRule="auto"/>
              <w:rPr>
                <w:rFonts w:hint="eastAsia" w:ascii="宋体" w:hAnsi="宋体" w:cs="宋体"/>
                <w:color w:val="auto"/>
                <w:szCs w:val="21"/>
                <w:highlight w:val="none"/>
              </w:rPr>
            </w:pPr>
          </w:p>
        </w:tc>
      </w:tr>
      <w:tr w14:paraId="1EE2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057ACB3D">
            <w:pPr>
              <w:spacing w:line="360" w:lineRule="auto"/>
              <w:rPr>
                <w:rFonts w:hint="eastAsia" w:ascii="宋体" w:hAnsi="宋体" w:cs="宋体"/>
                <w:color w:val="auto"/>
                <w:szCs w:val="21"/>
                <w:highlight w:val="none"/>
              </w:rPr>
            </w:pPr>
          </w:p>
        </w:tc>
        <w:tc>
          <w:tcPr>
            <w:tcW w:w="1712" w:type="dxa"/>
            <w:noWrap w:val="0"/>
            <w:vAlign w:val="top"/>
          </w:tcPr>
          <w:p w14:paraId="3F5B4412">
            <w:pPr>
              <w:spacing w:line="360" w:lineRule="auto"/>
              <w:rPr>
                <w:rFonts w:hint="eastAsia" w:ascii="宋体" w:hAnsi="宋体" w:cs="宋体"/>
                <w:color w:val="auto"/>
                <w:szCs w:val="21"/>
                <w:highlight w:val="none"/>
              </w:rPr>
            </w:pPr>
          </w:p>
        </w:tc>
        <w:tc>
          <w:tcPr>
            <w:tcW w:w="1742" w:type="dxa"/>
            <w:noWrap w:val="0"/>
            <w:vAlign w:val="top"/>
          </w:tcPr>
          <w:p w14:paraId="15C3014E">
            <w:pPr>
              <w:spacing w:line="360" w:lineRule="auto"/>
              <w:rPr>
                <w:rFonts w:hint="eastAsia" w:ascii="宋体" w:hAnsi="宋体" w:cs="宋体"/>
                <w:color w:val="auto"/>
                <w:szCs w:val="21"/>
                <w:highlight w:val="none"/>
              </w:rPr>
            </w:pPr>
          </w:p>
        </w:tc>
        <w:tc>
          <w:tcPr>
            <w:tcW w:w="1740" w:type="dxa"/>
            <w:noWrap w:val="0"/>
            <w:vAlign w:val="top"/>
          </w:tcPr>
          <w:p w14:paraId="561FFDC7">
            <w:pPr>
              <w:spacing w:line="360" w:lineRule="auto"/>
              <w:rPr>
                <w:rFonts w:hint="eastAsia" w:ascii="宋体" w:hAnsi="宋体" w:cs="宋体"/>
                <w:color w:val="auto"/>
                <w:szCs w:val="21"/>
                <w:highlight w:val="none"/>
              </w:rPr>
            </w:pPr>
          </w:p>
        </w:tc>
        <w:tc>
          <w:tcPr>
            <w:tcW w:w="1419" w:type="dxa"/>
            <w:noWrap w:val="0"/>
            <w:vAlign w:val="top"/>
          </w:tcPr>
          <w:p w14:paraId="5ACE5EC8">
            <w:pPr>
              <w:spacing w:line="360" w:lineRule="auto"/>
              <w:rPr>
                <w:rFonts w:hint="eastAsia" w:ascii="宋体" w:hAnsi="宋体" w:cs="宋体"/>
                <w:color w:val="auto"/>
                <w:szCs w:val="21"/>
                <w:highlight w:val="none"/>
              </w:rPr>
            </w:pPr>
          </w:p>
        </w:tc>
        <w:tc>
          <w:tcPr>
            <w:tcW w:w="2062" w:type="dxa"/>
            <w:noWrap w:val="0"/>
            <w:vAlign w:val="top"/>
          </w:tcPr>
          <w:p w14:paraId="75D39B29">
            <w:pPr>
              <w:spacing w:line="360" w:lineRule="auto"/>
              <w:rPr>
                <w:rFonts w:hint="eastAsia" w:ascii="宋体" w:hAnsi="宋体" w:cs="宋体"/>
                <w:color w:val="auto"/>
                <w:szCs w:val="21"/>
                <w:highlight w:val="none"/>
              </w:rPr>
            </w:pPr>
          </w:p>
        </w:tc>
      </w:tr>
      <w:tr w14:paraId="59B9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3F01B004">
            <w:pPr>
              <w:spacing w:line="360" w:lineRule="auto"/>
              <w:rPr>
                <w:rFonts w:hint="eastAsia" w:ascii="宋体" w:hAnsi="宋体" w:cs="宋体"/>
                <w:color w:val="auto"/>
                <w:szCs w:val="21"/>
                <w:highlight w:val="none"/>
              </w:rPr>
            </w:pPr>
          </w:p>
        </w:tc>
        <w:tc>
          <w:tcPr>
            <w:tcW w:w="1712" w:type="dxa"/>
            <w:noWrap w:val="0"/>
            <w:vAlign w:val="top"/>
          </w:tcPr>
          <w:p w14:paraId="5171B1A2">
            <w:pPr>
              <w:spacing w:line="360" w:lineRule="auto"/>
              <w:rPr>
                <w:rFonts w:hint="eastAsia" w:ascii="宋体" w:hAnsi="宋体" w:cs="宋体"/>
                <w:color w:val="auto"/>
                <w:szCs w:val="21"/>
                <w:highlight w:val="none"/>
              </w:rPr>
            </w:pPr>
          </w:p>
        </w:tc>
        <w:tc>
          <w:tcPr>
            <w:tcW w:w="1742" w:type="dxa"/>
            <w:noWrap w:val="0"/>
            <w:vAlign w:val="top"/>
          </w:tcPr>
          <w:p w14:paraId="2918A1B4">
            <w:pPr>
              <w:spacing w:line="360" w:lineRule="auto"/>
              <w:rPr>
                <w:rFonts w:hint="eastAsia" w:ascii="宋体" w:hAnsi="宋体" w:cs="宋体"/>
                <w:color w:val="auto"/>
                <w:szCs w:val="21"/>
                <w:highlight w:val="none"/>
              </w:rPr>
            </w:pPr>
          </w:p>
        </w:tc>
        <w:tc>
          <w:tcPr>
            <w:tcW w:w="1740" w:type="dxa"/>
            <w:noWrap w:val="0"/>
            <w:vAlign w:val="top"/>
          </w:tcPr>
          <w:p w14:paraId="210653F0">
            <w:pPr>
              <w:spacing w:line="360" w:lineRule="auto"/>
              <w:rPr>
                <w:rFonts w:hint="eastAsia" w:ascii="宋体" w:hAnsi="宋体" w:cs="宋体"/>
                <w:color w:val="auto"/>
                <w:szCs w:val="21"/>
                <w:highlight w:val="none"/>
              </w:rPr>
            </w:pPr>
          </w:p>
        </w:tc>
        <w:tc>
          <w:tcPr>
            <w:tcW w:w="1419" w:type="dxa"/>
            <w:noWrap w:val="0"/>
            <w:vAlign w:val="top"/>
          </w:tcPr>
          <w:p w14:paraId="16F91CE4">
            <w:pPr>
              <w:spacing w:line="360" w:lineRule="auto"/>
              <w:rPr>
                <w:rFonts w:hint="eastAsia" w:ascii="宋体" w:hAnsi="宋体" w:cs="宋体"/>
                <w:color w:val="auto"/>
                <w:szCs w:val="21"/>
                <w:highlight w:val="none"/>
              </w:rPr>
            </w:pPr>
          </w:p>
        </w:tc>
        <w:tc>
          <w:tcPr>
            <w:tcW w:w="2062" w:type="dxa"/>
            <w:noWrap w:val="0"/>
            <w:vAlign w:val="top"/>
          </w:tcPr>
          <w:p w14:paraId="5B873BB5">
            <w:pPr>
              <w:spacing w:line="360" w:lineRule="auto"/>
              <w:rPr>
                <w:rFonts w:hint="eastAsia" w:ascii="宋体" w:hAnsi="宋体" w:cs="宋体"/>
                <w:color w:val="auto"/>
                <w:szCs w:val="21"/>
                <w:highlight w:val="none"/>
              </w:rPr>
            </w:pPr>
          </w:p>
        </w:tc>
      </w:tr>
      <w:tr w14:paraId="0CC8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380B177E">
            <w:pPr>
              <w:spacing w:line="360" w:lineRule="auto"/>
              <w:rPr>
                <w:rFonts w:hint="eastAsia" w:ascii="宋体" w:hAnsi="宋体" w:cs="宋体"/>
                <w:color w:val="auto"/>
                <w:szCs w:val="21"/>
                <w:highlight w:val="none"/>
              </w:rPr>
            </w:pPr>
          </w:p>
        </w:tc>
        <w:tc>
          <w:tcPr>
            <w:tcW w:w="1712" w:type="dxa"/>
            <w:noWrap w:val="0"/>
            <w:vAlign w:val="top"/>
          </w:tcPr>
          <w:p w14:paraId="119CBC3A">
            <w:pPr>
              <w:spacing w:line="360" w:lineRule="auto"/>
              <w:rPr>
                <w:rFonts w:hint="eastAsia" w:ascii="宋体" w:hAnsi="宋体" w:cs="宋体"/>
                <w:color w:val="auto"/>
                <w:szCs w:val="21"/>
                <w:highlight w:val="none"/>
              </w:rPr>
            </w:pPr>
          </w:p>
        </w:tc>
        <w:tc>
          <w:tcPr>
            <w:tcW w:w="1742" w:type="dxa"/>
            <w:noWrap w:val="0"/>
            <w:vAlign w:val="top"/>
          </w:tcPr>
          <w:p w14:paraId="39C2B8BD">
            <w:pPr>
              <w:spacing w:line="360" w:lineRule="auto"/>
              <w:rPr>
                <w:rFonts w:hint="eastAsia" w:ascii="宋体" w:hAnsi="宋体" w:cs="宋体"/>
                <w:color w:val="auto"/>
                <w:szCs w:val="21"/>
                <w:highlight w:val="none"/>
              </w:rPr>
            </w:pPr>
          </w:p>
        </w:tc>
        <w:tc>
          <w:tcPr>
            <w:tcW w:w="1740" w:type="dxa"/>
            <w:noWrap w:val="0"/>
            <w:vAlign w:val="top"/>
          </w:tcPr>
          <w:p w14:paraId="0BD49C65">
            <w:pPr>
              <w:spacing w:line="360" w:lineRule="auto"/>
              <w:rPr>
                <w:rFonts w:hint="eastAsia" w:ascii="宋体" w:hAnsi="宋体" w:cs="宋体"/>
                <w:color w:val="auto"/>
                <w:szCs w:val="21"/>
                <w:highlight w:val="none"/>
              </w:rPr>
            </w:pPr>
          </w:p>
        </w:tc>
        <w:tc>
          <w:tcPr>
            <w:tcW w:w="1419" w:type="dxa"/>
            <w:noWrap w:val="0"/>
            <w:vAlign w:val="top"/>
          </w:tcPr>
          <w:p w14:paraId="5D78AA4A">
            <w:pPr>
              <w:spacing w:line="360" w:lineRule="auto"/>
              <w:rPr>
                <w:rFonts w:hint="eastAsia" w:ascii="宋体" w:hAnsi="宋体" w:cs="宋体"/>
                <w:color w:val="auto"/>
                <w:szCs w:val="21"/>
                <w:highlight w:val="none"/>
              </w:rPr>
            </w:pPr>
          </w:p>
        </w:tc>
        <w:tc>
          <w:tcPr>
            <w:tcW w:w="2062" w:type="dxa"/>
            <w:noWrap w:val="0"/>
            <w:vAlign w:val="top"/>
          </w:tcPr>
          <w:p w14:paraId="6DFD6AC6">
            <w:pPr>
              <w:spacing w:line="360" w:lineRule="auto"/>
              <w:rPr>
                <w:rFonts w:hint="eastAsia" w:ascii="宋体" w:hAnsi="宋体" w:cs="宋体"/>
                <w:color w:val="auto"/>
                <w:szCs w:val="21"/>
                <w:highlight w:val="none"/>
              </w:rPr>
            </w:pPr>
          </w:p>
        </w:tc>
      </w:tr>
      <w:tr w14:paraId="4B4B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3E46D8D7">
            <w:pPr>
              <w:spacing w:line="360" w:lineRule="auto"/>
              <w:rPr>
                <w:rFonts w:hint="eastAsia" w:ascii="宋体" w:hAnsi="宋体" w:cs="宋体"/>
                <w:color w:val="auto"/>
                <w:szCs w:val="21"/>
                <w:highlight w:val="none"/>
              </w:rPr>
            </w:pPr>
          </w:p>
        </w:tc>
        <w:tc>
          <w:tcPr>
            <w:tcW w:w="1712" w:type="dxa"/>
            <w:noWrap w:val="0"/>
            <w:vAlign w:val="top"/>
          </w:tcPr>
          <w:p w14:paraId="7F2DE2B6">
            <w:pPr>
              <w:spacing w:line="360" w:lineRule="auto"/>
              <w:rPr>
                <w:rFonts w:hint="eastAsia" w:ascii="宋体" w:hAnsi="宋体" w:cs="宋体"/>
                <w:color w:val="auto"/>
                <w:szCs w:val="21"/>
                <w:highlight w:val="none"/>
              </w:rPr>
            </w:pPr>
          </w:p>
        </w:tc>
        <w:tc>
          <w:tcPr>
            <w:tcW w:w="1742" w:type="dxa"/>
            <w:noWrap w:val="0"/>
            <w:vAlign w:val="top"/>
          </w:tcPr>
          <w:p w14:paraId="4DF9C8DD">
            <w:pPr>
              <w:spacing w:line="360" w:lineRule="auto"/>
              <w:rPr>
                <w:rFonts w:hint="eastAsia" w:ascii="宋体" w:hAnsi="宋体" w:cs="宋体"/>
                <w:color w:val="auto"/>
                <w:szCs w:val="21"/>
                <w:highlight w:val="none"/>
              </w:rPr>
            </w:pPr>
          </w:p>
        </w:tc>
        <w:tc>
          <w:tcPr>
            <w:tcW w:w="1740" w:type="dxa"/>
            <w:noWrap w:val="0"/>
            <w:vAlign w:val="top"/>
          </w:tcPr>
          <w:p w14:paraId="113EFD62">
            <w:pPr>
              <w:spacing w:line="360" w:lineRule="auto"/>
              <w:rPr>
                <w:rFonts w:hint="eastAsia" w:ascii="宋体" w:hAnsi="宋体" w:cs="宋体"/>
                <w:color w:val="auto"/>
                <w:szCs w:val="21"/>
                <w:highlight w:val="none"/>
              </w:rPr>
            </w:pPr>
          </w:p>
        </w:tc>
        <w:tc>
          <w:tcPr>
            <w:tcW w:w="1419" w:type="dxa"/>
            <w:noWrap w:val="0"/>
            <w:vAlign w:val="top"/>
          </w:tcPr>
          <w:p w14:paraId="79CF3FBC">
            <w:pPr>
              <w:spacing w:line="360" w:lineRule="auto"/>
              <w:rPr>
                <w:rFonts w:hint="eastAsia" w:ascii="宋体" w:hAnsi="宋体" w:cs="宋体"/>
                <w:color w:val="auto"/>
                <w:szCs w:val="21"/>
                <w:highlight w:val="none"/>
              </w:rPr>
            </w:pPr>
          </w:p>
        </w:tc>
        <w:tc>
          <w:tcPr>
            <w:tcW w:w="2062" w:type="dxa"/>
            <w:noWrap w:val="0"/>
            <w:vAlign w:val="top"/>
          </w:tcPr>
          <w:p w14:paraId="3894498F">
            <w:pPr>
              <w:spacing w:line="360" w:lineRule="auto"/>
              <w:rPr>
                <w:rFonts w:hint="eastAsia" w:ascii="宋体" w:hAnsi="宋体" w:cs="宋体"/>
                <w:color w:val="auto"/>
                <w:szCs w:val="21"/>
                <w:highlight w:val="none"/>
              </w:rPr>
            </w:pPr>
          </w:p>
        </w:tc>
      </w:tr>
      <w:tr w14:paraId="7DB1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noWrap w:val="0"/>
            <w:vAlign w:val="top"/>
          </w:tcPr>
          <w:p w14:paraId="3D86F850">
            <w:pPr>
              <w:spacing w:line="360" w:lineRule="auto"/>
              <w:rPr>
                <w:rFonts w:hint="eastAsia" w:ascii="宋体" w:hAnsi="宋体" w:cs="宋体"/>
                <w:color w:val="auto"/>
                <w:szCs w:val="21"/>
                <w:highlight w:val="none"/>
              </w:rPr>
            </w:pPr>
          </w:p>
        </w:tc>
        <w:tc>
          <w:tcPr>
            <w:tcW w:w="1712" w:type="dxa"/>
            <w:noWrap w:val="0"/>
            <w:vAlign w:val="top"/>
          </w:tcPr>
          <w:p w14:paraId="14840F33">
            <w:pPr>
              <w:spacing w:line="360" w:lineRule="auto"/>
              <w:rPr>
                <w:rFonts w:hint="eastAsia" w:ascii="宋体" w:hAnsi="宋体" w:cs="宋体"/>
                <w:color w:val="auto"/>
                <w:szCs w:val="21"/>
                <w:highlight w:val="none"/>
              </w:rPr>
            </w:pPr>
          </w:p>
        </w:tc>
        <w:tc>
          <w:tcPr>
            <w:tcW w:w="1742" w:type="dxa"/>
            <w:noWrap w:val="0"/>
            <w:vAlign w:val="top"/>
          </w:tcPr>
          <w:p w14:paraId="59D06B9D">
            <w:pPr>
              <w:spacing w:line="360" w:lineRule="auto"/>
              <w:rPr>
                <w:rFonts w:hint="eastAsia" w:ascii="宋体" w:hAnsi="宋体" w:cs="宋体"/>
                <w:color w:val="auto"/>
                <w:szCs w:val="21"/>
                <w:highlight w:val="none"/>
              </w:rPr>
            </w:pPr>
          </w:p>
        </w:tc>
        <w:tc>
          <w:tcPr>
            <w:tcW w:w="1740" w:type="dxa"/>
            <w:noWrap w:val="0"/>
            <w:vAlign w:val="top"/>
          </w:tcPr>
          <w:p w14:paraId="3E10A034">
            <w:pPr>
              <w:spacing w:line="360" w:lineRule="auto"/>
              <w:rPr>
                <w:rFonts w:hint="eastAsia" w:ascii="宋体" w:hAnsi="宋体" w:cs="宋体"/>
                <w:color w:val="auto"/>
                <w:szCs w:val="21"/>
                <w:highlight w:val="none"/>
              </w:rPr>
            </w:pPr>
          </w:p>
        </w:tc>
        <w:tc>
          <w:tcPr>
            <w:tcW w:w="1419" w:type="dxa"/>
            <w:noWrap w:val="0"/>
            <w:vAlign w:val="top"/>
          </w:tcPr>
          <w:p w14:paraId="793C003A">
            <w:pPr>
              <w:spacing w:line="360" w:lineRule="auto"/>
              <w:rPr>
                <w:rFonts w:hint="eastAsia" w:ascii="宋体" w:hAnsi="宋体" w:cs="宋体"/>
                <w:color w:val="auto"/>
                <w:szCs w:val="21"/>
                <w:highlight w:val="none"/>
              </w:rPr>
            </w:pPr>
          </w:p>
        </w:tc>
        <w:tc>
          <w:tcPr>
            <w:tcW w:w="2062" w:type="dxa"/>
            <w:noWrap w:val="0"/>
            <w:vAlign w:val="top"/>
          </w:tcPr>
          <w:p w14:paraId="4209567B">
            <w:pPr>
              <w:spacing w:line="360" w:lineRule="auto"/>
              <w:rPr>
                <w:rFonts w:hint="eastAsia" w:ascii="宋体" w:hAnsi="宋体" w:cs="宋体"/>
                <w:color w:val="auto"/>
                <w:szCs w:val="21"/>
                <w:highlight w:val="none"/>
              </w:rPr>
            </w:pPr>
          </w:p>
        </w:tc>
      </w:tr>
    </w:tbl>
    <w:p w14:paraId="4ACF03ED">
      <w:pPr>
        <w:tabs>
          <w:tab w:val="left" w:pos="900"/>
          <w:tab w:val="left" w:pos="1080"/>
        </w:tabs>
        <w:spacing w:line="360" w:lineRule="auto"/>
        <w:rPr>
          <w:rFonts w:hint="eastAsia" w:ascii="宋体" w:hAnsi="宋体" w:cs="宋体"/>
          <w:b/>
          <w:color w:val="auto"/>
          <w:szCs w:val="21"/>
          <w:highlight w:val="none"/>
        </w:rPr>
      </w:pPr>
    </w:p>
    <w:p w14:paraId="6527A346">
      <w:pPr>
        <w:tabs>
          <w:tab w:val="left" w:pos="900"/>
          <w:tab w:val="left" w:pos="1080"/>
        </w:tabs>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注：业绩表后应附</w:t>
      </w:r>
      <w:r>
        <w:rPr>
          <w:rFonts w:hint="eastAsia" w:ascii="宋体" w:hAnsi="宋体" w:cs="宋体"/>
          <w:b/>
          <w:color w:val="auto"/>
          <w:szCs w:val="21"/>
          <w:highlight w:val="none"/>
          <w:lang w:val="en-US" w:eastAsia="zh-CN"/>
        </w:rPr>
        <w:t>相应证明材料</w:t>
      </w:r>
      <w:r>
        <w:rPr>
          <w:rFonts w:hint="eastAsia" w:ascii="宋体" w:hAnsi="宋体" w:cs="宋体"/>
          <w:b/>
          <w:color w:val="auto"/>
          <w:szCs w:val="21"/>
          <w:highlight w:val="none"/>
        </w:rPr>
        <w:t>。</w:t>
      </w:r>
    </w:p>
    <w:p w14:paraId="46AA90A0">
      <w:pPr>
        <w:spacing w:line="360" w:lineRule="auto"/>
        <w:jc w:val="center"/>
        <w:rPr>
          <w:rFonts w:hint="eastAsia" w:ascii="宋体" w:hAnsi="宋体" w:cs="宋体"/>
          <w:b/>
          <w:color w:val="auto"/>
          <w:szCs w:val="21"/>
          <w:highlight w:val="none"/>
        </w:rPr>
      </w:pPr>
    </w:p>
    <w:p w14:paraId="5CD01F44">
      <w:pPr>
        <w:spacing w:line="360" w:lineRule="auto"/>
        <w:jc w:val="center"/>
        <w:rPr>
          <w:rFonts w:hint="eastAsia" w:ascii="宋体" w:hAnsi="宋体" w:cs="宋体"/>
          <w:b/>
          <w:color w:val="auto"/>
          <w:szCs w:val="21"/>
          <w:highlight w:val="none"/>
        </w:rPr>
      </w:pPr>
    </w:p>
    <w:p w14:paraId="6088AB29">
      <w:pPr>
        <w:spacing w:line="360" w:lineRule="auto"/>
        <w:jc w:val="center"/>
        <w:rPr>
          <w:rFonts w:hint="eastAsia" w:ascii="宋体" w:hAnsi="宋体" w:cs="宋体"/>
          <w:b/>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6085D287">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（3）企业财务状况</w:t>
      </w:r>
    </w:p>
    <w:p w14:paraId="6CFB8FDA">
      <w:pPr>
        <w:tabs>
          <w:tab w:val="left" w:pos="4158"/>
        </w:tabs>
        <w:adjustRightInd w:val="0"/>
        <w:snapToGrid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近三年财务状况表（按年度提供）</w:t>
      </w:r>
    </w:p>
    <w:p w14:paraId="2BD66730">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按招标文件要求提供经</w:t>
      </w:r>
      <w:r>
        <w:rPr>
          <w:rFonts w:hint="eastAsia" w:ascii="宋体" w:hAnsi="宋体" w:cs="宋体"/>
          <w:b/>
          <w:color w:val="auto"/>
          <w:szCs w:val="21"/>
          <w:highlight w:val="none"/>
          <w:lang w:val="en-US" w:eastAsia="zh-CN"/>
        </w:rPr>
        <w:t>财务</w:t>
      </w:r>
      <w:r>
        <w:rPr>
          <w:rFonts w:hint="eastAsia" w:ascii="宋体" w:hAnsi="宋体" w:cs="宋体"/>
          <w:b/>
          <w:color w:val="auto"/>
          <w:szCs w:val="21"/>
          <w:highlight w:val="none"/>
        </w:rPr>
        <w:t>报告，并根据报告内容填写以下表格：</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2"/>
        <w:gridCol w:w="1322"/>
        <w:gridCol w:w="1704"/>
        <w:gridCol w:w="1706"/>
        <w:gridCol w:w="2113"/>
      </w:tblGrid>
      <w:tr w14:paraId="382C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12C6E2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项目或指标</w:t>
            </w:r>
          </w:p>
        </w:tc>
        <w:tc>
          <w:tcPr>
            <w:tcW w:w="1322" w:type="dxa"/>
            <w:noWrap w:val="0"/>
            <w:vAlign w:val="center"/>
          </w:tcPr>
          <w:p w14:paraId="5C54571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单位</w:t>
            </w:r>
          </w:p>
        </w:tc>
        <w:tc>
          <w:tcPr>
            <w:tcW w:w="1704" w:type="dxa"/>
            <w:noWrap w:val="0"/>
            <w:vAlign w:val="center"/>
          </w:tcPr>
          <w:p w14:paraId="688DBFC4">
            <w:pPr>
              <w:snapToGrid w:val="0"/>
              <w:spacing w:line="360" w:lineRule="auto"/>
              <w:jc w:val="center"/>
              <w:rPr>
                <w:rFonts w:hint="eastAsia" w:ascii="宋体" w:hAnsi="宋体" w:cs="宋体"/>
                <w:color w:val="auto"/>
                <w:szCs w:val="21"/>
                <w:highlight w:val="none"/>
              </w:rPr>
            </w:pPr>
          </w:p>
        </w:tc>
        <w:tc>
          <w:tcPr>
            <w:tcW w:w="1706" w:type="dxa"/>
            <w:noWrap w:val="0"/>
            <w:vAlign w:val="center"/>
          </w:tcPr>
          <w:p w14:paraId="41841F50">
            <w:pPr>
              <w:snapToGrid w:val="0"/>
              <w:spacing w:line="360" w:lineRule="auto"/>
              <w:jc w:val="center"/>
              <w:rPr>
                <w:rFonts w:hint="eastAsia" w:ascii="宋体" w:hAnsi="宋体" w:cs="宋体"/>
                <w:color w:val="auto"/>
                <w:szCs w:val="21"/>
                <w:highlight w:val="none"/>
              </w:rPr>
            </w:pPr>
          </w:p>
        </w:tc>
        <w:tc>
          <w:tcPr>
            <w:tcW w:w="2113" w:type="dxa"/>
            <w:noWrap w:val="0"/>
            <w:vAlign w:val="center"/>
          </w:tcPr>
          <w:p w14:paraId="40253762">
            <w:pPr>
              <w:snapToGrid w:val="0"/>
              <w:spacing w:line="360" w:lineRule="auto"/>
              <w:jc w:val="center"/>
              <w:rPr>
                <w:rFonts w:hint="eastAsia" w:ascii="宋体" w:hAnsi="宋体" w:cs="宋体"/>
                <w:color w:val="auto"/>
                <w:szCs w:val="21"/>
                <w:highlight w:val="none"/>
              </w:rPr>
            </w:pPr>
          </w:p>
        </w:tc>
      </w:tr>
      <w:tr w14:paraId="47E8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442C96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一、注册资金</w:t>
            </w:r>
          </w:p>
        </w:tc>
        <w:tc>
          <w:tcPr>
            <w:tcW w:w="1322" w:type="dxa"/>
            <w:noWrap w:val="0"/>
            <w:vAlign w:val="center"/>
          </w:tcPr>
          <w:p w14:paraId="51DDE51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46C9C71F">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255970AE">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60854AE3">
            <w:pPr>
              <w:snapToGrid w:val="0"/>
              <w:spacing w:line="360" w:lineRule="auto"/>
              <w:jc w:val="center"/>
              <w:rPr>
                <w:rFonts w:hint="eastAsia" w:ascii="宋体" w:hAnsi="宋体" w:cs="宋体"/>
                <w:bCs/>
                <w:color w:val="auto"/>
                <w:szCs w:val="21"/>
                <w:highlight w:val="none"/>
              </w:rPr>
            </w:pPr>
          </w:p>
        </w:tc>
      </w:tr>
      <w:tr w14:paraId="1537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2FF1AD9">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二、净资产</w:t>
            </w:r>
          </w:p>
        </w:tc>
        <w:tc>
          <w:tcPr>
            <w:tcW w:w="1322" w:type="dxa"/>
            <w:noWrap w:val="0"/>
            <w:vAlign w:val="center"/>
          </w:tcPr>
          <w:p w14:paraId="2A64258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10AC34F3">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6C2204A7">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28D8A82A">
            <w:pPr>
              <w:snapToGrid w:val="0"/>
              <w:spacing w:line="360" w:lineRule="auto"/>
              <w:jc w:val="center"/>
              <w:rPr>
                <w:rFonts w:hint="eastAsia" w:ascii="宋体" w:hAnsi="宋体" w:cs="宋体"/>
                <w:bCs/>
                <w:color w:val="auto"/>
                <w:szCs w:val="21"/>
                <w:highlight w:val="none"/>
              </w:rPr>
            </w:pPr>
          </w:p>
        </w:tc>
      </w:tr>
      <w:tr w14:paraId="5118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7D212BD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三、总资产</w:t>
            </w:r>
          </w:p>
        </w:tc>
        <w:tc>
          <w:tcPr>
            <w:tcW w:w="1322" w:type="dxa"/>
            <w:noWrap w:val="0"/>
            <w:vAlign w:val="center"/>
          </w:tcPr>
          <w:p w14:paraId="355D4E1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15EF70B8">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0A7F4269">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2593FC3C">
            <w:pPr>
              <w:snapToGrid w:val="0"/>
              <w:spacing w:line="360" w:lineRule="auto"/>
              <w:jc w:val="center"/>
              <w:rPr>
                <w:rFonts w:hint="eastAsia" w:ascii="宋体" w:hAnsi="宋体" w:cs="宋体"/>
                <w:bCs/>
                <w:color w:val="auto"/>
                <w:szCs w:val="21"/>
                <w:highlight w:val="none"/>
              </w:rPr>
            </w:pPr>
          </w:p>
        </w:tc>
      </w:tr>
      <w:tr w14:paraId="4188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243E46F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四、固定资产</w:t>
            </w:r>
          </w:p>
        </w:tc>
        <w:tc>
          <w:tcPr>
            <w:tcW w:w="1322" w:type="dxa"/>
            <w:noWrap w:val="0"/>
            <w:vAlign w:val="center"/>
          </w:tcPr>
          <w:p w14:paraId="73B6627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025DB069">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62186AD5">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716BE124">
            <w:pPr>
              <w:snapToGrid w:val="0"/>
              <w:spacing w:line="360" w:lineRule="auto"/>
              <w:jc w:val="center"/>
              <w:rPr>
                <w:rFonts w:hint="eastAsia" w:ascii="宋体" w:hAnsi="宋体" w:cs="宋体"/>
                <w:bCs/>
                <w:color w:val="auto"/>
                <w:szCs w:val="21"/>
                <w:highlight w:val="none"/>
              </w:rPr>
            </w:pPr>
          </w:p>
        </w:tc>
      </w:tr>
      <w:tr w14:paraId="6AF5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2AC7219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五、流动资产</w:t>
            </w:r>
          </w:p>
        </w:tc>
        <w:tc>
          <w:tcPr>
            <w:tcW w:w="1322" w:type="dxa"/>
            <w:noWrap w:val="0"/>
            <w:vAlign w:val="center"/>
          </w:tcPr>
          <w:p w14:paraId="08ADA34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02FB6FCC">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EC9BE51">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69C38863">
            <w:pPr>
              <w:snapToGrid w:val="0"/>
              <w:spacing w:line="360" w:lineRule="auto"/>
              <w:jc w:val="center"/>
              <w:rPr>
                <w:rFonts w:hint="eastAsia" w:ascii="宋体" w:hAnsi="宋体" w:cs="宋体"/>
                <w:bCs/>
                <w:color w:val="auto"/>
                <w:szCs w:val="21"/>
                <w:highlight w:val="none"/>
              </w:rPr>
            </w:pPr>
          </w:p>
        </w:tc>
      </w:tr>
      <w:tr w14:paraId="48CF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6FB8AE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六、流动负债</w:t>
            </w:r>
          </w:p>
        </w:tc>
        <w:tc>
          <w:tcPr>
            <w:tcW w:w="1322" w:type="dxa"/>
            <w:noWrap w:val="0"/>
            <w:vAlign w:val="center"/>
          </w:tcPr>
          <w:p w14:paraId="4C37B7A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359134FE">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0E6AD6DD">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035FEFB4">
            <w:pPr>
              <w:snapToGrid w:val="0"/>
              <w:spacing w:line="360" w:lineRule="auto"/>
              <w:jc w:val="center"/>
              <w:rPr>
                <w:rFonts w:hint="eastAsia" w:ascii="宋体" w:hAnsi="宋体" w:cs="宋体"/>
                <w:bCs/>
                <w:color w:val="auto"/>
                <w:szCs w:val="21"/>
                <w:highlight w:val="none"/>
              </w:rPr>
            </w:pPr>
          </w:p>
        </w:tc>
      </w:tr>
      <w:tr w14:paraId="1540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4A7C46A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七、负债合计</w:t>
            </w:r>
          </w:p>
        </w:tc>
        <w:tc>
          <w:tcPr>
            <w:tcW w:w="1322" w:type="dxa"/>
            <w:noWrap w:val="0"/>
            <w:vAlign w:val="center"/>
          </w:tcPr>
          <w:p w14:paraId="3E45372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43F425C4">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A0F630D">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31DB2699">
            <w:pPr>
              <w:snapToGrid w:val="0"/>
              <w:spacing w:line="360" w:lineRule="auto"/>
              <w:jc w:val="center"/>
              <w:rPr>
                <w:rFonts w:hint="eastAsia" w:ascii="宋体" w:hAnsi="宋体" w:cs="宋体"/>
                <w:bCs/>
                <w:color w:val="auto"/>
                <w:szCs w:val="21"/>
                <w:highlight w:val="none"/>
              </w:rPr>
            </w:pPr>
          </w:p>
        </w:tc>
      </w:tr>
      <w:tr w14:paraId="673D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784944D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八、营业收入</w:t>
            </w:r>
          </w:p>
        </w:tc>
        <w:tc>
          <w:tcPr>
            <w:tcW w:w="1322" w:type="dxa"/>
            <w:noWrap w:val="0"/>
            <w:vAlign w:val="center"/>
          </w:tcPr>
          <w:p w14:paraId="17ACAD37">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4779D034">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50C358F8">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4FA9B40C">
            <w:pPr>
              <w:snapToGrid w:val="0"/>
              <w:spacing w:line="360" w:lineRule="auto"/>
              <w:jc w:val="center"/>
              <w:rPr>
                <w:rFonts w:hint="eastAsia" w:ascii="宋体" w:hAnsi="宋体" w:cs="宋体"/>
                <w:bCs/>
                <w:color w:val="auto"/>
                <w:szCs w:val="21"/>
                <w:highlight w:val="none"/>
              </w:rPr>
            </w:pPr>
          </w:p>
        </w:tc>
      </w:tr>
      <w:tr w14:paraId="67C3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4FC7D58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九、净利润</w:t>
            </w:r>
          </w:p>
        </w:tc>
        <w:tc>
          <w:tcPr>
            <w:tcW w:w="1322" w:type="dxa"/>
            <w:noWrap w:val="0"/>
            <w:vAlign w:val="center"/>
          </w:tcPr>
          <w:p w14:paraId="7E4CFD7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724C4A42">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36426928">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03EC8EE8">
            <w:pPr>
              <w:snapToGrid w:val="0"/>
              <w:spacing w:line="360" w:lineRule="auto"/>
              <w:jc w:val="center"/>
              <w:rPr>
                <w:rFonts w:hint="eastAsia" w:ascii="宋体" w:hAnsi="宋体" w:cs="宋体"/>
                <w:bCs/>
                <w:color w:val="auto"/>
                <w:szCs w:val="21"/>
                <w:highlight w:val="none"/>
              </w:rPr>
            </w:pPr>
          </w:p>
        </w:tc>
      </w:tr>
      <w:tr w14:paraId="32A6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61FF2515">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十、净现金流量总额</w:t>
            </w:r>
          </w:p>
        </w:tc>
        <w:tc>
          <w:tcPr>
            <w:tcW w:w="1322" w:type="dxa"/>
            <w:noWrap w:val="0"/>
            <w:vAlign w:val="center"/>
          </w:tcPr>
          <w:p w14:paraId="6C752C1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noWrap w:val="0"/>
            <w:vAlign w:val="center"/>
          </w:tcPr>
          <w:p w14:paraId="06CB30FD">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64A2ABFC">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4A7AD2CB">
            <w:pPr>
              <w:snapToGrid w:val="0"/>
              <w:spacing w:line="360" w:lineRule="auto"/>
              <w:jc w:val="center"/>
              <w:rPr>
                <w:rFonts w:hint="eastAsia" w:ascii="宋体" w:hAnsi="宋体" w:cs="宋体"/>
                <w:bCs/>
                <w:color w:val="auto"/>
                <w:szCs w:val="21"/>
                <w:highlight w:val="none"/>
              </w:rPr>
            </w:pPr>
          </w:p>
        </w:tc>
      </w:tr>
      <w:tr w14:paraId="0662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4C4B96D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十一、主要财务指标</w:t>
            </w:r>
          </w:p>
        </w:tc>
        <w:tc>
          <w:tcPr>
            <w:tcW w:w="1322" w:type="dxa"/>
            <w:noWrap w:val="0"/>
            <w:vAlign w:val="center"/>
          </w:tcPr>
          <w:p w14:paraId="1FFEC712">
            <w:pPr>
              <w:snapToGrid w:val="0"/>
              <w:spacing w:line="360" w:lineRule="auto"/>
              <w:jc w:val="center"/>
              <w:rPr>
                <w:rFonts w:hint="eastAsia" w:ascii="宋体" w:hAnsi="宋体" w:cs="宋体"/>
                <w:bCs/>
                <w:color w:val="auto"/>
                <w:szCs w:val="21"/>
                <w:highlight w:val="none"/>
              </w:rPr>
            </w:pPr>
          </w:p>
        </w:tc>
        <w:tc>
          <w:tcPr>
            <w:tcW w:w="1704" w:type="dxa"/>
            <w:noWrap w:val="0"/>
            <w:vAlign w:val="center"/>
          </w:tcPr>
          <w:p w14:paraId="51E871DE">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210DCC19">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311100A2">
            <w:pPr>
              <w:snapToGrid w:val="0"/>
              <w:spacing w:line="360" w:lineRule="auto"/>
              <w:jc w:val="center"/>
              <w:rPr>
                <w:rFonts w:hint="eastAsia" w:ascii="宋体" w:hAnsi="宋体" w:cs="宋体"/>
                <w:bCs/>
                <w:color w:val="auto"/>
                <w:szCs w:val="21"/>
                <w:highlight w:val="none"/>
              </w:rPr>
            </w:pPr>
          </w:p>
        </w:tc>
      </w:tr>
      <w:tr w14:paraId="49E2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7E67288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1、净资产收益率</w:t>
            </w:r>
          </w:p>
        </w:tc>
        <w:tc>
          <w:tcPr>
            <w:tcW w:w="1322" w:type="dxa"/>
            <w:noWrap w:val="0"/>
            <w:vAlign w:val="center"/>
          </w:tcPr>
          <w:p w14:paraId="38566A1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18CB4BAF">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2D58B576">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50B288B3">
            <w:pPr>
              <w:snapToGrid w:val="0"/>
              <w:spacing w:line="360" w:lineRule="auto"/>
              <w:jc w:val="center"/>
              <w:rPr>
                <w:rFonts w:hint="eastAsia" w:ascii="宋体" w:hAnsi="宋体" w:cs="宋体"/>
                <w:bCs/>
                <w:color w:val="auto"/>
                <w:szCs w:val="21"/>
                <w:highlight w:val="none"/>
              </w:rPr>
            </w:pPr>
          </w:p>
        </w:tc>
      </w:tr>
      <w:tr w14:paraId="3ED5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651100B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2、总资产报酬率</w:t>
            </w:r>
          </w:p>
        </w:tc>
        <w:tc>
          <w:tcPr>
            <w:tcW w:w="1322" w:type="dxa"/>
            <w:noWrap w:val="0"/>
            <w:vAlign w:val="center"/>
          </w:tcPr>
          <w:p w14:paraId="25C50C1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57A2D4BE">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162FAA05">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5B4A637A">
            <w:pPr>
              <w:snapToGrid w:val="0"/>
              <w:spacing w:line="360" w:lineRule="auto"/>
              <w:jc w:val="center"/>
              <w:rPr>
                <w:rFonts w:hint="eastAsia" w:ascii="宋体" w:hAnsi="宋体" w:cs="宋体"/>
                <w:bCs/>
                <w:color w:val="auto"/>
                <w:szCs w:val="21"/>
                <w:highlight w:val="none"/>
              </w:rPr>
            </w:pPr>
          </w:p>
        </w:tc>
      </w:tr>
      <w:tr w14:paraId="5485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8B833D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3、主营业务利润率</w:t>
            </w:r>
          </w:p>
        </w:tc>
        <w:tc>
          <w:tcPr>
            <w:tcW w:w="1322" w:type="dxa"/>
            <w:noWrap w:val="0"/>
            <w:vAlign w:val="center"/>
          </w:tcPr>
          <w:p w14:paraId="4783053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7A93C830">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049A067A">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6FA71201">
            <w:pPr>
              <w:snapToGrid w:val="0"/>
              <w:spacing w:line="360" w:lineRule="auto"/>
              <w:jc w:val="center"/>
              <w:rPr>
                <w:rFonts w:hint="eastAsia" w:ascii="宋体" w:hAnsi="宋体" w:cs="宋体"/>
                <w:bCs/>
                <w:color w:val="auto"/>
                <w:szCs w:val="21"/>
                <w:highlight w:val="none"/>
              </w:rPr>
            </w:pPr>
          </w:p>
        </w:tc>
      </w:tr>
      <w:tr w14:paraId="3967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153C005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4、资产负债率</w:t>
            </w:r>
          </w:p>
        </w:tc>
        <w:tc>
          <w:tcPr>
            <w:tcW w:w="1322" w:type="dxa"/>
            <w:noWrap w:val="0"/>
            <w:vAlign w:val="center"/>
          </w:tcPr>
          <w:p w14:paraId="2C33E35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5F612F43">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231F7B9">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71BF37BE">
            <w:pPr>
              <w:snapToGrid w:val="0"/>
              <w:spacing w:line="360" w:lineRule="auto"/>
              <w:jc w:val="center"/>
              <w:rPr>
                <w:rFonts w:hint="eastAsia" w:ascii="宋体" w:hAnsi="宋体" w:cs="宋体"/>
                <w:bCs/>
                <w:color w:val="auto"/>
                <w:szCs w:val="21"/>
                <w:highlight w:val="none"/>
              </w:rPr>
            </w:pPr>
          </w:p>
        </w:tc>
      </w:tr>
      <w:tr w14:paraId="685A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721F581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5、流动比率</w:t>
            </w:r>
          </w:p>
        </w:tc>
        <w:tc>
          <w:tcPr>
            <w:tcW w:w="1322" w:type="dxa"/>
            <w:noWrap w:val="0"/>
            <w:vAlign w:val="center"/>
          </w:tcPr>
          <w:p w14:paraId="37BF9A4D">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482C91B9">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1977A6B1">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49FF6403">
            <w:pPr>
              <w:snapToGrid w:val="0"/>
              <w:spacing w:line="360" w:lineRule="auto"/>
              <w:jc w:val="center"/>
              <w:rPr>
                <w:rFonts w:hint="eastAsia" w:ascii="宋体" w:hAnsi="宋体" w:cs="宋体"/>
                <w:bCs/>
                <w:color w:val="auto"/>
                <w:szCs w:val="21"/>
                <w:highlight w:val="none"/>
              </w:rPr>
            </w:pPr>
          </w:p>
        </w:tc>
      </w:tr>
      <w:tr w14:paraId="4646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noWrap w:val="0"/>
            <w:vAlign w:val="center"/>
          </w:tcPr>
          <w:p w14:paraId="074B3C2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6、速动比率</w:t>
            </w:r>
          </w:p>
        </w:tc>
        <w:tc>
          <w:tcPr>
            <w:tcW w:w="1322" w:type="dxa"/>
            <w:noWrap w:val="0"/>
            <w:vAlign w:val="center"/>
          </w:tcPr>
          <w:p w14:paraId="0802294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noWrap w:val="0"/>
            <w:vAlign w:val="center"/>
          </w:tcPr>
          <w:p w14:paraId="0E61C741">
            <w:pPr>
              <w:snapToGrid w:val="0"/>
              <w:spacing w:line="360" w:lineRule="auto"/>
              <w:jc w:val="center"/>
              <w:rPr>
                <w:rFonts w:hint="eastAsia" w:ascii="宋体" w:hAnsi="宋体" w:cs="宋体"/>
                <w:bCs/>
                <w:color w:val="auto"/>
                <w:szCs w:val="21"/>
                <w:highlight w:val="none"/>
              </w:rPr>
            </w:pPr>
          </w:p>
        </w:tc>
        <w:tc>
          <w:tcPr>
            <w:tcW w:w="1706" w:type="dxa"/>
            <w:noWrap w:val="0"/>
            <w:vAlign w:val="center"/>
          </w:tcPr>
          <w:p w14:paraId="760858DE">
            <w:pPr>
              <w:snapToGrid w:val="0"/>
              <w:spacing w:line="360" w:lineRule="auto"/>
              <w:jc w:val="center"/>
              <w:rPr>
                <w:rFonts w:hint="eastAsia" w:ascii="宋体" w:hAnsi="宋体" w:cs="宋体"/>
                <w:bCs/>
                <w:color w:val="auto"/>
                <w:szCs w:val="21"/>
                <w:highlight w:val="none"/>
              </w:rPr>
            </w:pPr>
          </w:p>
        </w:tc>
        <w:tc>
          <w:tcPr>
            <w:tcW w:w="2113" w:type="dxa"/>
            <w:noWrap w:val="0"/>
            <w:vAlign w:val="center"/>
          </w:tcPr>
          <w:p w14:paraId="76B66912">
            <w:pPr>
              <w:snapToGrid w:val="0"/>
              <w:spacing w:line="360" w:lineRule="auto"/>
              <w:jc w:val="center"/>
              <w:rPr>
                <w:rFonts w:hint="eastAsia" w:ascii="宋体" w:hAnsi="宋体" w:cs="宋体"/>
                <w:bCs/>
                <w:color w:val="auto"/>
                <w:szCs w:val="21"/>
                <w:highlight w:val="none"/>
              </w:rPr>
            </w:pPr>
          </w:p>
        </w:tc>
      </w:tr>
    </w:tbl>
    <w:p w14:paraId="6A18759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0F365B0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1、投标人应附财务报告的资产负债表、利润表、现金流量表</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w:t>
      </w:r>
    </w:p>
    <w:p w14:paraId="750CD09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2、请投标人根据表格内容填写关键数据。</w:t>
      </w:r>
    </w:p>
    <w:p w14:paraId="03702B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3、若缺少上述内容将可能影响评标委员会对投标人的评审。</w:t>
      </w:r>
    </w:p>
    <w:p w14:paraId="443ACA44">
      <w:pPr>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br w:type="page"/>
      </w:r>
    </w:p>
    <w:p w14:paraId="4E3661CA">
      <w:pPr>
        <w:spacing w:line="360" w:lineRule="auto"/>
        <w:ind w:firstLine="425"/>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（4）投入本项目的主要管理技术人员情况</w:t>
      </w:r>
    </w:p>
    <w:tbl>
      <w:tblPr>
        <w:tblStyle w:val="2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491"/>
        <w:gridCol w:w="560"/>
        <w:gridCol w:w="560"/>
        <w:gridCol w:w="560"/>
        <w:gridCol w:w="560"/>
        <w:gridCol w:w="1929"/>
        <w:gridCol w:w="826"/>
        <w:gridCol w:w="2241"/>
      </w:tblGrid>
      <w:tr w14:paraId="030B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exact"/>
          <w:jc w:val="center"/>
        </w:trPr>
        <w:tc>
          <w:tcPr>
            <w:tcW w:w="559" w:type="dxa"/>
            <w:tcBorders>
              <w:top w:val="single" w:color="auto" w:sz="4" w:space="0"/>
              <w:left w:val="single" w:color="auto" w:sz="4" w:space="0"/>
              <w:bottom w:val="nil"/>
              <w:right w:val="single" w:color="auto" w:sz="4" w:space="0"/>
            </w:tcBorders>
            <w:noWrap w:val="0"/>
            <w:vAlign w:val="center"/>
          </w:tcPr>
          <w:p w14:paraId="43C4A295">
            <w:pPr>
              <w:jc w:val="center"/>
              <w:rPr>
                <w:rFonts w:hint="eastAsia" w:ascii="宋体" w:hAnsi="宋体" w:cs="宋体"/>
                <w:b/>
                <w:color w:val="auto"/>
                <w:szCs w:val="21"/>
              </w:rPr>
            </w:pPr>
            <w:r>
              <w:rPr>
                <w:rFonts w:hint="eastAsia" w:ascii="宋体" w:hAnsi="宋体" w:cs="宋体"/>
                <w:b/>
                <w:color w:val="auto"/>
                <w:szCs w:val="21"/>
              </w:rPr>
              <w:t>序号</w:t>
            </w:r>
          </w:p>
        </w:tc>
        <w:tc>
          <w:tcPr>
            <w:tcW w:w="1491" w:type="dxa"/>
            <w:tcBorders>
              <w:top w:val="single" w:color="auto" w:sz="4" w:space="0"/>
              <w:left w:val="single" w:color="auto" w:sz="4" w:space="0"/>
              <w:bottom w:val="nil"/>
              <w:right w:val="single" w:color="auto" w:sz="4" w:space="0"/>
            </w:tcBorders>
            <w:noWrap w:val="0"/>
            <w:vAlign w:val="center"/>
          </w:tcPr>
          <w:p w14:paraId="7E709C1C">
            <w:pPr>
              <w:jc w:val="center"/>
              <w:rPr>
                <w:rFonts w:hint="eastAsia" w:ascii="宋体" w:hAnsi="宋体" w:cs="宋体"/>
                <w:b/>
                <w:color w:val="auto"/>
                <w:szCs w:val="21"/>
              </w:rPr>
            </w:pPr>
            <w:r>
              <w:rPr>
                <w:rFonts w:hint="eastAsia" w:ascii="宋体" w:hAnsi="宋体" w:cs="宋体"/>
                <w:b/>
                <w:color w:val="auto"/>
                <w:szCs w:val="21"/>
              </w:rPr>
              <w:t>拟担任本项目的角色</w:t>
            </w:r>
          </w:p>
        </w:tc>
        <w:tc>
          <w:tcPr>
            <w:tcW w:w="560" w:type="dxa"/>
            <w:tcBorders>
              <w:top w:val="single" w:color="auto" w:sz="4" w:space="0"/>
              <w:left w:val="single" w:color="auto" w:sz="4" w:space="0"/>
              <w:bottom w:val="nil"/>
              <w:right w:val="single" w:color="auto" w:sz="4" w:space="0"/>
            </w:tcBorders>
            <w:noWrap w:val="0"/>
            <w:vAlign w:val="center"/>
          </w:tcPr>
          <w:p w14:paraId="40CD6CE3">
            <w:pPr>
              <w:jc w:val="center"/>
              <w:rPr>
                <w:rFonts w:hint="eastAsia" w:ascii="宋体" w:hAnsi="宋体" w:cs="宋体"/>
                <w:b/>
                <w:color w:val="auto"/>
                <w:szCs w:val="21"/>
              </w:rPr>
            </w:pPr>
            <w:r>
              <w:rPr>
                <w:rFonts w:hint="eastAsia" w:ascii="宋体" w:hAnsi="宋体" w:cs="宋体"/>
                <w:b/>
                <w:color w:val="auto"/>
                <w:szCs w:val="21"/>
              </w:rPr>
              <w:t>姓名</w:t>
            </w:r>
          </w:p>
        </w:tc>
        <w:tc>
          <w:tcPr>
            <w:tcW w:w="560" w:type="dxa"/>
            <w:tcBorders>
              <w:top w:val="single" w:color="auto" w:sz="4" w:space="0"/>
              <w:left w:val="single" w:color="auto" w:sz="4" w:space="0"/>
              <w:bottom w:val="nil"/>
            </w:tcBorders>
            <w:noWrap w:val="0"/>
            <w:vAlign w:val="center"/>
          </w:tcPr>
          <w:p w14:paraId="2D042BD4">
            <w:pPr>
              <w:jc w:val="center"/>
              <w:rPr>
                <w:rFonts w:hint="eastAsia" w:ascii="宋体" w:hAnsi="宋体" w:cs="宋体"/>
                <w:b/>
                <w:color w:val="auto"/>
                <w:szCs w:val="21"/>
              </w:rPr>
            </w:pPr>
            <w:r>
              <w:rPr>
                <w:rFonts w:hint="eastAsia" w:ascii="宋体" w:hAnsi="宋体" w:cs="宋体"/>
                <w:b/>
                <w:color w:val="auto"/>
                <w:szCs w:val="21"/>
              </w:rPr>
              <w:t>年龄</w:t>
            </w:r>
          </w:p>
        </w:tc>
        <w:tc>
          <w:tcPr>
            <w:tcW w:w="560" w:type="dxa"/>
            <w:tcBorders>
              <w:top w:val="single" w:color="auto" w:sz="4" w:space="0"/>
              <w:left w:val="single" w:color="auto" w:sz="4" w:space="0"/>
              <w:bottom w:val="nil"/>
            </w:tcBorders>
            <w:noWrap w:val="0"/>
            <w:vAlign w:val="center"/>
          </w:tcPr>
          <w:p w14:paraId="394BE38E">
            <w:pPr>
              <w:jc w:val="center"/>
              <w:rPr>
                <w:rFonts w:hint="eastAsia" w:ascii="宋体" w:hAnsi="宋体" w:cs="宋体"/>
                <w:b/>
                <w:color w:val="auto"/>
                <w:szCs w:val="21"/>
              </w:rPr>
            </w:pPr>
            <w:r>
              <w:rPr>
                <w:rFonts w:hint="eastAsia" w:ascii="宋体" w:hAnsi="宋体" w:cs="宋体"/>
                <w:b/>
                <w:color w:val="auto"/>
                <w:szCs w:val="21"/>
              </w:rPr>
              <w:t>学历</w:t>
            </w:r>
          </w:p>
        </w:tc>
        <w:tc>
          <w:tcPr>
            <w:tcW w:w="560" w:type="dxa"/>
            <w:tcBorders>
              <w:top w:val="single" w:color="auto" w:sz="4" w:space="0"/>
              <w:bottom w:val="nil"/>
            </w:tcBorders>
            <w:noWrap w:val="0"/>
            <w:vAlign w:val="center"/>
          </w:tcPr>
          <w:p w14:paraId="6B674C75">
            <w:pPr>
              <w:jc w:val="center"/>
              <w:rPr>
                <w:rFonts w:hint="eastAsia" w:ascii="宋体" w:hAnsi="宋体" w:cs="宋体"/>
                <w:b/>
                <w:color w:val="auto"/>
                <w:szCs w:val="21"/>
              </w:rPr>
            </w:pPr>
            <w:r>
              <w:rPr>
                <w:rFonts w:hint="eastAsia" w:ascii="宋体" w:hAnsi="宋体" w:cs="宋体"/>
                <w:b/>
                <w:color w:val="auto"/>
                <w:szCs w:val="21"/>
              </w:rPr>
              <w:t>职务</w:t>
            </w:r>
          </w:p>
        </w:tc>
        <w:tc>
          <w:tcPr>
            <w:tcW w:w="1929" w:type="dxa"/>
            <w:tcBorders>
              <w:top w:val="single" w:color="auto" w:sz="4" w:space="0"/>
              <w:bottom w:val="nil"/>
            </w:tcBorders>
            <w:noWrap w:val="0"/>
            <w:vAlign w:val="center"/>
          </w:tcPr>
          <w:p w14:paraId="2FF44FAE">
            <w:pPr>
              <w:jc w:val="center"/>
              <w:rPr>
                <w:rFonts w:hint="eastAsia" w:ascii="宋体" w:hAnsi="宋体" w:cs="宋体"/>
                <w:b/>
                <w:color w:val="auto"/>
                <w:szCs w:val="21"/>
              </w:rPr>
            </w:pPr>
            <w:r>
              <w:rPr>
                <w:rFonts w:hint="eastAsia" w:ascii="宋体" w:hAnsi="宋体" w:cs="宋体"/>
                <w:b/>
                <w:color w:val="auto"/>
                <w:szCs w:val="21"/>
              </w:rPr>
              <w:t>具有相关证书(含职称证)等</w:t>
            </w:r>
          </w:p>
        </w:tc>
        <w:tc>
          <w:tcPr>
            <w:tcW w:w="826" w:type="dxa"/>
            <w:tcBorders>
              <w:top w:val="single" w:color="auto" w:sz="4" w:space="0"/>
              <w:bottom w:val="nil"/>
            </w:tcBorders>
            <w:noWrap w:val="0"/>
            <w:vAlign w:val="center"/>
          </w:tcPr>
          <w:p w14:paraId="54BDE620">
            <w:pPr>
              <w:jc w:val="center"/>
              <w:rPr>
                <w:rFonts w:hint="eastAsia" w:ascii="宋体" w:hAnsi="宋体" w:cs="宋体"/>
                <w:b/>
                <w:color w:val="auto"/>
                <w:szCs w:val="21"/>
              </w:rPr>
            </w:pPr>
            <w:r>
              <w:rPr>
                <w:rFonts w:hint="eastAsia" w:ascii="宋体" w:hAnsi="宋体" w:cs="宋体"/>
                <w:b/>
                <w:color w:val="auto"/>
                <w:szCs w:val="21"/>
              </w:rPr>
              <w:t>工作年限</w:t>
            </w:r>
          </w:p>
        </w:tc>
        <w:tc>
          <w:tcPr>
            <w:tcW w:w="2241" w:type="dxa"/>
            <w:tcBorders>
              <w:top w:val="single" w:color="auto" w:sz="4" w:space="0"/>
              <w:bottom w:val="nil"/>
              <w:right w:val="single" w:color="auto" w:sz="4" w:space="0"/>
            </w:tcBorders>
            <w:noWrap w:val="0"/>
            <w:vAlign w:val="center"/>
          </w:tcPr>
          <w:p w14:paraId="6A246382">
            <w:pPr>
              <w:ind w:firstLine="12"/>
              <w:jc w:val="center"/>
              <w:rPr>
                <w:rFonts w:hint="eastAsia" w:ascii="宋体" w:hAnsi="宋体" w:cs="宋体"/>
                <w:b/>
                <w:color w:val="auto"/>
                <w:szCs w:val="21"/>
              </w:rPr>
            </w:pPr>
            <w:r>
              <w:rPr>
                <w:rFonts w:hint="eastAsia" w:ascii="宋体" w:hAnsi="宋体" w:cs="宋体"/>
                <w:b/>
                <w:bCs/>
                <w:color w:val="auto"/>
                <w:szCs w:val="21"/>
              </w:rPr>
              <w:t>主要资历、经验及承担过的项目</w:t>
            </w:r>
          </w:p>
        </w:tc>
      </w:tr>
      <w:tr w14:paraId="050D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top w:val="single" w:color="auto" w:sz="4" w:space="0"/>
              <w:left w:val="single" w:color="auto" w:sz="4" w:space="0"/>
              <w:bottom w:val="nil"/>
              <w:right w:val="single" w:color="auto" w:sz="4" w:space="0"/>
            </w:tcBorders>
            <w:noWrap w:val="0"/>
            <w:vAlign w:val="center"/>
          </w:tcPr>
          <w:p w14:paraId="4EFABF29">
            <w:pPr>
              <w:jc w:val="center"/>
              <w:rPr>
                <w:rFonts w:hint="eastAsia" w:ascii="宋体" w:hAnsi="宋体" w:cs="宋体"/>
                <w:color w:val="auto"/>
                <w:szCs w:val="21"/>
              </w:rPr>
            </w:pPr>
            <w:r>
              <w:rPr>
                <w:rFonts w:hint="eastAsia" w:ascii="宋体" w:hAnsi="宋体" w:cs="宋体"/>
                <w:color w:val="auto"/>
                <w:szCs w:val="21"/>
              </w:rPr>
              <w:t>1</w:t>
            </w:r>
          </w:p>
        </w:tc>
        <w:tc>
          <w:tcPr>
            <w:tcW w:w="1491" w:type="dxa"/>
            <w:tcBorders>
              <w:top w:val="single" w:color="auto" w:sz="4" w:space="0"/>
              <w:left w:val="single" w:color="auto" w:sz="4" w:space="0"/>
              <w:bottom w:val="nil"/>
              <w:right w:val="single" w:color="auto" w:sz="4" w:space="0"/>
            </w:tcBorders>
            <w:noWrap w:val="0"/>
            <w:vAlign w:val="center"/>
          </w:tcPr>
          <w:p w14:paraId="1F91FDEB">
            <w:pPr>
              <w:jc w:val="center"/>
              <w:rPr>
                <w:rFonts w:hint="eastAsia" w:ascii="宋体" w:hAnsi="宋体" w:cs="宋体"/>
                <w:color w:val="auto"/>
                <w:szCs w:val="21"/>
              </w:rPr>
            </w:pPr>
          </w:p>
        </w:tc>
        <w:tc>
          <w:tcPr>
            <w:tcW w:w="560" w:type="dxa"/>
            <w:tcBorders>
              <w:top w:val="single" w:color="auto" w:sz="4" w:space="0"/>
              <w:left w:val="single" w:color="auto" w:sz="4" w:space="0"/>
              <w:bottom w:val="nil"/>
              <w:right w:val="single" w:color="auto" w:sz="4" w:space="0"/>
            </w:tcBorders>
            <w:noWrap w:val="0"/>
            <w:vAlign w:val="center"/>
          </w:tcPr>
          <w:p w14:paraId="32594772">
            <w:pPr>
              <w:jc w:val="center"/>
              <w:rPr>
                <w:rFonts w:hint="eastAsia" w:ascii="宋体" w:hAnsi="宋体" w:cs="宋体"/>
                <w:color w:val="auto"/>
                <w:szCs w:val="21"/>
              </w:rPr>
            </w:pPr>
          </w:p>
        </w:tc>
        <w:tc>
          <w:tcPr>
            <w:tcW w:w="560" w:type="dxa"/>
            <w:tcBorders>
              <w:top w:val="single" w:color="auto" w:sz="4" w:space="0"/>
              <w:left w:val="single" w:color="auto" w:sz="4" w:space="0"/>
              <w:bottom w:val="nil"/>
            </w:tcBorders>
            <w:noWrap w:val="0"/>
            <w:vAlign w:val="center"/>
          </w:tcPr>
          <w:p w14:paraId="3B3CAD7A">
            <w:pPr>
              <w:jc w:val="center"/>
              <w:rPr>
                <w:rFonts w:hint="eastAsia" w:ascii="宋体" w:hAnsi="宋体" w:cs="宋体"/>
                <w:color w:val="auto"/>
                <w:szCs w:val="21"/>
              </w:rPr>
            </w:pPr>
          </w:p>
        </w:tc>
        <w:tc>
          <w:tcPr>
            <w:tcW w:w="560" w:type="dxa"/>
            <w:tcBorders>
              <w:top w:val="single" w:color="auto" w:sz="4" w:space="0"/>
              <w:left w:val="single" w:color="auto" w:sz="4" w:space="0"/>
              <w:bottom w:val="nil"/>
            </w:tcBorders>
            <w:noWrap w:val="0"/>
            <w:vAlign w:val="center"/>
          </w:tcPr>
          <w:p w14:paraId="03366A4F">
            <w:pPr>
              <w:jc w:val="center"/>
              <w:rPr>
                <w:rFonts w:hint="eastAsia" w:ascii="宋体" w:hAnsi="宋体" w:cs="宋体"/>
                <w:color w:val="auto"/>
                <w:szCs w:val="21"/>
              </w:rPr>
            </w:pPr>
          </w:p>
        </w:tc>
        <w:tc>
          <w:tcPr>
            <w:tcW w:w="560" w:type="dxa"/>
            <w:tcBorders>
              <w:top w:val="single" w:color="auto" w:sz="4" w:space="0"/>
              <w:bottom w:val="nil"/>
            </w:tcBorders>
            <w:noWrap w:val="0"/>
            <w:vAlign w:val="center"/>
          </w:tcPr>
          <w:p w14:paraId="28A7A3E6">
            <w:pPr>
              <w:jc w:val="center"/>
              <w:rPr>
                <w:rFonts w:hint="eastAsia" w:ascii="宋体" w:hAnsi="宋体" w:cs="宋体"/>
                <w:color w:val="auto"/>
                <w:szCs w:val="21"/>
              </w:rPr>
            </w:pPr>
          </w:p>
        </w:tc>
        <w:tc>
          <w:tcPr>
            <w:tcW w:w="1929" w:type="dxa"/>
            <w:tcBorders>
              <w:top w:val="single" w:color="auto" w:sz="4" w:space="0"/>
              <w:bottom w:val="nil"/>
            </w:tcBorders>
            <w:noWrap w:val="0"/>
            <w:vAlign w:val="center"/>
          </w:tcPr>
          <w:p w14:paraId="14E3C0E3">
            <w:pPr>
              <w:jc w:val="center"/>
              <w:rPr>
                <w:rFonts w:hint="eastAsia" w:ascii="宋体" w:hAnsi="宋体" w:cs="宋体"/>
                <w:color w:val="auto"/>
                <w:szCs w:val="21"/>
              </w:rPr>
            </w:pPr>
          </w:p>
        </w:tc>
        <w:tc>
          <w:tcPr>
            <w:tcW w:w="826" w:type="dxa"/>
            <w:tcBorders>
              <w:top w:val="single" w:color="auto" w:sz="4" w:space="0"/>
              <w:bottom w:val="nil"/>
            </w:tcBorders>
            <w:noWrap w:val="0"/>
            <w:vAlign w:val="center"/>
          </w:tcPr>
          <w:p w14:paraId="6BF999FE">
            <w:pPr>
              <w:ind w:firstLine="12"/>
              <w:jc w:val="center"/>
              <w:rPr>
                <w:rFonts w:hint="eastAsia" w:ascii="宋体" w:hAnsi="宋体" w:cs="宋体"/>
                <w:color w:val="auto"/>
                <w:szCs w:val="21"/>
              </w:rPr>
            </w:pPr>
          </w:p>
        </w:tc>
        <w:tc>
          <w:tcPr>
            <w:tcW w:w="2241" w:type="dxa"/>
            <w:tcBorders>
              <w:top w:val="single" w:color="auto" w:sz="4" w:space="0"/>
              <w:bottom w:val="nil"/>
              <w:right w:val="single" w:color="auto" w:sz="4" w:space="0"/>
            </w:tcBorders>
            <w:noWrap w:val="0"/>
            <w:vAlign w:val="center"/>
          </w:tcPr>
          <w:p w14:paraId="7E01FF68">
            <w:pPr>
              <w:ind w:firstLine="12"/>
              <w:jc w:val="center"/>
              <w:rPr>
                <w:rFonts w:hint="eastAsia" w:ascii="宋体" w:hAnsi="宋体" w:cs="宋体"/>
                <w:color w:val="auto"/>
                <w:szCs w:val="21"/>
              </w:rPr>
            </w:pPr>
          </w:p>
        </w:tc>
      </w:tr>
      <w:tr w14:paraId="7708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6B659A44">
            <w:pPr>
              <w:jc w:val="center"/>
              <w:rPr>
                <w:rFonts w:hint="eastAsia" w:ascii="宋体" w:hAnsi="宋体" w:cs="宋体"/>
                <w:color w:val="auto"/>
                <w:szCs w:val="21"/>
              </w:rPr>
            </w:pPr>
            <w:r>
              <w:rPr>
                <w:rFonts w:hint="eastAsia" w:ascii="宋体" w:hAnsi="宋体" w:cs="宋体"/>
                <w:color w:val="auto"/>
                <w:szCs w:val="21"/>
              </w:rPr>
              <w:t>2</w:t>
            </w:r>
          </w:p>
        </w:tc>
        <w:tc>
          <w:tcPr>
            <w:tcW w:w="1491" w:type="dxa"/>
            <w:tcBorders>
              <w:left w:val="single" w:color="auto" w:sz="4" w:space="0"/>
              <w:right w:val="single" w:color="auto" w:sz="4" w:space="0"/>
            </w:tcBorders>
            <w:noWrap w:val="0"/>
            <w:vAlign w:val="center"/>
          </w:tcPr>
          <w:p w14:paraId="5CEDB46F">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0E8D6ACA">
            <w:pPr>
              <w:jc w:val="center"/>
              <w:rPr>
                <w:rFonts w:hint="eastAsia" w:ascii="宋体" w:hAnsi="宋体" w:cs="宋体"/>
                <w:color w:val="auto"/>
                <w:szCs w:val="21"/>
              </w:rPr>
            </w:pPr>
          </w:p>
        </w:tc>
        <w:tc>
          <w:tcPr>
            <w:tcW w:w="560" w:type="dxa"/>
            <w:tcBorders>
              <w:left w:val="single" w:color="auto" w:sz="4" w:space="0"/>
            </w:tcBorders>
            <w:noWrap w:val="0"/>
            <w:vAlign w:val="center"/>
          </w:tcPr>
          <w:p w14:paraId="068D538A">
            <w:pPr>
              <w:jc w:val="center"/>
              <w:rPr>
                <w:rFonts w:hint="eastAsia" w:ascii="宋体" w:hAnsi="宋体" w:cs="宋体"/>
                <w:color w:val="auto"/>
                <w:szCs w:val="21"/>
              </w:rPr>
            </w:pPr>
          </w:p>
        </w:tc>
        <w:tc>
          <w:tcPr>
            <w:tcW w:w="560" w:type="dxa"/>
            <w:tcBorders>
              <w:left w:val="single" w:color="auto" w:sz="4" w:space="0"/>
            </w:tcBorders>
            <w:noWrap w:val="0"/>
            <w:vAlign w:val="center"/>
          </w:tcPr>
          <w:p w14:paraId="75527184">
            <w:pPr>
              <w:jc w:val="center"/>
              <w:rPr>
                <w:rFonts w:hint="eastAsia" w:ascii="宋体" w:hAnsi="宋体" w:cs="宋体"/>
                <w:color w:val="auto"/>
                <w:szCs w:val="21"/>
              </w:rPr>
            </w:pPr>
          </w:p>
        </w:tc>
        <w:tc>
          <w:tcPr>
            <w:tcW w:w="560" w:type="dxa"/>
            <w:noWrap w:val="0"/>
            <w:vAlign w:val="center"/>
          </w:tcPr>
          <w:p w14:paraId="11E9DAFA">
            <w:pPr>
              <w:jc w:val="center"/>
              <w:rPr>
                <w:rFonts w:hint="eastAsia" w:ascii="宋体" w:hAnsi="宋体" w:cs="宋体"/>
                <w:color w:val="auto"/>
                <w:szCs w:val="21"/>
              </w:rPr>
            </w:pPr>
          </w:p>
        </w:tc>
        <w:tc>
          <w:tcPr>
            <w:tcW w:w="1929" w:type="dxa"/>
            <w:noWrap w:val="0"/>
            <w:vAlign w:val="center"/>
          </w:tcPr>
          <w:p w14:paraId="5293256E">
            <w:pPr>
              <w:jc w:val="center"/>
              <w:rPr>
                <w:rFonts w:hint="eastAsia" w:ascii="宋体" w:hAnsi="宋体" w:cs="宋体"/>
                <w:color w:val="auto"/>
                <w:szCs w:val="21"/>
              </w:rPr>
            </w:pPr>
          </w:p>
        </w:tc>
        <w:tc>
          <w:tcPr>
            <w:tcW w:w="826" w:type="dxa"/>
            <w:noWrap w:val="0"/>
            <w:vAlign w:val="center"/>
          </w:tcPr>
          <w:p w14:paraId="35F2D288">
            <w:pPr>
              <w:jc w:val="center"/>
              <w:rPr>
                <w:rFonts w:hint="eastAsia" w:ascii="宋体" w:hAnsi="宋体" w:cs="宋体"/>
                <w:color w:val="auto"/>
                <w:szCs w:val="21"/>
              </w:rPr>
            </w:pPr>
          </w:p>
        </w:tc>
        <w:tc>
          <w:tcPr>
            <w:tcW w:w="2241" w:type="dxa"/>
            <w:tcBorders>
              <w:right w:val="single" w:color="auto" w:sz="4" w:space="0"/>
            </w:tcBorders>
            <w:noWrap w:val="0"/>
            <w:vAlign w:val="center"/>
          </w:tcPr>
          <w:p w14:paraId="3E4B8402">
            <w:pPr>
              <w:jc w:val="center"/>
              <w:rPr>
                <w:rFonts w:hint="eastAsia" w:ascii="宋体" w:hAnsi="宋体" w:cs="宋体"/>
                <w:color w:val="auto"/>
                <w:szCs w:val="21"/>
              </w:rPr>
            </w:pPr>
          </w:p>
        </w:tc>
      </w:tr>
      <w:tr w14:paraId="3B26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5A475A56">
            <w:pPr>
              <w:jc w:val="center"/>
              <w:rPr>
                <w:rFonts w:hint="eastAsia" w:ascii="宋体" w:hAnsi="宋体" w:cs="宋体"/>
                <w:color w:val="auto"/>
                <w:szCs w:val="21"/>
              </w:rPr>
            </w:pPr>
            <w:r>
              <w:rPr>
                <w:rFonts w:hint="eastAsia" w:ascii="宋体" w:hAnsi="宋体" w:cs="宋体"/>
                <w:color w:val="auto"/>
                <w:szCs w:val="21"/>
              </w:rPr>
              <w:t>3</w:t>
            </w:r>
          </w:p>
        </w:tc>
        <w:tc>
          <w:tcPr>
            <w:tcW w:w="1491" w:type="dxa"/>
            <w:tcBorders>
              <w:left w:val="single" w:color="auto" w:sz="4" w:space="0"/>
              <w:right w:val="single" w:color="auto" w:sz="4" w:space="0"/>
            </w:tcBorders>
            <w:noWrap w:val="0"/>
            <w:vAlign w:val="center"/>
          </w:tcPr>
          <w:p w14:paraId="570D2289">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35CC02B1">
            <w:pPr>
              <w:jc w:val="center"/>
              <w:rPr>
                <w:rFonts w:hint="eastAsia" w:ascii="宋体" w:hAnsi="宋体" w:cs="宋体"/>
                <w:color w:val="auto"/>
                <w:szCs w:val="21"/>
              </w:rPr>
            </w:pPr>
          </w:p>
        </w:tc>
        <w:tc>
          <w:tcPr>
            <w:tcW w:w="560" w:type="dxa"/>
            <w:tcBorders>
              <w:left w:val="single" w:color="auto" w:sz="4" w:space="0"/>
            </w:tcBorders>
            <w:noWrap w:val="0"/>
            <w:vAlign w:val="center"/>
          </w:tcPr>
          <w:p w14:paraId="14E1DE9A">
            <w:pPr>
              <w:jc w:val="center"/>
              <w:rPr>
                <w:rFonts w:hint="eastAsia" w:ascii="宋体" w:hAnsi="宋体" w:cs="宋体"/>
                <w:color w:val="auto"/>
                <w:szCs w:val="21"/>
              </w:rPr>
            </w:pPr>
          </w:p>
        </w:tc>
        <w:tc>
          <w:tcPr>
            <w:tcW w:w="560" w:type="dxa"/>
            <w:tcBorders>
              <w:left w:val="single" w:color="auto" w:sz="4" w:space="0"/>
            </w:tcBorders>
            <w:noWrap w:val="0"/>
            <w:vAlign w:val="center"/>
          </w:tcPr>
          <w:p w14:paraId="6A404F97">
            <w:pPr>
              <w:jc w:val="center"/>
              <w:rPr>
                <w:rFonts w:hint="eastAsia" w:ascii="宋体" w:hAnsi="宋体" w:cs="宋体"/>
                <w:color w:val="auto"/>
                <w:szCs w:val="21"/>
              </w:rPr>
            </w:pPr>
          </w:p>
        </w:tc>
        <w:tc>
          <w:tcPr>
            <w:tcW w:w="560" w:type="dxa"/>
            <w:noWrap w:val="0"/>
            <w:vAlign w:val="center"/>
          </w:tcPr>
          <w:p w14:paraId="5DA311BD">
            <w:pPr>
              <w:jc w:val="center"/>
              <w:rPr>
                <w:rFonts w:hint="eastAsia" w:ascii="宋体" w:hAnsi="宋体" w:cs="宋体"/>
                <w:color w:val="auto"/>
                <w:szCs w:val="21"/>
              </w:rPr>
            </w:pPr>
          </w:p>
        </w:tc>
        <w:tc>
          <w:tcPr>
            <w:tcW w:w="1929" w:type="dxa"/>
            <w:noWrap w:val="0"/>
            <w:vAlign w:val="center"/>
          </w:tcPr>
          <w:p w14:paraId="66B51A56">
            <w:pPr>
              <w:jc w:val="center"/>
              <w:rPr>
                <w:rFonts w:hint="eastAsia" w:ascii="宋体" w:hAnsi="宋体" w:cs="宋体"/>
                <w:color w:val="auto"/>
                <w:szCs w:val="21"/>
              </w:rPr>
            </w:pPr>
          </w:p>
        </w:tc>
        <w:tc>
          <w:tcPr>
            <w:tcW w:w="826" w:type="dxa"/>
            <w:noWrap w:val="0"/>
            <w:vAlign w:val="center"/>
          </w:tcPr>
          <w:p w14:paraId="1CC9CE4D">
            <w:pPr>
              <w:jc w:val="center"/>
              <w:rPr>
                <w:rFonts w:hint="eastAsia" w:ascii="宋体" w:hAnsi="宋体" w:cs="宋体"/>
                <w:color w:val="auto"/>
                <w:szCs w:val="21"/>
              </w:rPr>
            </w:pPr>
          </w:p>
        </w:tc>
        <w:tc>
          <w:tcPr>
            <w:tcW w:w="2241" w:type="dxa"/>
            <w:tcBorders>
              <w:right w:val="single" w:color="auto" w:sz="4" w:space="0"/>
            </w:tcBorders>
            <w:noWrap w:val="0"/>
            <w:vAlign w:val="center"/>
          </w:tcPr>
          <w:p w14:paraId="08F03B97">
            <w:pPr>
              <w:jc w:val="center"/>
              <w:rPr>
                <w:rFonts w:hint="eastAsia" w:ascii="宋体" w:hAnsi="宋体" w:cs="宋体"/>
                <w:color w:val="auto"/>
                <w:szCs w:val="21"/>
              </w:rPr>
            </w:pPr>
          </w:p>
        </w:tc>
      </w:tr>
      <w:tr w14:paraId="64CD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38073C37">
            <w:pPr>
              <w:jc w:val="center"/>
              <w:rPr>
                <w:rFonts w:hint="eastAsia" w:ascii="宋体" w:hAnsi="宋体" w:cs="宋体"/>
                <w:color w:val="auto"/>
                <w:szCs w:val="21"/>
              </w:rPr>
            </w:pPr>
            <w:r>
              <w:rPr>
                <w:rFonts w:hint="eastAsia" w:ascii="宋体" w:hAnsi="宋体" w:cs="宋体"/>
                <w:color w:val="auto"/>
                <w:szCs w:val="21"/>
              </w:rPr>
              <w:t>4</w:t>
            </w:r>
          </w:p>
        </w:tc>
        <w:tc>
          <w:tcPr>
            <w:tcW w:w="1491" w:type="dxa"/>
            <w:tcBorders>
              <w:left w:val="single" w:color="auto" w:sz="4" w:space="0"/>
              <w:right w:val="single" w:color="auto" w:sz="4" w:space="0"/>
            </w:tcBorders>
            <w:noWrap w:val="0"/>
            <w:vAlign w:val="center"/>
          </w:tcPr>
          <w:p w14:paraId="1B3F9A87">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5D4D9733">
            <w:pPr>
              <w:jc w:val="center"/>
              <w:rPr>
                <w:rFonts w:hint="eastAsia" w:ascii="宋体" w:hAnsi="宋体" w:cs="宋体"/>
                <w:color w:val="auto"/>
                <w:szCs w:val="21"/>
              </w:rPr>
            </w:pPr>
          </w:p>
        </w:tc>
        <w:tc>
          <w:tcPr>
            <w:tcW w:w="560" w:type="dxa"/>
            <w:tcBorders>
              <w:left w:val="single" w:color="auto" w:sz="4" w:space="0"/>
            </w:tcBorders>
            <w:noWrap w:val="0"/>
            <w:vAlign w:val="center"/>
          </w:tcPr>
          <w:p w14:paraId="5E80F41C">
            <w:pPr>
              <w:jc w:val="center"/>
              <w:rPr>
                <w:rFonts w:hint="eastAsia" w:ascii="宋体" w:hAnsi="宋体" w:cs="宋体"/>
                <w:color w:val="auto"/>
                <w:szCs w:val="21"/>
              </w:rPr>
            </w:pPr>
          </w:p>
        </w:tc>
        <w:tc>
          <w:tcPr>
            <w:tcW w:w="560" w:type="dxa"/>
            <w:tcBorders>
              <w:left w:val="single" w:color="auto" w:sz="4" w:space="0"/>
            </w:tcBorders>
            <w:noWrap w:val="0"/>
            <w:vAlign w:val="center"/>
          </w:tcPr>
          <w:p w14:paraId="257700F8">
            <w:pPr>
              <w:jc w:val="center"/>
              <w:rPr>
                <w:rFonts w:hint="eastAsia" w:ascii="宋体" w:hAnsi="宋体" w:cs="宋体"/>
                <w:color w:val="auto"/>
                <w:szCs w:val="21"/>
              </w:rPr>
            </w:pPr>
          </w:p>
        </w:tc>
        <w:tc>
          <w:tcPr>
            <w:tcW w:w="560" w:type="dxa"/>
            <w:noWrap w:val="0"/>
            <w:vAlign w:val="center"/>
          </w:tcPr>
          <w:p w14:paraId="3C2DDB39">
            <w:pPr>
              <w:jc w:val="center"/>
              <w:rPr>
                <w:rFonts w:hint="eastAsia" w:ascii="宋体" w:hAnsi="宋体" w:cs="宋体"/>
                <w:color w:val="auto"/>
                <w:szCs w:val="21"/>
              </w:rPr>
            </w:pPr>
          </w:p>
        </w:tc>
        <w:tc>
          <w:tcPr>
            <w:tcW w:w="1929" w:type="dxa"/>
            <w:noWrap w:val="0"/>
            <w:vAlign w:val="center"/>
          </w:tcPr>
          <w:p w14:paraId="6F971A70">
            <w:pPr>
              <w:jc w:val="center"/>
              <w:rPr>
                <w:rFonts w:hint="eastAsia" w:ascii="宋体" w:hAnsi="宋体" w:cs="宋体"/>
                <w:color w:val="auto"/>
                <w:szCs w:val="21"/>
              </w:rPr>
            </w:pPr>
          </w:p>
        </w:tc>
        <w:tc>
          <w:tcPr>
            <w:tcW w:w="826" w:type="dxa"/>
            <w:noWrap w:val="0"/>
            <w:vAlign w:val="center"/>
          </w:tcPr>
          <w:p w14:paraId="0AB22B21">
            <w:pPr>
              <w:jc w:val="center"/>
              <w:rPr>
                <w:rFonts w:hint="eastAsia" w:ascii="宋体" w:hAnsi="宋体" w:cs="宋体"/>
                <w:color w:val="auto"/>
                <w:szCs w:val="21"/>
              </w:rPr>
            </w:pPr>
          </w:p>
        </w:tc>
        <w:tc>
          <w:tcPr>
            <w:tcW w:w="2241" w:type="dxa"/>
            <w:tcBorders>
              <w:right w:val="single" w:color="auto" w:sz="4" w:space="0"/>
            </w:tcBorders>
            <w:noWrap w:val="0"/>
            <w:vAlign w:val="center"/>
          </w:tcPr>
          <w:p w14:paraId="3A9281A2">
            <w:pPr>
              <w:jc w:val="center"/>
              <w:rPr>
                <w:rFonts w:hint="eastAsia" w:ascii="宋体" w:hAnsi="宋体" w:cs="宋体"/>
                <w:color w:val="auto"/>
                <w:szCs w:val="21"/>
              </w:rPr>
            </w:pPr>
          </w:p>
        </w:tc>
      </w:tr>
      <w:tr w14:paraId="7A28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110A7F5B">
            <w:pPr>
              <w:jc w:val="center"/>
              <w:rPr>
                <w:rFonts w:hint="eastAsia" w:ascii="宋体" w:hAnsi="宋体" w:cs="宋体"/>
                <w:color w:val="auto"/>
                <w:szCs w:val="21"/>
              </w:rPr>
            </w:pPr>
            <w:r>
              <w:rPr>
                <w:rFonts w:hint="eastAsia" w:ascii="宋体" w:hAnsi="宋体" w:cs="宋体"/>
                <w:color w:val="auto"/>
                <w:szCs w:val="21"/>
              </w:rPr>
              <w:t>5</w:t>
            </w:r>
          </w:p>
        </w:tc>
        <w:tc>
          <w:tcPr>
            <w:tcW w:w="1491" w:type="dxa"/>
            <w:tcBorders>
              <w:left w:val="single" w:color="auto" w:sz="4" w:space="0"/>
              <w:right w:val="single" w:color="auto" w:sz="4" w:space="0"/>
            </w:tcBorders>
            <w:noWrap w:val="0"/>
            <w:vAlign w:val="center"/>
          </w:tcPr>
          <w:p w14:paraId="32DD4FD8">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0FC02233">
            <w:pPr>
              <w:jc w:val="center"/>
              <w:rPr>
                <w:rFonts w:hint="eastAsia" w:ascii="宋体" w:hAnsi="宋体" w:cs="宋体"/>
                <w:color w:val="auto"/>
                <w:szCs w:val="21"/>
              </w:rPr>
            </w:pPr>
          </w:p>
        </w:tc>
        <w:tc>
          <w:tcPr>
            <w:tcW w:w="560" w:type="dxa"/>
            <w:tcBorders>
              <w:left w:val="single" w:color="auto" w:sz="4" w:space="0"/>
            </w:tcBorders>
            <w:noWrap w:val="0"/>
            <w:vAlign w:val="center"/>
          </w:tcPr>
          <w:p w14:paraId="2FE73996">
            <w:pPr>
              <w:jc w:val="center"/>
              <w:rPr>
                <w:rFonts w:hint="eastAsia" w:ascii="宋体" w:hAnsi="宋体" w:cs="宋体"/>
                <w:color w:val="auto"/>
                <w:szCs w:val="21"/>
              </w:rPr>
            </w:pPr>
          </w:p>
        </w:tc>
        <w:tc>
          <w:tcPr>
            <w:tcW w:w="560" w:type="dxa"/>
            <w:tcBorders>
              <w:left w:val="single" w:color="auto" w:sz="4" w:space="0"/>
            </w:tcBorders>
            <w:noWrap w:val="0"/>
            <w:vAlign w:val="center"/>
          </w:tcPr>
          <w:p w14:paraId="02A682F2">
            <w:pPr>
              <w:jc w:val="center"/>
              <w:rPr>
                <w:rFonts w:hint="eastAsia" w:ascii="宋体" w:hAnsi="宋体" w:cs="宋体"/>
                <w:color w:val="auto"/>
                <w:szCs w:val="21"/>
              </w:rPr>
            </w:pPr>
          </w:p>
        </w:tc>
        <w:tc>
          <w:tcPr>
            <w:tcW w:w="560" w:type="dxa"/>
            <w:noWrap w:val="0"/>
            <w:vAlign w:val="center"/>
          </w:tcPr>
          <w:p w14:paraId="518673C6">
            <w:pPr>
              <w:jc w:val="center"/>
              <w:rPr>
                <w:rFonts w:hint="eastAsia" w:ascii="宋体" w:hAnsi="宋体" w:cs="宋体"/>
                <w:color w:val="auto"/>
                <w:szCs w:val="21"/>
              </w:rPr>
            </w:pPr>
          </w:p>
        </w:tc>
        <w:tc>
          <w:tcPr>
            <w:tcW w:w="1929" w:type="dxa"/>
            <w:noWrap w:val="0"/>
            <w:vAlign w:val="center"/>
          </w:tcPr>
          <w:p w14:paraId="46E98456">
            <w:pPr>
              <w:jc w:val="center"/>
              <w:rPr>
                <w:rFonts w:hint="eastAsia" w:ascii="宋体" w:hAnsi="宋体" w:cs="宋体"/>
                <w:color w:val="auto"/>
                <w:szCs w:val="21"/>
              </w:rPr>
            </w:pPr>
          </w:p>
        </w:tc>
        <w:tc>
          <w:tcPr>
            <w:tcW w:w="826" w:type="dxa"/>
            <w:noWrap w:val="0"/>
            <w:vAlign w:val="center"/>
          </w:tcPr>
          <w:p w14:paraId="6B93D565">
            <w:pPr>
              <w:jc w:val="center"/>
              <w:rPr>
                <w:rFonts w:hint="eastAsia" w:ascii="宋体" w:hAnsi="宋体" w:cs="宋体"/>
                <w:color w:val="auto"/>
                <w:szCs w:val="21"/>
              </w:rPr>
            </w:pPr>
          </w:p>
        </w:tc>
        <w:tc>
          <w:tcPr>
            <w:tcW w:w="2241" w:type="dxa"/>
            <w:tcBorders>
              <w:right w:val="single" w:color="auto" w:sz="4" w:space="0"/>
            </w:tcBorders>
            <w:noWrap w:val="0"/>
            <w:vAlign w:val="center"/>
          </w:tcPr>
          <w:p w14:paraId="7AAA28B2">
            <w:pPr>
              <w:jc w:val="center"/>
              <w:rPr>
                <w:rFonts w:hint="eastAsia" w:ascii="宋体" w:hAnsi="宋体" w:cs="宋体"/>
                <w:color w:val="auto"/>
                <w:szCs w:val="21"/>
              </w:rPr>
            </w:pPr>
          </w:p>
        </w:tc>
      </w:tr>
      <w:tr w14:paraId="459F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4B4102A2">
            <w:pPr>
              <w:jc w:val="center"/>
              <w:rPr>
                <w:rFonts w:hint="eastAsia" w:ascii="宋体" w:hAnsi="宋体" w:cs="宋体"/>
                <w:color w:val="auto"/>
                <w:szCs w:val="21"/>
              </w:rPr>
            </w:pPr>
            <w:r>
              <w:rPr>
                <w:rFonts w:hint="eastAsia" w:ascii="宋体" w:hAnsi="宋体" w:cs="宋体"/>
                <w:color w:val="auto"/>
                <w:szCs w:val="21"/>
              </w:rPr>
              <w:t>…</w:t>
            </w:r>
          </w:p>
        </w:tc>
        <w:tc>
          <w:tcPr>
            <w:tcW w:w="1491" w:type="dxa"/>
            <w:tcBorders>
              <w:left w:val="single" w:color="auto" w:sz="4" w:space="0"/>
              <w:right w:val="single" w:color="auto" w:sz="4" w:space="0"/>
            </w:tcBorders>
            <w:noWrap w:val="0"/>
            <w:vAlign w:val="center"/>
          </w:tcPr>
          <w:p w14:paraId="12DC48DE">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4EEEA838">
            <w:pPr>
              <w:jc w:val="center"/>
              <w:rPr>
                <w:rFonts w:hint="eastAsia" w:ascii="宋体" w:hAnsi="宋体" w:cs="宋体"/>
                <w:color w:val="auto"/>
                <w:szCs w:val="21"/>
              </w:rPr>
            </w:pPr>
          </w:p>
        </w:tc>
        <w:tc>
          <w:tcPr>
            <w:tcW w:w="560" w:type="dxa"/>
            <w:tcBorders>
              <w:left w:val="single" w:color="auto" w:sz="4" w:space="0"/>
            </w:tcBorders>
            <w:noWrap w:val="0"/>
            <w:vAlign w:val="center"/>
          </w:tcPr>
          <w:p w14:paraId="3AE9D9FD">
            <w:pPr>
              <w:jc w:val="center"/>
              <w:rPr>
                <w:rFonts w:hint="eastAsia" w:ascii="宋体" w:hAnsi="宋体" w:cs="宋体"/>
                <w:color w:val="auto"/>
                <w:szCs w:val="21"/>
              </w:rPr>
            </w:pPr>
          </w:p>
        </w:tc>
        <w:tc>
          <w:tcPr>
            <w:tcW w:w="560" w:type="dxa"/>
            <w:tcBorders>
              <w:left w:val="single" w:color="auto" w:sz="4" w:space="0"/>
            </w:tcBorders>
            <w:noWrap w:val="0"/>
            <w:vAlign w:val="center"/>
          </w:tcPr>
          <w:p w14:paraId="37F82546">
            <w:pPr>
              <w:jc w:val="center"/>
              <w:rPr>
                <w:rFonts w:hint="eastAsia" w:ascii="宋体" w:hAnsi="宋体" w:cs="宋体"/>
                <w:color w:val="auto"/>
                <w:szCs w:val="21"/>
              </w:rPr>
            </w:pPr>
          </w:p>
        </w:tc>
        <w:tc>
          <w:tcPr>
            <w:tcW w:w="560" w:type="dxa"/>
            <w:noWrap w:val="0"/>
            <w:vAlign w:val="center"/>
          </w:tcPr>
          <w:p w14:paraId="7E715DDA">
            <w:pPr>
              <w:jc w:val="center"/>
              <w:rPr>
                <w:rFonts w:hint="eastAsia" w:ascii="宋体" w:hAnsi="宋体" w:cs="宋体"/>
                <w:color w:val="auto"/>
                <w:szCs w:val="21"/>
              </w:rPr>
            </w:pPr>
          </w:p>
        </w:tc>
        <w:tc>
          <w:tcPr>
            <w:tcW w:w="1929" w:type="dxa"/>
            <w:noWrap w:val="0"/>
            <w:vAlign w:val="center"/>
          </w:tcPr>
          <w:p w14:paraId="048F7181">
            <w:pPr>
              <w:jc w:val="center"/>
              <w:rPr>
                <w:rFonts w:hint="eastAsia" w:ascii="宋体" w:hAnsi="宋体" w:cs="宋体"/>
                <w:color w:val="auto"/>
                <w:szCs w:val="21"/>
              </w:rPr>
            </w:pPr>
          </w:p>
        </w:tc>
        <w:tc>
          <w:tcPr>
            <w:tcW w:w="826" w:type="dxa"/>
            <w:noWrap w:val="0"/>
            <w:vAlign w:val="center"/>
          </w:tcPr>
          <w:p w14:paraId="33F94AD9">
            <w:pPr>
              <w:jc w:val="center"/>
              <w:rPr>
                <w:rFonts w:hint="eastAsia" w:ascii="宋体" w:hAnsi="宋体" w:cs="宋体"/>
                <w:color w:val="auto"/>
                <w:szCs w:val="21"/>
              </w:rPr>
            </w:pPr>
          </w:p>
        </w:tc>
        <w:tc>
          <w:tcPr>
            <w:tcW w:w="2241" w:type="dxa"/>
            <w:tcBorders>
              <w:right w:val="single" w:color="auto" w:sz="4" w:space="0"/>
            </w:tcBorders>
            <w:noWrap w:val="0"/>
            <w:vAlign w:val="center"/>
          </w:tcPr>
          <w:p w14:paraId="41DD234C">
            <w:pPr>
              <w:jc w:val="center"/>
              <w:rPr>
                <w:rFonts w:hint="eastAsia" w:ascii="宋体" w:hAnsi="宋体" w:cs="宋体"/>
                <w:color w:val="auto"/>
                <w:szCs w:val="21"/>
              </w:rPr>
            </w:pPr>
          </w:p>
        </w:tc>
      </w:tr>
      <w:tr w14:paraId="29CE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noWrap w:val="0"/>
            <w:vAlign w:val="center"/>
          </w:tcPr>
          <w:p w14:paraId="522602B2">
            <w:pPr>
              <w:jc w:val="center"/>
              <w:rPr>
                <w:rFonts w:hint="eastAsia" w:ascii="宋体" w:hAnsi="宋体" w:cs="宋体"/>
                <w:color w:val="auto"/>
                <w:szCs w:val="21"/>
              </w:rPr>
            </w:pPr>
            <w:r>
              <w:rPr>
                <w:rFonts w:hint="eastAsia" w:ascii="宋体" w:hAnsi="宋体" w:cs="宋体"/>
                <w:color w:val="auto"/>
                <w:szCs w:val="21"/>
              </w:rPr>
              <w:t>…</w:t>
            </w:r>
          </w:p>
        </w:tc>
        <w:tc>
          <w:tcPr>
            <w:tcW w:w="1491" w:type="dxa"/>
            <w:tcBorders>
              <w:left w:val="single" w:color="auto" w:sz="4" w:space="0"/>
              <w:right w:val="single" w:color="auto" w:sz="4" w:space="0"/>
            </w:tcBorders>
            <w:noWrap w:val="0"/>
            <w:vAlign w:val="center"/>
          </w:tcPr>
          <w:p w14:paraId="1397063B">
            <w:pPr>
              <w:jc w:val="center"/>
              <w:rPr>
                <w:rFonts w:hint="eastAsia" w:ascii="宋体" w:hAnsi="宋体" w:cs="宋体"/>
                <w:color w:val="auto"/>
                <w:szCs w:val="21"/>
              </w:rPr>
            </w:pPr>
          </w:p>
        </w:tc>
        <w:tc>
          <w:tcPr>
            <w:tcW w:w="560" w:type="dxa"/>
            <w:tcBorders>
              <w:left w:val="single" w:color="auto" w:sz="4" w:space="0"/>
              <w:right w:val="single" w:color="auto" w:sz="4" w:space="0"/>
            </w:tcBorders>
            <w:noWrap w:val="0"/>
            <w:vAlign w:val="center"/>
          </w:tcPr>
          <w:p w14:paraId="0478AEA2">
            <w:pPr>
              <w:jc w:val="center"/>
              <w:rPr>
                <w:rFonts w:hint="eastAsia" w:ascii="宋体" w:hAnsi="宋体" w:cs="宋体"/>
                <w:color w:val="auto"/>
                <w:szCs w:val="21"/>
              </w:rPr>
            </w:pPr>
          </w:p>
        </w:tc>
        <w:tc>
          <w:tcPr>
            <w:tcW w:w="560" w:type="dxa"/>
            <w:tcBorders>
              <w:left w:val="single" w:color="auto" w:sz="4" w:space="0"/>
            </w:tcBorders>
            <w:noWrap w:val="0"/>
            <w:vAlign w:val="center"/>
          </w:tcPr>
          <w:p w14:paraId="7DF62E28">
            <w:pPr>
              <w:jc w:val="center"/>
              <w:rPr>
                <w:rFonts w:hint="eastAsia" w:ascii="宋体" w:hAnsi="宋体" w:cs="宋体"/>
                <w:color w:val="auto"/>
                <w:szCs w:val="21"/>
              </w:rPr>
            </w:pPr>
          </w:p>
        </w:tc>
        <w:tc>
          <w:tcPr>
            <w:tcW w:w="560" w:type="dxa"/>
            <w:tcBorders>
              <w:left w:val="single" w:color="auto" w:sz="4" w:space="0"/>
            </w:tcBorders>
            <w:noWrap w:val="0"/>
            <w:vAlign w:val="center"/>
          </w:tcPr>
          <w:p w14:paraId="6EFB9405">
            <w:pPr>
              <w:jc w:val="center"/>
              <w:rPr>
                <w:rFonts w:hint="eastAsia" w:ascii="宋体" w:hAnsi="宋体" w:cs="宋体"/>
                <w:color w:val="auto"/>
                <w:szCs w:val="21"/>
              </w:rPr>
            </w:pPr>
          </w:p>
        </w:tc>
        <w:tc>
          <w:tcPr>
            <w:tcW w:w="560" w:type="dxa"/>
            <w:noWrap w:val="0"/>
            <w:vAlign w:val="center"/>
          </w:tcPr>
          <w:p w14:paraId="41F77B82">
            <w:pPr>
              <w:jc w:val="center"/>
              <w:rPr>
                <w:rFonts w:hint="eastAsia" w:ascii="宋体" w:hAnsi="宋体" w:cs="宋体"/>
                <w:color w:val="auto"/>
                <w:szCs w:val="21"/>
              </w:rPr>
            </w:pPr>
          </w:p>
        </w:tc>
        <w:tc>
          <w:tcPr>
            <w:tcW w:w="1929" w:type="dxa"/>
            <w:noWrap w:val="0"/>
            <w:vAlign w:val="center"/>
          </w:tcPr>
          <w:p w14:paraId="14F715D3">
            <w:pPr>
              <w:jc w:val="center"/>
              <w:rPr>
                <w:rFonts w:hint="eastAsia" w:ascii="宋体" w:hAnsi="宋体" w:cs="宋体"/>
                <w:color w:val="auto"/>
                <w:szCs w:val="21"/>
              </w:rPr>
            </w:pPr>
          </w:p>
        </w:tc>
        <w:tc>
          <w:tcPr>
            <w:tcW w:w="826" w:type="dxa"/>
            <w:noWrap w:val="0"/>
            <w:vAlign w:val="center"/>
          </w:tcPr>
          <w:p w14:paraId="14CA0D6F">
            <w:pPr>
              <w:jc w:val="center"/>
              <w:rPr>
                <w:rFonts w:hint="eastAsia" w:ascii="宋体" w:hAnsi="宋体" w:cs="宋体"/>
                <w:color w:val="auto"/>
                <w:szCs w:val="21"/>
              </w:rPr>
            </w:pPr>
          </w:p>
        </w:tc>
        <w:tc>
          <w:tcPr>
            <w:tcW w:w="2241" w:type="dxa"/>
            <w:tcBorders>
              <w:right w:val="single" w:color="auto" w:sz="4" w:space="0"/>
            </w:tcBorders>
            <w:noWrap w:val="0"/>
            <w:vAlign w:val="center"/>
          </w:tcPr>
          <w:p w14:paraId="429BF44D">
            <w:pPr>
              <w:jc w:val="center"/>
              <w:rPr>
                <w:rFonts w:hint="eastAsia" w:ascii="宋体" w:hAnsi="宋体" w:cs="宋体"/>
                <w:color w:val="auto"/>
                <w:szCs w:val="21"/>
              </w:rPr>
            </w:pPr>
          </w:p>
        </w:tc>
      </w:tr>
    </w:tbl>
    <w:p w14:paraId="0F0A05DB">
      <w:pPr>
        <w:spacing w:line="360" w:lineRule="auto"/>
        <w:ind w:firstLine="425"/>
        <w:jc w:val="center"/>
        <w:rPr>
          <w:rFonts w:hint="eastAsia" w:ascii="宋体" w:hAnsi="宋体" w:cs="宋体"/>
          <w:b/>
          <w:color w:val="auto"/>
          <w:sz w:val="28"/>
          <w:szCs w:val="28"/>
          <w:highlight w:val="none"/>
          <w:lang w:val="en-US" w:eastAsia="zh-CN"/>
        </w:rPr>
      </w:pPr>
    </w:p>
    <w:p w14:paraId="6F6C6EC0">
      <w:pPr>
        <w:spacing w:line="360" w:lineRule="auto"/>
        <w:ind w:firstLine="425"/>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741FB074">
      <w:pPr>
        <w:rPr>
          <w:rFonts w:hint="eastAsia"/>
          <w:color w:val="auto"/>
        </w:rPr>
      </w:pPr>
    </w:p>
    <w:p w14:paraId="332E6995">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企业资信状况（如需，格式自拟）；</w:t>
      </w:r>
    </w:p>
    <w:p w14:paraId="6ED0532F">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）企业综合实力（如需，格式自拟）；</w:t>
      </w:r>
    </w:p>
    <w:p w14:paraId="2449D7F9">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）企业履约信用、荣誉（如需，格式自拟）；</w:t>
      </w:r>
    </w:p>
    <w:p w14:paraId="7DF9861A">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）其他商务证明材料（投标人根据商务评分表内容及认为需要补充的说明提供相关材料）。</w:t>
      </w:r>
    </w:p>
    <w:p w14:paraId="426AF46A">
      <w:pPr>
        <w:spacing w:line="360" w:lineRule="auto"/>
        <w:rPr>
          <w:rFonts w:hint="eastAsia" w:ascii="宋体" w:hAnsi="宋体" w:cs="宋体"/>
          <w:color w:val="auto"/>
          <w:szCs w:val="21"/>
          <w:highlight w:val="none"/>
        </w:rPr>
      </w:pPr>
    </w:p>
    <w:p w14:paraId="2C8AA281">
      <w:pPr>
        <w:spacing w:line="360" w:lineRule="auto"/>
        <w:rPr>
          <w:rFonts w:hint="eastAsia" w:ascii="宋体" w:hAnsi="宋体" w:cs="宋体"/>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73C9399E">
      <w:pPr>
        <w:spacing w:line="480" w:lineRule="auto"/>
        <w:rPr>
          <w:rFonts w:hint="eastAsia" w:ascii="宋体" w:hAnsi="宋体" w:cs="宋体"/>
          <w:b/>
          <w:bCs/>
          <w:color w:val="auto"/>
          <w:highlight w:val="none"/>
        </w:rPr>
      </w:pPr>
      <w:r>
        <w:rPr>
          <w:rFonts w:hint="eastAsia" w:ascii="宋体" w:hAnsi="宋体" w:cs="宋体"/>
          <w:b/>
          <w:bCs/>
          <w:color w:val="auto"/>
          <w:highlight w:val="none"/>
        </w:rPr>
        <w:t>（二）主要商务条件响应表</w:t>
      </w:r>
    </w:p>
    <w:p w14:paraId="77B4732D">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主要商务条款响应表</w:t>
      </w:r>
    </w:p>
    <w:tbl>
      <w:tblPr>
        <w:tblStyle w:val="27"/>
        <w:tblW w:w="88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2961"/>
        <w:gridCol w:w="2540"/>
        <w:gridCol w:w="1075"/>
        <w:gridCol w:w="1181"/>
      </w:tblGrid>
      <w:tr w14:paraId="1CFC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0C98ECB3">
            <w:pPr>
              <w:spacing w:line="200" w:lineRule="atLeast"/>
              <w:jc w:val="center"/>
              <w:rPr>
                <w:rFonts w:hint="eastAsia" w:ascii="宋体" w:hAnsi="宋体" w:cs="宋体"/>
                <w:color w:val="auto"/>
                <w:highlight w:val="none"/>
              </w:rPr>
            </w:pPr>
            <w:r>
              <w:rPr>
                <w:rFonts w:hint="eastAsia" w:ascii="宋体" w:hAnsi="宋体" w:cs="宋体"/>
                <w:color w:val="auto"/>
                <w:highlight w:val="none"/>
              </w:rPr>
              <w:t>序号</w:t>
            </w:r>
          </w:p>
        </w:tc>
        <w:tc>
          <w:tcPr>
            <w:tcW w:w="2961" w:type="dxa"/>
            <w:noWrap w:val="0"/>
            <w:vAlign w:val="center"/>
          </w:tcPr>
          <w:p w14:paraId="1FB975D8">
            <w:pPr>
              <w:spacing w:line="200" w:lineRule="atLeast"/>
              <w:jc w:val="center"/>
              <w:rPr>
                <w:rFonts w:hint="eastAsia" w:ascii="宋体" w:hAnsi="宋体" w:cs="宋体"/>
                <w:color w:val="auto"/>
                <w:highlight w:val="none"/>
              </w:rPr>
            </w:pPr>
            <w:r>
              <w:rPr>
                <w:rFonts w:hint="eastAsia" w:ascii="宋体" w:hAnsi="宋体" w:cs="宋体"/>
                <w:color w:val="auto"/>
                <w:highlight w:val="none"/>
              </w:rPr>
              <w:t>商务条款</w:t>
            </w:r>
          </w:p>
        </w:tc>
        <w:tc>
          <w:tcPr>
            <w:tcW w:w="2540" w:type="dxa"/>
            <w:noWrap w:val="0"/>
            <w:vAlign w:val="center"/>
          </w:tcPr>
          <w:p w14:paraId="337FE3D2">
            <w:pPr>
              <w:spacing w:line="200" w:lineRule="atLeast"/>
              <w:jc w:val="center"/>
              <w:rPr>
                <w:rFonts w:hint="eastAsia" w:ascii="宋体" w:hAnsi="宋体" w:cs="宋体"/>
                <w:color w:val="auto"/>
                <w:highlight w:val="none"/>
              </w:rPr>
            </w:pPr>
            <w:r>
              <w:rPr>
                <w:rFonts w:hint="eastAsia" w:ascii="宋体" w:hAnsi="宋体" w:cs="宋体"/>
                <w:color w:val="auto"/>
                <w:highlight w:val="none"/>
              </w:rPr>
              <w:t>条款内容</w:t>
            </w:r>
          </w:p>
        </w:tc>
        <w:tc>
          <w:tcPr>
            <w:tcW w:w="1075" w:type="dxa"/>
            <w:noWrap w:val="0"/>
            <w:vAlign w:val="center"/>
          </w:tcPr>
          <w:p w14:paraId="6B4A7026">
            <w:pPr>
              <w:spacing w:line="200" w:lineRule="atLeast"/>
              <w:jc w:val="center"/>
              <w:rPr>
                <w:rFonts w:hint="eastAsia" w:ascii="宋体" w:hAnsi="宋体" w:cs="宋体"/>
                <w:color w:val="auto"/>
                <w:highlight w:val="none"/>
              </w:rPr>
            </w:pPr>
            <w:r>
              <w:rPr>
                <w:rFonts w:hint="eastAsia" w:ascii="宋体" w:hAnsi="宋体" w:cs="宋体"/>
                <w:color w:val="auto"/>
                <w:kern w:val="1"/>
                <w:highlight w:val="none"/>
              </w:rPr>
              <w:t>偏离情况</w:t>
            </w:r>
          </w:p>
        </w:tc>
        <w:tc>
          <w:tcPr>
            <w:tcW w:w="1181" w:type="dxa"/>
            <w:noWrap w:val="0"/>
            <w:vAlign w:val="center"/>
          </w:tcPr>
          <w:p w14:paraId="7413941C">
            <w:pPr>
              <w:spacing w:line="200" w:lineRule="atLeast"/>
              <w:jc w:val="center"/>
              <w:rPr>
                <w:rFonts w:hint="eastAsia" w:ascii="宋体" w:hAnsi="宋体" w:cs="宋体"/>
                <w:color w:val="auto"/>
                <w:highlight w:val="none"/>
              </w:rPr>
            </w:pPr>
            <w:r>
              <w:rPr>
                <w:rFonts w:hint="eastAsia" w:ascii="宋体" w:hAnsi="宋体" w:cs="宋体"/>
                <w:color w:val="auto"/>
                <w:highlight w:val="none"/>
              </w:rPr>
              <w:t>差异描述</w:t>
            </w:r>
          </w:p>
        </w:tc>
      </w:tr>
      <w:tr w14:paraId="348D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55262446">
            <w:pPr>
              <w:spacing w:line="200" w:lineRule="atLeast"/>
              <w:jc w:val="center"/>
              <w:rPr>
                <w:rFonts w:hint="eastAsia" w:ascii="宋体" w:hAnsi="宋体" w:cs="宋体"/>
                <w:color w:val="auto"/>
                <w:highlight w:val="none"/>
              </w:rPr>
            </w:pPr>
            <w:r>
              <w:rPr>
                <w:rFonts w:hint="eastAsia" w:ascii="宋体" w:hAnsi="宋体" w:cs="宋体"/>
                <w:color w:val="auto"/>
                <w:highlight w:val="none"/>
              </w:rPr>
              <w:t>1</w:t>
            </w:r>
          </w:p>
        </w:tc>
        <w:tc>
          <w:tcPr>
            <w:tcW w:w="2961" w:type="dxa"/>
            <w:noWrap w:val="0"/>
            <w:vAlign w:val="center"/>
          </w:tcPr>
          <w:p w14:paraId="7DE07A99">
            <w:pPr>
              <w:jc w:val="center"/>
              <w:rPr>
                <w:rFonts w:hint="eastAsia" w:ascii="宋体" w:hAnsi="宋体" w:cs="宋体"/>
                <w:color w:val="auto"/>
                <w:szCs w:val="21"/>
                <w:highlight w:val="none"/>
              </w:rPr>
            </w:pPr>
          </w:p>
        </w:tc>
        <w:tc>
          <w:tcPr>
            <w:tcW w:w="2540" w:type="dxa"/>
            <w:noWrap w:val="0"/>
            <w:vAlign w:val="center"/>
          </w:tcPr>
          <w:p w14:paraId="27B1C392">
            <w:pPr>
              <w:pStyle w:val="24"/>
              <w:rPr>
                <w:rFonts w:hint="eastAsia" w:cs="宋体"/>
                <w:color w:val="auto"/>
                <w:highlight w:val="none"/>
              </w:rPr>
            </w:pPr>
          </w:p>
        </w:tc>
        <w:tc>
          <w:tcPr>
            <w:tcW w:w="1075" w:type="dxa"/>
            <w:noWrap w:val="0"/>
            <w:vAlign w:val="center"/>
          </w:tcPr>
          <w:p w14:paraId="613C0543">
            <w:pPr>
              <w:spacing w:line="200" w:lineRule="atLeast"/>
              <w:jc w:val="center"/>
              <w:rPr>
                <w:rFonts w:hint="eastAsia" w:ascii="宋体" w:hAnsi="宋体" w:cs="宋体"/>
                <w:color w:val="auto"/>
                <w:highlight w:val="none"/>
              </w:rPr>
            </w:pPr>
          </w:p>
        </w:tc>
        <w:tc>
          <w:tcPr>
            <w:tcW w:w="1181" w:type="dxa"/>
            <w:noWrap w:val="0"/>
            <w:vAlign w:val="center"/>
          </w:tcPr>
          <w:p w14:paraId="432BC4F9">
            <w:pPr>
              <w:spacing w:line="200" w:lineRule="atLeast"/>
              <w:jc w:val="center"/>
              <w:rPr>
                <w:rFonts w:hint="eastAsia" w:ascii="宋体" w:hAnsi="宋体" w:cs="宋体"/>
                <w:color w:val="auto"/>
                <w:highlight w:val="none"/>
              </w:rPr>
            </w:pPr>
          </w:p>
        </w:tc>
      </w:tr>
      <w:tr w14:paraId="6BE6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03DF96C8">
            <w:pPr>
              <w:spacing w:line="200" w:lineRule="atLeast"/>
              <w:jc w:val="center"/>
              <w:rPr>
                <w:rFonts w:hint="eastAsia" w:ascii="宋体" w:hAnsi="宋体" w:cs="宋体"/>
                <w:color w:val="auto"/>
                <w:highlight w:val="none"/>
              </w:rPr>
            </w:pPr>
            <w:r>
              <w:rPr>
                <w:rFonts w:hint="eastAsia" w:ascii="宋体" w:hAnsi="宋体" w:cs="宋体"/>
                <w:color w:val="auto"/>
                <w:highlight w:val="none"/>
              </w:rPr>
              <w:t>2</w:t>
            </w:r>
          </w:p>
        </w:tc>
        <w:tc>
          <w:tcPr>
            <w:tcW w:w="2961" w:type="dxa"/>
            <w:noWrap w:val="0"/>
            <w:vAlign w:val="center"/>
          </w:tcPr>
          <w:p w14:paraId="6A727D7C">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2540" w:type="dxa"/>
            <w:noWrap w:val="0"/>
            <w:vAlign w:val="center"/>
          </w:tcPr>
          <w:p w14:paraId="79241A12">
            <w:pPr>
              <w:pStyle w:val="24"/>
              <w:rPr>
                <w:rFonts w:hint="eastAsia" w:cs="宋体"/>
                <w:color w:val="auto"/>
                <w:highlight w:val="none"/>
              </w:rPr>
            </w:pPr>
          </w:p>
        </w:tc>
        <w:tc>
          <w:tcPr>
            <w:tcW w:w="1075" w:type="dxa"/>
            <w:noWrap w:val="0"/>
            <w:vAlign w:val="center"/>
          </w:tcPr>
          <w:p w14:paraId="32D75455">
            <w:pPr>
              <w:spacing w:line="200" w:lineRule="atLeast"/>
              <w:jc w:val="center"/>
              <w:rPr>
                <w:rFonts w:hint="eastAsia" w:ascii="宋体" w:hAnsi="宋体" w:cs="宋体"/>
                <w:color w:val="auto"/>
                <w:highlight w:val="none"/>
              </w:rPr>
            </w:pPr>
          </w:p>
        </w:tc>
        <w:tc>
          <w:tcPr>
            <w:tcW w:w="1181" w:type="dxa"/>
            <w:noWrap w:val="0"/>
            <w:vAlign w:val="center"/>
          </w:tcPr>
          <w:p w14:paraId="56F4BB73">
            <w:pPr>
              <w:spacing w:line="200" w:lineRule="atLeast"/>
              <w:jc w:val="center"/>
              <w:rPr>
                <w:rFonts w:hint="eastAsia" w:ascii="宋体" w:hAnsi="宋体" w:cs="宋体"/>
                <w:color w:val="auto"/>
                <w:highlight w:val="none"/>
              </w:rPr>
            </w:pPr>
          </w:p>
        </w:tc>
      </w:tr>
      <w:tr w14:paraId="389C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470A08F2">
            <w:pPr>
              <w:spacing w:line="200" w:lineRule="atLeast"/>
              <w:jc w:val="center"/>
              <w:rPr>
                <w:rFonts w:hint="eastAsia" w:ascii="宋体" w:hAnsi="宋体" w:cs="宋体"/>
                <w:color w:val="auto"/>
                <w:highlight w:val="none"/>
              </w:rPr>
            </w:pPr>
          </w:p>
        </w:tc>
        <w:tc>
          <w:tcPr>
            <w:tcW w:w="2961" w:type="dxa"/>
            <w:noWrap w:val="0"/>
            <w:vAlign w:val="center"/>
          </w:tcPr>
          <w:p w14:paraId="33917EF4">
            <w:pPr>
              <w:rPr>
                <w:rFonts w:hint="eastAsia" w:ascii="宋体" w:hAnsi="宋体" w:cs="宋体"/>
                <w:color w:val="auto"/>
                <w:szCs w:val="21"/>
                <w:highlight w:val="none"/>
              </w:rPr>
            </w:pPr>
          </w:p>
        </w:tc>
        <w:tc>
          <w:tcPr>
            <w:tcW w:w="2540" w:type="dxa"/>
            <w:noWrap w:val="0"/>
            <w:vAlign w:val="center"/>
          </w:tcPr>
          <w:p w14:paraId="1223E89C">
            <w:pPr>
              <w:pStyle w:val="24"/>
              <w:rPr>
                <w:rFonts w:hint="eastAsia" w:cs="宋体"/>
                <w:color w:val="auto"/>
                <w:highlight w:val="none"/>
              </w:rPr>
            </w:pPr>
          </w:p>
        </w:tc>
        <w:tc>
          <w:tcPr>
            <w:tcW w:w="1075" w:type="dxa"/>
            <w:noWrap w:val="0"/>
            <w:vAlign w:val="center"/>
          </w:tcPr>
          <w:p w14:paraId="184D7189">
            <w:pPr>
              <w:spacing w:line="200" w:lineRule="atLeast"/>
              <w:jc w:val="center"/>
              <w:rPr>
                <w:rFonts w:hint="eastAsia" w:ascii="宋体" w:hAnsi="宋体" w:cs="宋体"/>
                <w:color w:val="auto"/>
                <w:highlight w:val="none"/>
              </w:rPr>
            </w:pPr>
          </w:p>
        </w:tc>
        <w:tc>
          <w:tcPr>
            <w:tcW w:w="1181" w:type="dxa"/>
            <w:noWrap w:val="0"/>
            <w:vAlign w:val="center"/>
          </w:tcPr>
          <w:p w14:paraId="0C220125">
            <w:pPr>
              <w:spacing w:line="200" w:lineRule="atLeast"/>
              <w:jc w:val="center"/>
              <w:rPr>
                <w:rFonts w:hint="eastAsia" w:ascii="宋体" w:hAnsi="宋体" w:cs="宋体"/>
                <w:color w:val="auto"/>
                <w:highlight w:val="none"/>
              </w:rPr>
            </w:pPr>
          </w:p>
        </w:tc>
      </w:tr>
      <w:tr w14:paraId="2882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712EF961">
            <w:pPr>
              <w:spacing w:line="200" w:lineRule="atLeast"/>
              <w:jc w:val="center"/>
              <w:rPr>
                <w:rFonts w:hint="eastAsia" w:ascii="宋体" w:hAnsi="宋体" w:cs="宋体"/>
                <w:color w:val="auto"/>
                <w:highlight w:val="none"/>
              </w:rPr>
            </w:pPr>
          </w:p>
        </w:tc>
        <w:tc>
          <w:tcPr>
            <w:tcW w:w="2961" w:type="dxa"/>
            <w:noWrap w:val="0"/>
            <w:vAlign w:val="center"/>
          </w:tcPr>
          <w:p w14:paraId="29F532C6">
            <w:pPr>
              <w:rPr>
                <w:rFonts w:hint="eastAsia" w:ascii="宋体" w:hAnsi="宋体" w:cs="宋体"/>
                <w:color w:val="auto"/>
                <w:szCs w:val="21"/>
                <w:highlight w:val="none"/>
              </w:rPr>
            </w:pPr>
          </w:p>
        </w:tc>
        <w:tc>
          <w:tcPr>
            <w:tcW w:w="2540" w:type="dxa"/>
            <w:noWrap w:val="0"/>
            <w:vAlign w:val="center"/>
          </w:tcPr>
          <w:p w14:paraId="321061C3">
            <w:pPr>
              <w:pStyle w:val="24"/>
              <w:rPr>
                <w:rFonts w:hint="eastAsia" w:cs="宋体"/>
                <w:color w:val="auto"/>
                <w:highlight w:val="none"/>
              </w:rPr>
            </w:pPr>
          </w:p>
        </w:tc>
        <w:tc>
          <w:tcPr>
            <w:tcW w:w="1075" w:type="dxa"/>
            <w:noWrap w:val="0"/>
            <w:vAlign w:val="center"/>
          </w:tcPr>
          <w:p w14:paraId="6F8C6533">
            <w:pPr>
              <w:spacing w:line="200" w:lineRule="atLeast"/>
              <w:jc w:val="center"/>
              <w:rPr>
                <w:rFonts w:hint="eastAsia" w:ascii="宋体" w:hAnsi="宋体" w:cs="宋体"/>
                <w:color w:val="auto"/>
                <w:highlight w:val="none"/>
              </w:rPr>
            </w:pPr>
          </w:p>
        </w:tc>
        <w:tc>
          <w:tcPr>
            <w:tcW w:w="1181" w:type="dxa"/>
            <w:noWrap w:val="0"/>
            <w:vAlign w:val="center"/>
          </w:tcPr>
          <w:p w14:paraId="509297B7">
            <w:pPr>
              <w:spacing w:line="200" w:lineRule="atLeast"/>
              <w:jc w:val="center"/>
              <w:rPr>
                <w:rFonts w:hint="eastAsia" w:ascii="宋体" w:hAnsi="宋体" w:cs="宋体"/>
                <w:color w:val="auto"/>
                <w:highlight w:val="none"/>
              </w:rPr>
            </w:pPr>
          </w:p>
        </w:tc>
      </w:tr>
      <w:tr w14:paraId="1074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noWrap w:val="0"/>
            <w:vAlign w:val="center"/>
          </w:tcPr>
          <w:p w14:paraId="5A81FF01">
            <w:pPr>
              <w:spacing w:line="200" w:lineRule="atLeast"/>
              <w:jc w:val="center"/>
              <w:rPr>
                <w:rFonts w:hint="eastAsia" w:ascii="宋体" w:hAnsi="宋体" w:cs="宋体"/>
                <w:color w:val="auto"/>
                <w:highlight w:val="none"/>
              </w:rPr>
            </w:pPr>
          </w:p>
        </w:tc>
        <w:tc>
          <w:tcPr>
            <w:tcW w:w="2961" w:type="dxa"/>
            <w:noWrap w:val="0"/>
            <w:vAlign w:val="center"/>
          </w:tcPr>
          <w:p w14:paraId="58119A2B">
            <w:pPr>
              <w:rPr>
                <w:rFonts w:hint="eastAsia" w:ascii="宋体" w:hAnsi="宋体" w:cs="宋体"/>
                <w:color w:val="auto"/>
                <w:szCs w:val="21"/>
                <w:highlight w:val="none"/>
              </w:rPr>
            </w:pPr>
          </w:p>
        </w:tc>
        <w:tc>
          <w:tcPr>
            <w:tcW w:w="2540" w:type="dxa"/>
            <w:noWrap w:val="0"/>
            <w:vAlign w:val="center"/>
          </w:tcPr>
          <w:p w14:paraId="70AE6A56">
            <w:pPr>
              <w:pStyle w:val="24"/>
              <w:rPr>
                <w:rFonts w:hint="eastAsia" w:cs="宋体"/>
                <w:color w:val="auto"/>
                <w:highlight w:val="none"/>
              </w:rPr>
            </w:pPr>
          </w:p>
        </w:tc>
        <w:tc>
          <w:tcPr>
            <w:tcW w:w="1075" w:type="dxa"/>
            <w:noWrap w:val="0"/>
            <w:vAlign w:val="center"/>
          </w:tcPr>
          <w:p w14:paraId="37B7CCE4">
            <w:pPr>
              <w:spacing w:line="200" w:lineRule="atLeast"/>
              <w:jc w:val="center"/>
              <w:rPr>
                <w:rFonts w:hint="eastAsia" w:ascii="宋体" w:hAnsi="宋体" w:cs="宋体"/>
                <w:color w:val="auto"/>
                <w:highlight w:val="none"/>
              </w:rPr>
            </w:pPr>
          </w:p>
        </w:tc>
        <w:tc>
          <w:tcPr>
            <w:tcW w:w="1181" w:type="dxa"/>
            <w:noWrap w:val="0"/>
            <w:vAlign w:val="center"/>
          </w:tcPr>
          <w:p w14:paraId="2F86D36C">
            <w:pPr>
              <w:spacing w:line="200" w:lineRule="atLeast"/>
              <w:jc w:val="center"/>
              <w:rPr>
                <w:rFonts w:hint="eastAsia" w:ascii="宋体" w:hAnsi="宋体" w:cs="宋体"/>
                <w:color w:val="auto"/>
                <w:highlight w:val="none"/>
              </w:rPr>
            </w:pPr>
          </w:p>
        </w:tc>
      </w:tr>
    </w:tbl>
    <w:p w14:paraId="6474A924">
      <w:pPr>
        <w:spacing w:line="360" w:lineRule="auto"/>
        <w:rPr>
          <w:rFonts w:hint="eastAsia" w:ascii="宋体" w:hAnsi="宋体" w:cs="宋体"/>
          <w:color w:val="auto"/>
          <w:highlight w:val="none"/>
        </w:rPr>
      </w:pPr>
    </w:p>
    <w:p w14:paraId="515BC41B">
      <w:pPr>
        <w:spacing w:line="360" w:lineRule="auto"/>
        <w:rPr>
          <w:rFonts w:hint="eastAsia" w:ascii="宋体" w:hAnsi="宋体" w:cs="宋体"/>
          <w:color w:val="auto"/>
          <w:highlight w:val="none"/>
        </w:rPr>
      </w:pPr>
      <w:r>
        <w:rPr>
          <w:rFonts w:hint="eastAsia" w:ascii="宋体" w:hAnsi="宋体" w:cs="宋体"/>
          <w:color w:val="auto"/>
          <w:highlight w:val="none"/>
        </w:rPr>
        <w:t>说明：</w:t>
      </w:r>
    </w:p>
    <w:p w14:paraId="376C2ADB">
      <w:pPr>
        <w:spacing w:line="300" w:lineRule="auto"/>
        <w:rPr>
          <w:rFonts w:hint="eastAsia" w:ascii="宋体" w:hAnsi="宋体" w:cs="宋体"/>
          <w:bCs/>
          <w:color w:val="auto"/>
          <w:szCs w:val="21"/>
          <w:highlight w:val="none"/>
        </w:rPr>
      </w:pPr>
      <w:r>
        <w:rPr>
          <w:rFonts w:hint="eastAsia" w:ascii="宋体" w:hAnsi="宋体" w:cs="宋体"/>
          <w:bCs/>
          <w:color w:val="auto"/>
          <w:szCs w:val="21"/>
          <w:highlight w:val="none"/>
        </w:rPr>
        <w:t>如投标人对招标文件</w:t>
      </w:r>
      <w:r>
        <w:rPr>
          <w:rFonts w:hint="eastAsia" w:ascii="宋体" w:hAnsi="宋体" w:cs="宋体"/>
          <w:color w:val="auto"/>
          <w:highlight w:val="none"/>
        </w:rPr>
        <w:t>合同</w:t>
      </w:r>
      <w:r>
        <w:rPr>
          <w:rFonts w:hint="eastAsia" w:ascii="宋体" w:hAnsi="宋体" w:cs="宋体"/>
          <w:bCs/>
          <w:color w:val="auto"/>
          <w:szCs w:val="21"/>
          <w:highlight w:val="none"/>
        </w:rPr>
        <w:t>条款有偏离的必须填写上表，否则视为完全响应招标文件要求。</w:t>
      </w:r>
    </w:p>
    <w:p w14:paraId="30285C2A">
      <w:pPr>
        <w:spacing w:line="480" w:lineRule="auto"/>
        <w:rPr>
          <w:rFonts w:hint="eastAsia" w:ascii="宋体" w:hAnsi="宋体" w:cs="宋体"/>
          <w:color w:val="auto"/>
          <w:szCs w:val="22"/>
          <w:highlight w:val="none"/>
        </w:rPr>
      </w:pPr>
    </w:p>
    <w:p w14:paraId="4BC8D414">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5FD8948B">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3ACE5FF6">
      <w:pPr>
        <w:rPr>
          <w:rFonts w:hint="eastAsia" w:ascii="宋体" w:hAnsi="宋体" w:cs="宋体"/>
          <w:color w:val="auto"/>
          <w:highlight w:val="none"/>
        </w:rPr>
      </w:pPr>
      <w:r>
        <w:rPr>
          <w:rFonts w:hint="eastAsia" w:ascii="宋体" w:hAnsi="宋体" w:cs="宋体"/>
          <w:color w:val="auto"/>
          <w:highlight w:val="none"/>
        </w:rPr>
        <w:br w:type="page"/>
      </w:r>
      <w:bookmarkStart w:id="105" w:name="_Toc455417787"/>
      <w:bookmarkStart w:id="106" w:name="_Toc118018369"/>
      <w:bookmarkStart w:id="107" w:name="_Toc476177436"/>
      <w:bookmarkStart w:id="108" w:name="_Toc476177995"/>
      <w:r>
        <w:rPr>
          <w:rFonts w:hint="eastAsia" w:ascii="宋体" w:hAnsi="宋体" w:cs="宋体"/>
          <w:b/>
          <w:bCs/>
          <w:color w:val="auto"/>
          <w:sz w:val="28"/>
          <w:szCs w:val="21"/>
          <w:highlight w:val="none"/>
        </w:rPr>
        <w:t>六、技术响应文件格式</w:t>
      </w:r>
      <w:bookmarkEnd w:id="105"/>
      <w:bookmarkEnd w:id="106"/>
      <w:bookmarkEnd w:id="107"/>
      <w:bookmarkEnd w:id="108"/>
    </w:p>
    <w:p w14:paraId="2F7D02F0">
      <w:pPr>
        <w:spacing w:before="240" w:line="360" w:lineRule="auto"/>
        <w:ind w:left="902" w:hanging="902"/>
        <w:rPr>
          <w:rFonts w:hint="eastAsia" w:ascii="宋体" w:hAnsi="宋体" w:cs="宋体"/>
          <w:color w:val="auto"/>
          <w:highlight w:val="none"/>
        </w:rPr>
      </w:pPr>
      <w:r>
        <w:rPr>
          <w:rFonts w:hint="eastAsia" w:ascii="宋体" w:hAnsi="宋体" w:cs="宋体"/>
          <w:b/>
          <w:color w:val="auto"/>
          <w:highlight w:val="none"/>
        </w:rPr>
        <w:t xml:space="preserve">[说明]  </w:t>
      </w:r>
      <w:r>
        <w:rPr>
          <w:rFonts w:hint="eastAsia" w:ascii="宋体" w:hAnsi="宋体" w:cs="宋体"/>
          <w:color w:val="auto"/>
          <w:highlight w:val="none"/>
        </w:rPr>
        <w:t>投标人应按照招标文件的要求，根据《用户需求书》要求内容做出全面响应。其内容应包括但不限于本格式内各项要求。对必须响应的内容，必须完全响应，不允许有任何差异，对响应有差异的内容，提出说明和优化建议。</w:t>
      </w:r>
    </w:p>
    <w:p w14:paraId="03DAB8C1">
      <w:pPr>
        <w:spacing w:line="360" w:lineRule="auto"/>
        <w:rPr>
          <w:rFonts w:ascii="宋体" w:hAnsi="宋体"/>
          <w:color w:val="auto"/>
          <w:highlight w:val="none"/>
        </w:rPr>
      </w:pPr>
      <w:r>
        <w:rPr>
          <w:rFonts w:ascii="宋体" w:hAnsi="宋体"/>
          <w:color w:val="auto"/>
          <w:szCs w:val="22"/>
          <w:highlight w:val="none"/>
        </w:rPr>
        <w:t>格式</w:t>
      </w:r>
      <w:r>
        <w:rPr>
          <w:rFonts w:hint="eastAsia" w:ascii="宋体" w:hAnsi="宋体"/>
          <w:color w:val="auto"/>
          <w:szCs w:val="22"/>
          <w:highlight w:val="none"/>
        </w:rPr>
        <w:t>6</w:t>
      </w:r>
      <w:r>
        <w:rPr>
          <w:rFonts w:ascii="宋体" w:hAnsi="宋体"/>
          <w:color w:val="auto"/>
          <w:szCs w:val="22"/>
          <w:highlight w:val="none"/>
        </w:rPr>
        <w:t>.1</w:t>
      </w:r>
      <w:r>
        <w:rPr>
          <w:rFonts w:hint="eastAsia" w:ascii="宋体" w:hAnsi="宋体"/>
          <w:color w:val="auto"/>
          <w:szCs w:val="22"/>
          <w:highlight w:val="none"/>
        </w:rPr>
        <w:t xml:space="preserve">   </w:t>
      </w:r>
      <w:r>
        <w:rPr>
          <w:rFonts w:hint="eastAsia" w:ascii="宋体" w:hAnsi="宋体"/>
          <w:color w:val="auto"/>
          <w:highlight w:val="none"/>
        </w:rPr>
        <w:t>用户需求书中要求投标人自行填写的表格内容</w:t>
      </w:r>
    </w:p>
    <w:p w14:paraId="6A2B2E07">
      <w:pPr>
        <w:spacing w:line="360" w:lineRule="auto"/>
        <w:rPr>
          <w:rFonts w:hint="eastAsia"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2</w:t>
      </w:r>
      <w:r>
        <w:rPr>
          <w:rFonts w:ascii="宋体" w:hAnsi="宋体"/>
          <w:color w:val="auto"/>
          <w:highlight w:val="none"/>
        </w:rPr>
        <w:t xml:space="preserve">   </w:t>
      </w:r>
      <w:r>
        <w:rPr>
          <w:rFonts w:hint="eastAsia" w:ascii="宋体" w:hAnsi="宋体" w:cs="宋体"/>
          <w:color w:val="auto"/>
          <w:szCs w:val="21"/>
          <w:highlight w:val="none"/>
        </w:rPr>
        <w:t>项目重点、难点理解分析</w:t>
      </w:r>
    </w:p>
    <w:p w14:paraId="4B3A85E2">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 xml:space="preserve">3   </w:t>
      </w:r>
      <w:r>
        <w:rPr>
          <w:rFonts w:hint="eastAsia" w:asciiTheme="minorEastAsia" w:hAnsiTheme="minorEastAsia" w:eastAsiaTheme="minorEastAsia" w:cstheme="minorEastAsia"/>
          <w:color w:val="auto"/>
          <w:sz w:val="21"/>
          <w:szCs w:val="21"/>
          <w:highlight w:val="none"/>
        </w:rPr>
        <w:t>服务</w:t>
      </w:r>
      <w:r>
        <w:rPr>
          <w:rFonts w:hint="eastAsia" w:asciiTheme="minorEastAsia" w:hAnsiTheme="minorEastAsia" w:eastAsiaTheme="minorEastAsia" w:cstheme="minorEastAsia"/>
          <w:color w:val="auto"/>
          <w:sz w:val="21"/>
          <w:szCs w:val="21"/>
          <w:highlight w:val="none"/>
          <w:lang w:val="en-US" w:eastAsia="zh-CN"/>
        </w:rPr>
        <w:t>方案</w:t>
      </w:r>
    </w:p>
    <w:p w14:paraId="44FC62FC">
      <w:pPr>
        <w:spacing w:line="360" w:lineRule="auto"/>
        <w:rPr>
          <w:rFonts w:hint="eastAsia" w:ascii="宋体" w:hAnsi="宋体" w:cs="宋体"/>
          <w:color w:val="auto"/>
          <w:szCs w:val="21"/>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4</w:t>
      </w:r>
      <w:r>
        <w:rPr>
          <w:rFonts w:hint="eastAsia" w:ascii="宋体" w:hAnsi="宋体"/>
          <w:color w:val="auto"/>
          <w:highlight w:val="none"/>
        </w:rPr>
        <w:t xml:space="preserve">   </w:t>
      </w:r>
      <w:r>
        <w:rPr>
          <w:rFonts w:hint="eastAsia" w:ascii="宋体" w:hAnsi="宋体" w:cs="宋体"/>
          <w:color w:val="auto"/>
          <w:szCs w:val="21"/>
          <w:highlight w:val="none"/>
        </w:rPr>
        <w:t>质量保证措施</w:t>
      </w:r>
    </w:p>
    <w:p w14:paraId="72AB57DB">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5</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s="宋体"/>
          <w:color w:val="auto"/>
          <w:szCs w:val="21"/>
          <w:highlight w:val="none"/>
        </w:rPr>
        <w:t>应急保障措施</w:t>
      </w:r>
    </w:p>
    <w:p w14:paraId="757693BD">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6</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技术标评分细则需要提供的资料</w:t>
      </w:r>
    </w:p>
    <w:p w14:paraId="7759B46C">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7</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招标人配合内容</w:t>
      </w:r>
      <w:r>
        <w:rPr>
          <w:rFonts w:hint="eastAsia" w:ascii="宋体" w:hAnsi="宋体"/>
          <w:color w:val="auto"/>
          <w:highlight w:val="none"/>
        </w:rPr>
        <w:t>（如有）</w:t>
      </w:r>
    </w:p>
    <w:p w14:paraId="23B19C5B">
      <w:pPr>
        <w:shd w:val="clear"/>
        <w:spacing w:line="360" w:lineRule="auto"/>
        <w:rPr>
          <w:rFonts w:hint="eastAsia" w:ascii="宋体" w:hAnsi="宋体" w:cs="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8</w:t>
      </w:r>
      <w:r>
        <w:rPr>
          <w:rFonts w:hint="eastAsia" w:ascii="宋体" w:hAnsi="宋体"/>
          <w:color w:val="auto"/>
          <w:highlight w:val="none"/>
        </w:rPr>
        <w:t xml:space="preserve">   投标人认</w:t>
      </w:r>
      <w:r>
        <w:rPr>
          <w:rFonts w:hint="eastAsia" w:ascii="宋体" w:hAnsi="宋体"/>
          <w:color w:val="auto"/>
        </w:rPr>
        <w:t>为有必要提供的其他文件（如有）</w:t>
      </w:r>
    </w:p>
    <w:p w14:paraId="7E4293CB">
      <w:pPr>
        <w:spacing w:line="360" w:lineRule="auto"/>
        <w:rPr>
          <w:rFonts w:hint="eastAsia" w:ascii="宋体" w:hAnsi="宋体" w:cs="宋体"/>
          <w:color w:val="auto"/>
          <w:sz w:val="30"/>
          <w:szCs w:val="30"/>
          <w:highlight w:val="none"/>
        </w:rPr>
      </w:pPr>
      <w:bookmarkStart w:id="109" w:name="_Hlt42956379"/>
      <w:bookmarkEnd w:id="109"/>
      <w:r>
        <w:rPr>
          <w:rFonts w:hint="eastAsia" w:ascii="宋体" w:hAnsi="宋体" w:cs="宋体"/>
          <w:b/>
          <w:color w:val="auto"/>
          <w:sz w:val="24"/>
          <w:highlight w:val="none"/>
        </w:rPr>
        <w:br w:type="page"/>
      </w:r>
      <w:r>
        <w:rPr>
          <w:rFonts w:hint="eastAsia" w:ascii="宋体" w:hAnsi="宋体" w:cs="宋体"/>
          <w:b/>
          <w:color w:val="auto"/>
          <w:sz w:val="24"/>
          <w:highlight w:val="none"/>
        </w:rPr>
        <w:t>格式6.1</w:t>
      </w:r>
      <w:bookmarkStart w:id="110" w:name="_Toc118018370"/>
      <w:bookmarkStart w:id="111" w:name="_Toc118015391"/>
      <w:bookmarkStart w:id="112" w:name="_Toc4471859"/>
      <w:bookmarkStart w:id="113" w:name="_Toc208723428"/>
      <w:bookmarkStart w:id="114" w:name="_Toc42956284"/>
      <w:r>
        <w:rPr>
          <w:rFonts w:hint="eastAsia" w:ascii="宋体" w:hAnsi="宋体" w:cs="宋体"/>
          <w:b/>
          <w:color w:val="auto"/>
          <w:sz w:val="24"/>
          <w:highlight w:val="none"/>
        </w:rPr>
        <w:t xml:space="preserve">.1  </w:t>
      </w:r>
      <w:bookmarkEnd w:id="110"/>
      <w:bookmarkEnd w:id="111"/>
      <w:bookmarkEnd w:id="112"/>
      <w:bookmarkEnd w:id="113"/>
      <w:bookmarkEnd w:id="114"/>
      <w:bookmarkStart w:id="115" w:name="_Hlt10564367"/>
      <w:bookmarkEnd w:id="115"/>
      <w:r>
        <w:rPr>
          <w:rFonts w:hint="eastAsia" w:ascii="宋体" w:hAnsi="宋体" w:cs="宋体"/>
          <w:b/>
          <w:color w:val="auto"/>
          <w:sz w:val="24"/>
          <w:highlight w:val="none"/>
        </w:rPr>
        <w:t xml:space="preserve"> </w:t>
      </w:r>
    </w:p>
    <w:p w14:paraId="4E286909">
      <w:pPr>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技术响应表</w:t>
      </w:r>
    </w:p>
    <w:p w14:paraId="2E2FED3A">
      <w:pPr>
        <w:rPr>
          <w:rFonts w:hint="eastAsia" w:ascii="宋体" w:hAnsi="宋体" w:cs="宋体"/>
          <w:color w:val="auto"/>
          <w:highlight w:val="none"/>
        </w:rPr>
      </w:pP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766"/>
        <w:gridCol w:w="1850"/>
        <w:gridCol w:w="1435"/>
        <w:gridCol w:w="1134"/>
        <w:gridCol w:w="1687"/>
        <w:gridCol w:w="1688"/>
      </w:tblGrid>
      <w:tr w14:paraId="7AB8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5DF7488D">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用户需求书相应序号</w:t>
            </w:r>
          </w:p>
        </w:tc>
        <w:tc>
          <w:tcPr>
            <w:tcW w:w="1080" w:type="pct"/>
            <w:noWrap w:val="0"/>
            <w:vAlign w:val="center"/>
          </w:tcPr>
          <w:p w14:paraId="4BC3F688">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用户需求书相关内容</w:t>
            </w:r>
          </w:p>
        </w:tc>
        <w:tc>
          <w:tcPr>
            <w:tcW w:w="1435" w:type="dxa"/>
            <w:noWrap w:val="0"/>
            <w:vAlign w:val="center"/>
          </w:tcPr>
          <w:p w14:paraId="48AF5387">
            <w:pPr>
              <w:jc w:val="center"/>
              <w:rPr>
                <w:b w:val="0"/>
                <w:bCs w:val="0"/>
                <w:color w:val="auto"/>
                <w:highlight w:val="none"/>
              </w:rPr>
            </w:pPr>
            <w:r>
              <w:rPr>
                <w:rFonts w:hint="eastAsia"/>
                <w:b w:val="0"/>
                <w:bCs w:val="0"/>
                <w:color w:val="auto"/>
                <w:highlight w:val="none"/>
              </w:rPr>
              <w:t>投标响应的实际情况</w:t>
            </w:r>
          </w:p>
          <w:p w14:paraId="273D85F9">
            <w:pPr>
              <w:jc w:val="center"/>
              <w:rPr>
                <w:rFonts w:hint="eastAsia" w:ascii="宋体" w:hAnsi="宋体" w:cs="宋体"/>
                <w:color w:val="auto"/>
                <w:highlight w:val="none"/>
              </w:rPr>
            </w:pPr>
            <w:r>
              <w:rPr>
                <w:rFonts w:hint="eastAsia"/>
                <w:b w:val="0"/>
                <w:bCs w:val="0"/>
                <w:color w:val="auto"/>
                <w:highlight w:val="none"/>
              </w:rPr>
              <w:t>（具体参数值或响应内容）</w:t>
            </w:r>
          </w:p>
        </w:tc>
        <w:tc>
          <w:tcPr>
            <w:tcW w:w="1134" w:type="dxa"/>
            <w:noWrap w:val="0"/>
            <w:vAlign w:val="center"/>
          </w:tcPr>
          <w:p w14:paraId="6F86FD98">
            <w:pPr>
              <w:jc w:val="center"/>
              <w:rPr>
                <w:b w:val="0"/>
                <w:bCs w:val="0"/>
                <w:color w:val="auto"/>
                <w:highlight w:val="none"/>
              </w:rPr>
            </w:pPr>
            <w:r>
              <w:rPr>
                <w:rFonts w:hint="eastAsia"/>
                <w:b w:val="0"/>
                <w:bCs w:val="0"/>
                <w:color w:val="auto"/>
                <w:highlight w:val="none"/>
              </w:rPr>
              <w:t>响应情况</w:t>
            </w:r>
          </w:p>
          <w:p w14:paraId="16D31EC8">
            <w:pPr>
              <w:jc w:val="center"/>
              <w:rPr>
                <w:rFonts w:hint="eastAsia" w:ascii="宋体" w:hAnsi="宋体" w:cs="宋体"/>
                <w:color w:val="auto"/>
                <w:highlight w:val="none"/>
              </w:rPr>
            </w:pPr>
            <w:r>
              <w:rPr>
                <w:rFonts w:hint="eastAsia"/>
                <w:b w:val="0"/>
                <w:bCs w:val="0"/>
                <w:color w:val="auto"/>
                <w:highlight w:val="none"/>
              </w:rPr>
              <w:t>（正偏离/无偏离/负偏离）</w:t>
            </w:r>
          </w:p>
        </w:tc>
        <w:tc>
          <w:tcPr>
            <w:tcW w:w="1687" w:type="dxa"/>
            <w:noWrap w:val="0"/>
            <w:vAlign w:val="center"/>
          </w:tcPr>
          <w:p w14:paraId="2CA08E0C">
            <w:pPr>
              <w:jc w:val="center"/>
              <w:rPr>
                <w:rFonts w:hint="eastAsia" w:ascii="宋体" w:hAnsi="宋体" w:cs="宋体"/>
                <w:color w:val="auto"/>
                <w:highlight w:val="none"/>
              </w:rPr>
            </w:pPr>
            <w:r>
              <w:rPr>
                <w:rFonts w:hint="eastAsia"/>
                <w:b w:val="0"/>
                <w:bCs w:val="0"/>
                <w:color w:val="auto"/>
                <w:highlight w:val="none"/>
              </w:rPr>
              <w:t>差异说明</w:t>
            </w:r>
          </w:p>
        </w:tc>
        <w:tc>
          <w:tcPr>
            <w:tcW w:w="1688" w:type="dxa"/>
            <w:noWrap w:val="0"/>
            <w:vAlign w:val="center"/>
          </w:tcPr>
          <w:p w14:paraId="2C0BB3C1">
            <w:pPr>
              <w:jc w:val="center"/>
              <w:rPr>
                <w:rFonts w:hint="eastAsia" w:ascii="宋体" w:hAnsi="宋体" w:cs="宋体"/>
                <w:color w:val="auto"/>
                <w:highlight w:val="none"/>
              </w:rPr>
            </w:pPr>
            <w:r>
              <w:rPr>
                <w:rFonts w:hint="eastAsia"/>
                <w:b w:val="0"/>
                <w:bCs w:val="0"/>
                <w:color w:val="auto"/>
                <w:highlight w:val="none"/>
              </w:rPr>
              <w:t>对应页码（如有）</w:t>
            </w:r>
          </w:p>
        </w:tc>
      </w:tr>
      <w:tr w14:paraId="76BB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291C0A07">
            <w:pPr>
              <w:autoSpaceDE w:val="0"/>
              <w:autoSpaceDN w:val="0"/>
              <w:adjustRightInd w:val="0"/>
              <w:jc w:val="center"/>
              <w:rPr>
                <w:rFonts w:hint="eastAsia" w:ascii="宋体" w:hAnsi="宋体" w:cs="宋体"/>
                <w:color w:val="auto"/>
                <w:highlight w:val="none"/>
              </w:rPr>
            </w:pPr>
          </w:p>
        </w:tc>
        <w:tc>
          <w:tcPr>
            <w:tcW w:w="1080" w:type="pct"/>
            <w:noWrap w:val="0"/>
            <w:vAlign w:val="center"/>
          </w:tcPr>
          <w:p w14:paraId="2BCAD10A">
            <w:pPr>
              <w:autoSpaceDE w:val="0"/>
              <w:autoSpaceDN w:val="0"/>
              <w:adjustRightInd w:val="0"/>
              <w:jc w:val="center"/>
              <w:rPr>
                <w:rFonts w:hint="eastAsia" w:ascii="宋体" w:hAnsi="宋体" w:cs="宋体"/>
                <w:color w:val="auto"/>
                <w:highlight w:val="none"/>
              </w:rPr>
            </w:pPr>
          </w:p>
        </w:tc>
        <w:tc>
          <w:tcPr>
            <w:tcW w:w="838" w:type="pct"/>
            <w:noWrap w:val="0"/>
            <w:vAlign w:val="center"/>
          </w:tcPr>
          <w:p w14:paraId="68D3FA85">
            <w:pPr>
              <w:autoSpaceDE w:val="0"/>
              <w:autoSpaceDN w:val="0"/>
              <w:adjustRightInd w:val="0"/>
              <w:jc w:val="center"/>
              <w:rPr>
                <w:rFonts w:hint="eastAsia" w:ascii="宋体" w:hAnsi="宋体" w:cs="宋体"/>
                <w:color w:val="auto"/>
                <w:highlight w:val="none"/>
              </w:rPr>
            </w:pPr>
          </w:p>
        </w:tc>
        <w:tc>
          <w:tcPr>
            <w:tcW w:w="662" w:type="pct"/>
            <w:noWrap w:val="0"/>
            <w:vAlign w:val="center"/>
          </w:tcPr>
          <w:p w14:paraId="34D3564A">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2D663FFE">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33E29884">
            <w:pPr>
              <w:autoSpaceDE w:val="0"/>
              <w:autoSpaceDN w:val="0"/>
              <w:adjustRightInd w:val="0"/>
              <w:jc w:val="center"/>
              <w:rPr>
                <w:rFonts w:hint="eastAsia" w:ascii="宋体" w:hAnsi="宋体" w:cs="宋体"/>
                <w:color w:val="auto"/>
                <w:w w:val="80"/>
                <w:highlight w:val="none"/>
              </w:rPr>
            </w:pPr>
          </w:p>
        </w:tc>
      </w:tr>
      <w:tr w14:paraId="76E6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7F67E046">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72AC42A">
            <w:pPr>
              <w:autoSpaceDE w:val="0"/>
              <w:autoSpaceDN w:val="0"/>
              <w:adjustRightInd w:val="0"/>
              <w:jc w:val="center"/>
              <w:rPr>
                <w:rFonts w:hint="eastAsia" w:ascii="宋体" w:hAnsi="宋体" w:cs="宋体"/>
                <w:color w:val="auto"/>
                <w:highlight w:val="none"/>
              </w:rPr>
            </w:pPr>
          </w:p>
        </w:tc>
        <w:tc>
          <w:tcPr>
            <w:tcW w:w="838" w:type="pct"/>
            <w:noWrap w:val="0"/>
            <w:vAlign w:val="center"/>
          </w:tcPr>
          <w:p w14:paraId="41CE4971">
            <w:pPr>
              <w:autoSpaceDE w:val="0"/>
              <w:autoSpaceDN w:val="0"/>
              <w:adjustRightInd w:val="0"/>
              <w:jc w:val="center"/>
              <w:rPr>
                <w:rFonts w:hint="eastAsia" w:ascii="宋体" w:hAnsi="宋体" w:cs="宋体"/>
                <w:color w:val="auto"/>
                <w:highlight w:val="none"/>
              </w:rPr>
            </w:pPr>
          </w:p>
        </w:tc>
        <w:tc>
          <w:tcPr>
            <w:tcW w:w="662" w:type="pct"/>
            <w:noWrap w:val="0"/>
            <w:vAlign w:val="center"/>
          </w:tcPr>
          <w:p w14:paraId="4D471B95">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76E685DE">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1F6D3DD3">
            <w:pPr>
              <w:autoSpaceDE w:val="0"/>
              <w:autoSpaceDN w:val="0"/>
              <w:adjustRightInd w:val="0"/>
              <w:jc w:val="center"/>
              <w:rPr>
                <w:rFonts w:hint="eastAsia" w:ascii="宋体" w:hAnsi="宋体" w:cs="宋体"/>
                <w:color w:val="auto"/>
                <w:w w:val="80"/>
                <w:highlight w:val="none"/>
              </w:rPr>
            </w:pPr>
          </w:p>
        </w:tc>
      </w:tr>
      <w:tr w14:paraId="6B2D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562BC866">
            <w:pPr>
              <w:autoSpaceDE w:val="0"/>
              <w:autoSpaceDN w:val="0"/>
              <w:adjustRightInd w:val="0"/>
              <w:jc w:val="center"/>
              <w:rPr>
                <w:rFonts w:hint="eastAsia" w:ascii="宋体" w:hAnsi="宋体" w:cs="宋体"/>
                <w:color w:val="auto"/>
                <w:highlight w:val="none"/>
              </w:rPr>
            </w:pPr>
          </w:p>
        </w:tc>
        <w:tc>
          <w:tcPr>
            <w:tcW w:w="1080" w:type="pct"/>
            <w:noWrap w:val="0"/>
            <w:vAlign w:val="center"/>
          </w:tcPr>
          <w:p w14:paraId="640E600C">
            <w:pPr>
              <w:autoSpaceDE w:val="0"/>
              <w:autoSpaceDN w:val="0"/>
              <w:adjustRightInd w:val="0"/>
              <w:jc w:val="center"/>
              <w:rPr>
                <w:rFonts w:hint="eastAsia" w:ascii="宋体" w:hAnsi="宋体" w:cs="宋体"/>
                <w:color w:val="auto"/>
                <w:highlight w:val="none"/>
              </w:rPr>
            </w:pPr>
          </w:p>
        </w:tc>
        <w:tc>
          <w:tcPr>
            <w:tcW w:w="838" w:type="pct"/>
            <w:noWrap w:val="0"/>
            <w:vAlign w:val="center"/>
          </w:tcPr>
          <w:p w14:paraId="01F3CD04">
            <w:pPr>
              <w:autoSpaceDE w:val="0"/>
              <w:autoSpaceDN w:val="0"/>
              <w:adjustRightInd w:val="0"/>
              <w:jc w:val="center"/>
              <w:rPr>
                <w:rFonts w:hint="eastAsia" w:ascii="宋体" w:hAnsi="宋体" w:cs="宋体"/>
                <w:color w:val="auto"/>
                <w:highlight w:val="none"/>
              </w:rPr>
            </w:pPr>
          </w:p>
        </w:tc>
        <w:tc>
          <w:tcPr>
            <w:tcW w:w="662" w:type="pct"/>
            <w:noWrap w:val="0"/>
            <w:vAlign w:val="center"/>
          </w:tcPr>
          <w:p w14:paraId="0226FFBD">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06902712">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6AF4E2E8">
            <w:pPr>
              <w:autoSpaceDE w:val="0"/>
              <w:autoSpaceDN w:val="0"/>
              <w:adjustRightInd w:val="0"/>
              <w:jc w:val="center"/>
              <w:rPr>
                <w:rFonts w:hint="eastAsia" w:ascii="宋体" w:hAnsi="宋体" w:cs="宋体"/>
                <w:color w:val="auto"/>
                <w:w w:val="80"/>
                <w:highlight w:val="none"/>
              </w:rPr>
            </w:pPr>
          </w:p>
        </w:tc>
      </w:tr>
      <w:tr w14:paraId="5C63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13041B4E">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B4F8A6A">
            <w:pPr>
              <w:autoSpaceDE w:val="0"/>
              <w:autoSpaceDN w:val="0"/>
              <w:adjustRightInd w:val="0"/>
              <w:jc w:val="center"/>
              <w:rPr>
                <w:rFonts w:hint="eastAsia" w:ascii="宋体" w:hAnsi="宋体" w:cs="宋体"/>
                <w:color w:val="auto"/>
                <w:highlight w:val="none"/>
              </w:rPr>
            </w:pPr>
          </w:p>
        </w:tc>
        <w:tc>
          <w:tcPr>
            <w:tcW w:w="838" w:type="pct"/>
            <w:noWrap w:val="0"/>
            <w:vAlign w:val="center"/>
          </w:tcPr>
          <w:p w14:paraId="20BBC027">
            <w:pPr>
              <w:autoSpaceDE w:val="0"/>
              <w:autoSpaceDN w:val="0"/>
              <w:adjustRightInd w:val="0"/>
              <w:jc w:val="center"/>
              <w:rPr>
                <w:rFonts w:hint="eastAsia" w:ascii="宋体" w:hAnsi="宋体" w:cs="宋体"/>
                <w:color w:val="auto"/>
                <w:highlight w:val="none"/>
              </w:rPr>
            </w:pPr>
          </w:p>
        </w:tc>
        <w:tc>
          <w:tcPr>
            <w:tcW w:w="662" w:type="pct"/>
            <w:noWrap w:val="0"/>
            <w:vAlign w:val="center"/>
          </w:tcPr>
          <w:p w14:paraId="28E91685">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4E4D3708">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59A2B96D">
            <w:pPr>
              <w:autoSpaceDE w:val="0"/>
              <w:autoSpaceDN w:val="0"/>
              <w:adjustRightInd w:val="0"/>
              <w:jc w:val="center"/>
              <w:rPr>
                <w:rFonts w:hint="eastAsia" w:ascii="宋体" w:hAnsi="宋体" w:cs="宋体"/>
                <w:color w:val="auto"/>
                <w:w w:val="80"/>
                <w:highlight w:val="none"/>
              </w:rPr>
            </w:pPr>
          </w:p>
        </w:tc>
      </w:tr>
      <w:tr w14:paraId="07CC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125798BC">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BF3B567">
            <w:pPr>
              <w:autoSpaceDE w:val="0"/>
              <w:autoSpaceDN w:val="0"/>
              <w:adjustRightInd w:val="0"/>
              <w:jc w:val="center"/>
              <w:rPr>
                <w:rFonts w:hint="eastAsia" w:ascii="宋体" w:hAnsi="宋体" w:cs="宋体"/>
                <w:color w:val="auto"/>
                <w:highlight w:val="none"/>
              </w:rPr>
            </w:pPr>
          </w:p>
        </w:tc>
        <w:tc>
          <w:tcPr>
            <w:tcW w:w="838" w:type="pct"/>
            <w:noWrap w:val="0"/>
            <w:vAlign w:val="center"/>
          </w:tcPr>
          <w:p w14:paraId="65DE378A">
            <w:pPr>
              <w:autoSpaceDE w:val="0"/>
              <w:autoSpaceDN w:val="0"/>
              <w:adjustRightInd w:val="0"/>
              <w:jc w:val="center"/>
              <w:rPr>
                <w:rFonts w:hint="eastAsia" w:ascii="宋体" w:hAnsi="宋体" w:cs="宋体"/>
                <w:color w:val="auto"/>
                <w:highlight w:val="none"/>
              </w:rPr>
            </w:pPr>
          </w:p>
        </w:tc>
        <w:tc>
          <w:tcPr>
            <w:tcW w:w="662" w:type="pct"/>
            <w:noWrap w:val="0"/>
            <w:vAlign w:val="center"/>
          </w:tcPr>
          <w:p w14:paraId="175D1FD2">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0191C7DB">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62D6B4A1">
            <w:pPr>
              <w:autoSpaceDE w:val="0"/>
              <w:autoSpaceDN w:val="0"/>
              <w:adjustRightInd w:val="0"/>
              <w:jc w:val="center"/>
              <w:rPr>
                <w:rFonts w:hint="eastAsia" w:ascii="宋体" w:hAnsi="宋体" w:cs="宋体"/>
                <w:color w:val="auto"/>
                <w:w w:val="80"/>
                <w:highlight w:val="none"/>
              </w:rPr>
            </w:pPr>
          </w:p>
        </w:tc>
      </w:tr>
      <w:tr w14:paraId="00AE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3EA5D32C">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909432C">
            <w:pPr>
              <w:autoSpaceDE w:val="0"/>
              <w:autoSpaceDN w:val="0"/>
              <w:adjustRightInd w:val="0"/>
              <w:jc w:val="center"/>
              <w:rPr>
                <w:rFonts w:hint="eastAsia" w:ascii="宋体" w:hAnsi="宋体" w:cs="宋体"/>
                <w:color w:val="auto"/>
                <w:highlight w:val="none"/>
              </w:rPr>
            </w:pPr>
          </w:p>
        </w:tc>
        <w:tc>
          <w:tcPr>
            <w:tcW w:w="838" w:type="pct"/>
            <w:noWrap w:val="0"/>
            <w:vAlign w:val="center"/>
          </w:tcPr>
          <w:p w14:paraId="2D9B7F1E">
            <w:pPr>
              <w:autoSpaceDE w:val="0"/>
              <w:autoSpaceDN w:val="0"/>
              <w:adjustRightInd w:val="0"/>
              <w:jc w:val="center"/>
              <w:rPr>
                <w:rFonts w:hint="eastAsia" w:ascii="宋体" w:hAnsi="宋体" w:cs="宋体"/>
                <w:color w:val="auto"/>
                <w:highlight w:val="none"/>
              </w:rPr>
            </w:pPr>
          </w:p>
        </w:tc>
        <w:tc>
          <w:tcPr>
            <w:tcW w:w="662" w:type="pct"/>
            <w:noWrap w:val="0"/>
            <w:vAlign w:val="center"/>
          </w:tcPr>
          <w:p w14:paraId="3BA0437E">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06AEBB29">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799EAAA6">
            <w:pPr>
              <w:autoSpaceDE w:val="0"/>
              <w:autoSpaceDN w:val="0"/>
              <w:adjustRightInd w:val="0"/>
              <w:jc w:val="center"/>
              <w:rPr>
                <w:rFonts w:hint="eastAsia" w:ascii="宋体" w:hAnsi="宋体" w:cs="宋体"/>
                <w:color w:val="auto"/>
                <w:w w:val="80"/>
                <w:highlight w:val="none"/>
              </w:rPr>
            </w:pPr>
          </w:p>
        </w:tc>
      </w:tr>
    </w:tbl>
    <w:p w14:paraId="408EE349">
      <w:pPr>
        <w:spacing w:line="360" w:lineRule="auto"/>
        <w:rPr>
          <w:rFonts w:hint="eastAsia" w:ascii="宋体" w:hAnsi="宋体" w:cs="宋体"/>
          <w:color w:val="auto"/>
          <w:highlight w:val="none"/>
        </w:rPr>
      </w:pPr>
    </w:p>
    <w:p w14:paraId="6E3D36B2">
      <w:pPr>
        <w:ind w:firstLine="211" w:firstLineChars="100"/>
        <w:rPr>
          <w:rFonts w:hint="eastAsia" w:ascii="宋体" w:hAnsi="宋体" w:cs="宋体"/>
          <w:color w:val="auto"/>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w:t>
      </w:r>
      <w:r>
        <w:rPr>
          <w:rFonts w:hint="eastAsia" w:ascii="宋体" w:hAnsi="宋体" w:cs="宋体"/>
          <w:color w:val="auto"/>
          <w:highlight w:val="none"/>
          <w:lang w:val="en-US" w:eastAsia="zh-CN"/>
        </w:rPr>
        <w:t>1.</w:t>
      </w:r>
      <w:r>
        <w:rPr>
          <w:rFonts w:hint="eastAsia" w:ascii="宋体" w:hAnsi="宋体" w:cs="宋体"/>
          <w:color w:val="auto"/>
          <w:highlight w:val="none"/>
        </w:rPr>
        <w:t>投标人应按照招标文件要求和“用户需求书”作出响应，如有差异的在“差异描述”栏中详细描述差异情况。若以上表格如为空白，则表示无偏离，即完全满足招标文件的用户需求书条款。</w:t>
      </w:r>
    </w:p>
    <w:p w14:paraId="694AF3F0">
      <w:pPr>
        <w:spacing w:line="240" w:lineRule="auto"/>
        <w:ind w:left="2" w:leftChars="1" w:firstLine="315" w:firstLineChars="150"/>
        <w:rPr>
          <w:color w:val="auto"/>
          <w:highlight w:val="none"/>
        </w:rPr>
      </w:pPr>
      <w:r>
        <w:rPr>
          <w:rFonts w:hint="eastAsia" w:ascii="宋体" w:hAnsi="Times New Roman" w:eastAsia="宋体" w:cs="Times New Roman"/>
          <w:color w:val="auto"/>
          <w:szCs w:val="21"/>
          <w:highlight w:val="none"/>
        </w:rPr>
        <w:t>2.如上述条款有要求提供证明材料的按顺序附在本表后并在“对应页码（如有）”栏增加标注证明材料的页码，否则不予认定。</w:t>
      </w:r>
    </w:p>
    <w:p w14:paraId="2DA262CE">
      <w:pPr>
        <w:spacing w:line="240" w:lineRule="auto"/>
        <w:ind w:left="2" w:leftChars="1" w:firstLine="315" w:firstLineChars="150"/>
        <w:rPr>
          <w:rFonts w:ascii="宋体"/>
          <w:color w:val="auto"/>
          <w:szCs w:val="21"/>
          <w:highlight w:val="none"/>
        </w:rPr>
      </w:pPr>
      <w:r>
        <w:rPr>
          <w:rFonts w:hint="eastAsia" w:ascii="宋体"/>
          <w:color w:val="auto"/>
          <w:szCs w:val="21"/>
          <w:highlight w:val="none"/>
          <w:lang w:val="en-US" w:eastAsia="zh-CN"/>
        </w:rPr>
        <w:t>3</w:t>
      </w:r>
      <w:r>
        <w:rPr>
          <w:rFonts w:hint="eastAsia" w:ascii="宋体"/>
          <w:color w:val="auto"/>
          <w:szCs w:val="21"/>
          <w:highlight w:val="none"/>
        </w:rPr>
        <w:t>.对于在投标文件其他地方的描述与本表描述有差异的，以本表为准。评标委员会若注意到该差异，可要求投标人澄清（除不允许偏离的★条款外）或视为完全响应；若未注意到，则视为完全响应。中标人必须按照用户需求书及本表的实际响应情况供货并提供服务，否则按提供虚假材料处理，已中标的取消中标资格。</w:t>
      </w:r>
    </w:p>
    <w:p w14:paraId="57CF51F8">
      <w:pPr>
        <w:rPr>
          <w:rFonts w:hint="eastAsia" w:ascii="宋体" w:hAnsi="宋体" w:cs="宋体"/>
          <w:color w:val="auto"/>
          <w:highlight w:val="none"/>
        </w:rPr>
      </w:pPr>
    </w:p>
    <w:p w14:paraId="54EC0BF2">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3D154FB0">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5063D1FF">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4F841B33">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4DA7A2C4">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7CE0B0A4">
      <w:pPr>
        <w:tabs>
          <w:tab w:val="left" w:pos="7200"/>
        </w:tabs>
        <w:autoSpaceDE w:val="0"/>
        <w:autoSpaceDN w:val="0"/>
        <w:adjustRightInd w:val="0"/>
        <w:spacing w:line="300" w:lineRule="auto"/>
        <w:jc w:val="left"/>
        <w:rPr>
          <w:rFonts w:hint="eastAsia" w:ascii="宋体" w:hAnsi="宋体" w:cs="宋体"/>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格式6.1.2</w:t>
      </w:r>
    </w:p>
    <w:p w14:paraId="48607B92">
      <w:pPr>
        <w:spacing w:line="360" w:lineRule="auto"/>
        <w:jc w:val="center"/>
        <w:rPr>
          <w:rFonts w:hint="eastAsia" w:ascii="宋体" w:hAnsi="宋体" w:cs="宋体"/>
          <w:b/>
          <w:color w:val="auto"/>
          <w:sz w:val="32"/>
          <w:szCs w:val="36"/>
          <w:highlight w:val="none"/>
        </w:rPr>
      </w:pPr>
      <w:r>
        <w:rPr>
          <w:rFonts w:hint="eastAsia" w:ascii="宋体" w:hAnsi="宋体" w:cs="宋体"/>
          <w:b/>
          <w:color w:val="auto"/>
          <w:sz w:val="28"/>
          <w:szCs w:val="28"/>
          <w:highlight w:val="none"/>
        </w:rPr>
        <w:t>关键条款响应表</w:t>
      </w:r>
    </w:p>
    <w:p w14:paraId="523F881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937"/>
        <w:gridCol w:w="2060"/>
        <w:gridCol w:w="1534"/>
        <w:gridCol w:w="1287"/>
        <w:gridCol w:w="917"/>
        <w:gridCol w:w="1827"/>
      </w:tblGrid>
      <w:tr w14:paraId="47ADA062">
        <w:tblPrEx>
          <w:tblCellMar>
            <w:top w:w="0" w:type="dxa"/>
            <w:left w:w="30" w:type="dxa"/>
            <w:bottom w:w="0" w:type="dxa"/>
            <w:right w:w="30" w:type="dxa"/>
          </w:tblCellMar>
        </w:tblPrEx>
        <w:trPr>
          <w:cantSplit/>
          <w:trHeight w:val="672" w:hRule="atLeast"/>
        </w:trPr>
        <w:tc>
          <w:tcPr>
            <w:tcW w:w="547" w:type="pct"/>
            <w:noWrap w:val="0"/>
            <w:vAlign w:val="center"/>
          </w:tcPr>
          <w:p w14:paraId="2D77CB71">
            <w:pPr>
              <w:autoSpaceDE w:val="0"/>
              <w:autoSpaceDN w:val="0"/>
              <w:adjustRightInd w:val="0"/>
              <w:jc w:val="center"/>
              <w:rPr>
                <w:rFonts w:hint="eastAsia" w:ascii="宋体" w:hAnsi="宋体" w:cs="宋体"/>
                <w:b w:val="0"/>
                <w:bCs w:val="0"/>
                <w:color w:val="auto"/>
                <w:highlight w:val="none"/>
              </w:rPr>
            </w:pPr>
            <w:r>
              <w:rPr>
                <w:rFonts w:hint="eastAsia" w:ascii="宋体" w:hAnsi="宋体" w:cs="宋体"/>
                <w:b w:val="0"/>
                <w:bCs w:val="0"/>
                <w:color w:val="auto"/>
                <w:highlight w:val="none"/>
              </w:rPr>
              <w:t>用户需求书相应序号</w:t>
            </w:r>
          </w:p>
        </w:tc>
        <w:tc>
          <w:tcPr>
            <w:tcW w:w="1202" w:type="pct"/>
            <w:noWrap w:val="0"/>
            <w:vAlign w:val="center"/>
          </w:tcPr>
          <w:p w14:paraId="1931A2CD">
            <w:pPr>
              <w:autoSpaceDE w:val="0"/>
              <w:autoSpaceDN w:val="0"/>
              <w:adjustRightInd w:val="0"/>
              <w:jc w:val="center"/>
              <w:rPr>
                <w:rFonts w:hint="eastAsia" w:ascii="宋体" w:hAnsi="宋体" w:cs="宋体"/>
                <w:b w:val="0"/>
                <w:bCs w:val="0"/>
                <w:color w:val="auto"/>
                <w:highlight w:val="none"/>
              </w:rPr>
            </w:pPr>
            <w:r>
              <w:rPr>
                <w:rFonts w:hint="eastAsia" w:ascii="宋体" w:hAnsi="宋体" w:cs="宋体"/>
                <w:b w:val="0"/>
                <w:bCs w:val="0"/>
                <w:color w:val="auto"/>
                <w:highlight w:val="none"/>
              </w:rPr>
              <w:t>关键条款（★条款）相关内容</w:t>
            </w:r>
          </w:p>
        </w:tc>
        <w:tc>
          <w:tcPr>
            <w:tcW w:w="895" w:type="pct"/>
            <w:noWrap w:val="0"/>
            <w:vAlign w:val="center"/>
          </w:tcPr>
          <w:p w14:paraId="4634D13B">
            <w:pPr>
              <w:jc w:val="center"/>
              <w:rPr>
                <w:b w:val="0"/>
                <w:bCs w:val="0"/>
                <w:color w:val="auto"/>
                <w:highlight w:val="none"/>
              </w:rPr>
            </w:pPr>
            <w:r>
              <w:rPr>
                <w:rFonts w:hint="eastAsia"/>
                <w:b w:val="0"/>
                <w:bCs w:val="0"/>
                <w:color w:val="auto"/>
                <w:highlight w:val="none"/>
              </w:rPr>
              <w:t>投标响应的实际情况</w:t>
            </w:r>
          </w:p>
          <w:p w14:paraId="7B8077F5">
            <w:pPr>
              <w:jc w:val="center"/>
              <w:rPr>
                <w:rFonts w:hint="eastAsia" w:ascii="宋体" w:hAnsi="宋体" w:cs="宋体"/>
                <w:b w:val="0"/>
                <w:bCs w:val="0"/>
                <w:color w:val="auto"/>
                <w:highlight w:val="none"/>
              </w:rPr>
            </w:pPr>
            <w:r>
              <w:rPr>
                <w:rFonts w:hint="eastAsia"/>
                <w:b w:val="0"/>
                <w:bCs w:val="0"/>
                <w:color w:val="auto"/>
                <w:highlight w:val="none"/>
              </w:rPr>
              <w:t>（具体参数值或响应内容）</w:t>
            </w:r>
          </w:p>
        </w:tc>
        <w:tc>
          <w:tcPr>
            <w:tcW w:w="751" w:type="pct"/>
            <w:noWrap w:val="0"/>
            <w:vAlign w:val="center"/>
          </w:tcPr>
          <w:p w14:paraId="36E7A07B">
            <w:pPr>
              <w:jc w:val="center"/>
              <w:rPr>
                <w:b w:val="0"/>
                <w:bCs w:val="0"/>
                <w:color w:val="auto"/>
                <w:highlight w:val="none"/>
              </w:rPr>
            </w:pPr>
            <w:r>
              <w:rPr>
                <w:rFonts w:hint="eastAsia"/>
                <w:b w:val="0"/>
                <w:bCs w:val="0"/>
                <w:color w:val="auto"/>
                <w:highlight w:val="none"/>
              </w:rPr>
              <w:t>响应情况</w:t>
            </w:r>
          </w:p>
          <w:p w14:paraId="79AD6C4F">
            <w:pPr>
              <w:jc w:val="center"/>
              <w:rPr>
                <w:rFonts w:hint="eastAsia" w:ascii="宋体" w:hAnsi="宋体" w:cs="宋体"/>
                <w:b w:val="0"/>
                <w:bCs w:val="0"/>
                <w:color w:val="auto"/>
                <w:highlight w:val="none"/>
              </w:rPr>
            </w:pPr>
            <w:r>
              <w:rPr>
                <w:rFonts w:hint="eastAsia"/>
                <w:b w:val="0"/>
                <w:bCs w:val="0"/>
                <w:color w:val="auto"/>
                <w:highlight w:val="none"/>
              </w:rPr>
              <w:t>（正偏离/无偏离/负偏离）</w:t>
            </w:r>
          </w:p>
        </w:tc>
        <w:tc>
          <w:tcPr>
            <w:tcW w:w="535" w:type="pct"/>
            <w:noWrap w:val="0"/>
            <w:vAlign w:val="center"/>
          </w:tcPr>
          <w:p w14:paraId="05EF7633">
            <w:pPr>
              <w:jc w:val="center"/>
              <w:rPr>
                <w:rFonts w:hint="eastAsia" w:ascii="宋体" w:hAnsi="宋体" w:cs="宋体"/>
                <w:b w:val="0"/>
                <w:bCs w:val="0"/>
                <w:color w:val="auto"/>
                <w:highlight w:val="none"/>
              </w:rPr>
            </w:pPr>
            <w:r>
              <w:rPr>
                <w:rFonts w:hint="eastAsia"/>
                <w:b w:val="0"/>
                <w:bCs w:val="0"/>
                <w:color w:val="auto"/>
                <w:highlight w:val="none"/>
              </w:rPr>
              <w:t>差异说明</w:t>
            </w:r>
          </w:p>
        </w:tc>
        <w:tc>
          <w:tcPr>
            <w:tcW w:w="1066" w:type="pct"/>
            <w:noWrap w:val="0"/>
            <w:vAlign w:val="center"/>
          </w:tcPr>
          <w:p w14:paraId="1A7DB990">
            <w:pPr>
              <w:jc w:val="center"/>
              <w:rPr>
                <w:rFonts w:hint="eastAsia"/>
                <w:b w:val="0"/>
                <w:bCs w:val="0"/>
                <w:color w:val="auto"/>
                <w:highlight w:val="none"/>
              </w:rPr>
            </w:pPr>
            <w:r>
              <w:rPr>
                <w:rFonts w:hint="eastAsia"/>
                <w:b w:val="0"/>
                <w:bCs w:val="0"/>
                <w:color w:val="auto"/>
                <w:highlight w:val="none"/>
              </w:rPr>
              <w:t>对应页码（如有）</w:t>
            </w:r>
          </w:p>
        </w:tc>
      </w:tr>
      <w:tr w14:paraId="009C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5F49AB5E">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55FDE4EB">
            <w:pPr>
              <w:autoSpaceDE w:val="0"/>
              <w:autoSpaceDN w:val="0"/>
              <w:adjustRightInd w:val="0"/>
              <w:jc w:val="center"/>
              <w:rPr>
                <w:rFonts w:hint="eastAsia" w:ascii="宋体" w:hAnsi="宋体" w:cs="宋体"/>
                <w:b w:val="0"/>
                <w:bCs w:val="0"/>
                <w:color w:val="auto"/>
                <w:sz w:val="22"/>
                <w:szCs w:val="22"/>
                <w:highlight w:val="none"/>
                <w:lang w:bidi="ar"/>
              </w:rPr>
            </w:pPr>
          </w:p>
        </w:tc>
        <w:tc>
          <w:tcPr>
            <w:tcW w:w="895" w:type="pct"/>
            <w:noWrap w:val="0"/>
            <w:vAlign w:val="center"/>
          </w:tcPr>
          <w:p w14:paraId="19047949">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4F956868">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0FAA8473">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255EC82E">
            <w:pPr>
              <w:autoSpaceDE w:val="0"/>
              <w:autoSpaceDN w:val="0"/>
              <w:adjustRightInd w:val="0"/>
              <w:jc w:val="center"/>
              <w:rPr>
                <w:rFonts w:hint="eastAsia" w:ascii="宋体" w:hAnsi="宋体" w:cs="宋体"/>
                <w:b w:val="0"/>
                <w:bCs w:val="0"/>
                <w:color w:val="auto"/>
                <w:w w:val="80"/>
                <w:highlight w:val="none"/>
              </w:rPr>
            </w:pPr>
          </w:p>
        </w:tc>
      </w:tr>
      <w:tr w14:paraId="5E4F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34D80084">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5512DDFA">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5F77A45A">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29FF8358">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4B865AD8">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6AE30ADF">
            <w:pPr>
              <w:autoSpaceDE w:val="0"/>
              <w:autoSpaceDN w:val="0"/>
              <w:adjustRightInd w:val="0"/>
              <w:jc w:val="center"/>
              <w:rPr>
                <w:rFonts w:hint="eastAsia" w:ascii="宋体" w:hAnsi="宋体" w:cs="宋体"/>
                <w:b w:val="0"/>
                <w:bCs w:val="0"/>
                <w:color w:val="auto"/>
                <w:w w:val="80"/>
                <w:highlight w:val="none"/>
              </w:rPr>
            </w:pPr>
          </w:p>
        </w:tc>
      </w:tr>
      <w:tr w14:paraId="0C64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3EA396AF">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6362526F">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35A0E463">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4DB56C83">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4C97329D">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0D8052DC">
            <w:pPr>
              <w:autoSpaceDE w:val="0"/>
              <w:autoSpaceDN w:val="0"/>
              <w:adjustRightInd w:val="0"/>
              <w:jc w:val="center"/>
              <w:rPr>
                <w:rFonts w:hint="eastAsia" w:ascii="宋体" w:hAnsi="宋体" w:cs="宋体"/>
                <w:b w:val="0"/>
                <w:bCs w:val="0"/>
                <w:color w:val="auto"/>
                <w:w w:val="80"/>
                <w:highlight w:val="none"/>
              </w:rPr>
            </w:pPr>
          </w:p>
        </w:tc>
      </w:tr>
      <w:tr w14:paraId="4396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49BAD97B">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21915C70">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4C12839D">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7E4ED77D">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1C1D7E40">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1F8FBA98">
            <w:pPr>
              <w:autoSpaceDE w:val="0"/>
              <w:autoSpaceDN w:val="0"/>
              <w:adjustRightInd w:val="0"/>
              <w:jc w:val="center"/>
              <w:rPr>
                <w:rFonts w:hint="eastAsia" w:ascii="宋体" w:hAnsi="宋体" w:cs="宋体"/>
                <w:b w:val="0"/>
                <w:bCs w:val="0"/>
                <w:color w:val="auto"/>
                <w:w w:val="80"/>
                <w:highlight w:val="none"/>
              </w:rPr>
            </w:pPr>
          </w:p>
        </w:tc>
      </w:tr>
      <w:tr w14:paraId="407C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428FE271">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60EECF72">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5C9EE4D6">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28BEB459">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6D60A4F5">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57F38EC9">
            <w:pPr>
              <w:autoSpaceDE w:val="0"/>
              <w:autoSpaceDN w:val="0"/>
              <w:adjustRightInd w:val="0"/>
              <w:jc w:val="center"/>
              <w:rPr>
                <w:rFonts w:hint="eastAsia" w:ascii="宋体" w:hAnsi="宋体" w:cs="宋体"/>
                <w:b w:val="0"/>
                <w:bCs w:val="0"/>
                <w:color w:val="auto"/>
                <w:w w:val="80"/>
                <w:highlight w:val="none"/>
              </w:rPr>
            </w:pPr>
          </w:p>
        </w:tc>
      </w:tr>
    </w:tbl>
    <w:p w14:paraId="6FFE85C6">
      <w:pPr>
        <w:spacing w:line="360" w:lineRule="auto"/>
        <w:rPr>
          <w:rFonts w:hint="eastAsia" w:ascii="宋体" w:hAnsi="宋体" w:cs="宋体"/>
          <w:color w:val="auto"/>
          <w:sz w:val="24"/>
          <w:highlight w:val="none"/>
        </w:rPr>
      </w:pPr>
    </w:p>
    <w:p w14:paraId="15057384">
      <w:pPr>
        <w:spacing w:line="360" w:lineRule="auto"/>
        <w:ind w:firstLine="422" w:firstLineChars="200"/>
        <w:rPr>
          <w:rFonts w:hint="eastAsia" w:ascii="宋体" w:hAnsi="宋体" w:eastAsia="宋体" w:cs="宋体"/>
          <w:color w:val="auto"/>
          <w:sz w:val="21"/>
          <w:szCs w:val="21"/>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w:t>
      </w:r>
      <w:r>
        <w:rPr>
          <w:rFonts w:hint="eastAsia" w:ascii="宋体" w:hAnsi="宋体" w:eastAsia="宋体" w:cs="宋体"/>
          <w:color w:val="auto"/>
          <w:sz w:val="21"/>
          <w:szCs w:val="21"/>
          <w:highlight w:val="none"/>
        </w:rPr>
        <w:t>1.投标人必须对招标文件用户需求书的带“★”的条款内容逐条响应，如果有偏离的条款应具体、明确表述。</w:t>
      </w:r>
    </w:p>
    <w:p w14:paraId="6256238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2.如上述条款有要求提供证明材料的按顺序附在本表后</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“对应页码（如有）”</w:t>
      </w:r>
      <w:r>
        <w:rPr>
          <w:rFonts w:hint="eastAsia" w:ascii="宋体" w:hAnsi="宋体" w:eastAsia="宋体" w:cs="宋体"/>
          <w:color w:val="auto"/>
          <w:sz w:val="21"/>
          <w:szCs w:val="21"/>
          <w:highlight w:val="none"/>
        </w:rPr>
        <w:t>栏增加标注证明材料的页码，否则不予认定。</w:t>
      </w:r>
    </w:p>
    <w:p w14:paraId="56551D6F">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3.当招标文件中未设置“★”项条款时，应在此表中直接填写：本项目未设置“★”条款。</w:t>
      </w:r>
    </w:p>
    <w:p w14:paraId="36916E78">
      <w:pPr>
        <w:autoSpaceDE w:val="0"/>
        <w:autoSpaceDN w:val="0"/>
        <w:adjustRightInd w:val="0"/>
        <w:jc w:val="left"/>
        <w:rPr>
          <w:rFonts w:hint="eastAsia" w:ascii="宋体" w:hAnsi="宋体"/>
          <w:color w:val="auto"/>
        </w:rPr>
      </w:pPr>
    </w:p>
    <w:p w14:paraId="69728547">
      <w:pPr>
        <w:spacing w:line="360" w:lineRule="auto"/>
        <w:jc w:val="left"/>
        <w:rPr>
          <w:rFonts w:hint="eastAsia" w:ascii="宋体" w:hAnsi="宋体" w:cs="宋体"/>
          <w:color w:val="auto"/>
          <w:sz w:val="24"/>
          <w:highlight w:val="none"/>
        </w:rPr>
      </w:pPr>
    </w:p>
    <w:p w14:paraId="1C2EB9B6">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05E6B5B6">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11BDAD2F">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66EAA2F0">
      <w:pPr>
        <w:tabs>
          <w:tab w:val="left" w:pos="676"/>
          <w:tab w:val="left" w:pos="2330"/>
          <w:tab w:val="left" w:pos="9230"/>
        </w:tabs>
        <w:autoSpaceDE w:val="0"/>
        <w:autoSpaceDN w:val="0"/>
        <w:adjustRightInd w:val="0"/>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格式6.2</w:t>
      </w:r>
    </w:p>
    <w:p w14:paraId="2B314F09">
      <w:pPr>
        <w:spacing w:line="360" w:lineRule="auto"/>
        <w:ind w:firstLine="425"/>
        <w:jc w:val="center"/>
        <w:rPr>
          <w:rFonts w:hint="eastAsia" w:ascii="宋体" w:hAnsi="宋体" w:cs="宋体"/>
          <w:b/>
          <w:color w:val="auto"/>
          <w:sz w:val="28"/>
          <w:szCs w:val="28"/>
          <w:highlight w:val="none"/>
          <w:lang w:val="en-US" w:eastAsia="zh-CN"/>
        </w:rPr>
      </w:pPr>
      <w:r>
        <w:rPr>
          <w:rFonts w:hint="eastAsia" w:ascii="宋体" w:hAnsi="宋体"/>
          <w:b/>
          <w:color w:val="auto"/>
          <w:sz w:val="28"/>
          <w:szCs w:val="28"/>
          <w:highlight w:val="none"/>
        </w:rPr>
        <w:t>项目重点、难点理解分析</w:t>
      </w:r>
    </w:p>
    <w:p w14:paraId="46115E60">
      <w:pPr>
        <w:spacing w:line="360" w:lineRule="auto"/>
        <w:ind w:firstLine="425"/>
        <w:rPr>
          <w:rFonts w:hint="eastAsia" w:ascii="宋体" w:hAnsi="宋体" w:cs="宋体"/>
          <w:color w:val="auto"/>
          <w:highlight w:val="none"/>
        </w:rPr>
      </w:pPr>
    </w:p>
    <w:p w14:paraId="42052E79">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7F35A926">
      <w:pPr>
        <w:spacing w:line="360" w:lineRule="auto"/>
        <w:ind w:firstLine="425"/>
        <w:jc w:val="center"/>
        <w:rPr>
          <w:rFonts w:hint="eastAsia" w:ascii="宋体" w:hAnsi="宋体" w:cs="宋体"/>
          <w:b/>
          <w:color w:val="auto"/>
          <w:sz w:val="28"/>
          <w:szCs w:val="28"/>
          <w:highlight w:val="none"/>
          <w:lang w:val="en-US" w:eastAsia="zh-CN"/>
        </w:rPr>
      </w:pPr>
    </w:p>
    <w:p w14:paraId="5E3E90B5">
      <w:pPr>
        <w:bidi w:val="0"/>
        <w:rPr>
          <w:rFonts w:hint="eastAsia"/>
          <w:color w:val="auto"/>
          <w:highlight w:val="none"/>
          <w:lang w:val="en-US" w:eastAsia="zh-CN"/>
        </w:rPr>
      </w:pPr>
    </w:p>
    <w:p w14:paraId="4450E5E3">
      <w:pPr>
        <w:tabs>
          <w:tab w:val="left" w:pos="676"/>
          <w:tab w:val="left" w:pos="2330"/>
          <w:tab w:val="left" w:pos="9230"/>
        </w:tabs>
        <w:autoSpaceDE w:val="0"/>
        <w:autoSpaceDN w:val="0"/>
        <w:adjustRightInd w:val="0"/>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3</w:t>
      </w:r>
    </w:p>
    <w:p w14:paraId="1F262787">
      <w:pPr>
        <w:pStyle w:val="13"/>
        <w:rPr>
          <w:rFonts w:hint="eastAsia"/>
          <w:color w:val="auto"/>
          <w:highlight w:val="none"/>
          <w:lang w:val="en-US" w:eastAsia="zh-CN"/>
        </w:rPr>
      </w:pPr>
    </w:p>
    <w:p w14:paraId="52160AE6">
      <w:pPr>
        <w:spacing w:line="360" w:lineRule="auto"/>
        <w:ind w:firstLine="425"/>
        <w:jc w:val="center"/>
        <w:rPr>
          <w:rFonts w:hint="eastAsia" w:ascii="宋体" w:hAnsi="宋体" w:eastAsia="宋体" w:cs="宋体"/>
          <w:b/>
          <w:color w:val="auto"/>
          <w:sz w:val="28"/>
          <w:szCs w:val="28"/>
          <w:highlight w:val="none"/>
          <w:lang w:val="en-US" w:eastAsia="zh-CN"/>
        </w:rPr>
      </w:pPr>
      <w:r>
        <w:rPr>
          <w:rFonts w:hint="eastAsia" w:ascii="宋体" w:hAnsi="宋体"/>
          <w:b/>
          <w:bCs/>
          <w:color w:val="auto"/>
          <w:sz w:val="28"/>
          <w:szCs w:val="28"/>
          <w:highlight w:val="none"/>
        </w:rPr>
        <w:t>服务方案</w:t>
      </w:r>
    </w:p>
    <w:p w14:paraId="38A8C6AA">
      <w:pPr>
        <w:spacing w:line="360" w:lineRule="auto"/>
        <w:ind w:firstLine="0"/>
        <w:rPr>
          <w:rFonts w:hint="eastAsia" w:ascii="宋体" w:hAnsi="宋体" w:cs="宋体"/>
          <w:color w:val="auto"/>
          <w:highlight w:val="none"/>
        </w:rPr>
      </w:pPr>
    </w:p>
    <w:p w14:paraId="3D80031F">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743C9794">
      <w:pPr>
        <w:spacing w:line="360" w:lineRule="auto"/>
        <w:ind w:firstLine="425"/>
        <w:jc w:val="center"/>
        <w:rPr>
          <w:rFonts w:hint="eastAsia" w:ascii="宋体" w:hAnsi="宋体" w:cs="宋体"/>
          <w:b/>
          <w:color w:val="auto"/>
          <w:sz w:val="28"/>
          <w:szCs w:val="28"/>
          <w:highlight w:val="none"/>
          <w:lang w:val="en-US" w:eastAsia="zh-CN"/>
        </w:rPr>
      </w:pPr>
    </w:p>
    <w:p w14:paraId="2649D9D6">
      <w:pPr>
        <w:spacing w:line="360" w:lineRule="auto"/>
        <w:jc w:val="left"/>
        <w:rPr>
          <w:rFonts w:hint="eastAsia" w:ascii="宋体" w:hAnsi="宋体" w:cs="宋体"/>
          <w:b/>
          <w:color w:val="auto"/>
          <w:sz w:val="24"/>
          <w:highlight w:val="none"/>
        </w:rPr>
      </w:pPr>
    </w:p>
    <w:p w14:paraId="0B0C65C1">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4</w:t>
      </w:r>
    </w:p>
    <w:p w14:paraId="09F4FA7D">
      <w:pPr>
        <w:spacing w:line="360" w:lineRule="auto"/>
        <w:ind w:firstLine="425"/>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质量保证措施</w:t>
      </w:r>
    </w:p>
    <w:p w14:paraId="2BB1D8E7">
      <w:pPr>
        <w:spacing w:line="360" w:lineRule="auto"/>
        <w:ind w:left="315" w:hanging="315" w:hangingChars="150"/>
        <w:rPr>
          <w:rFonts w:hint="eastAsia" w:ascii="宋体" w:hAnsi="宋体" w:cs="宋体"/>
          <w:color w:val="auto"/>
          <w:highlight w:val="none"/>
        </w:rPr>
      </w:pPr>
      <w:r>
        <w:rPr>
          <w:rFonts w:hint="eastAsia" w:ascii="宋体" w:hAnsi="宋体" w:cs="宋体"/>
          <w:color w:val="auto"/>
          <w:highlight w:val="none"/>
        </w:rPr>
        <w:t xml:space="preserve">    </w:t>
      </w:r>
    </w:p>
    <w:p w14:paraId="7A28A72E">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4C539D6E">
      <w:pPr>
        <w:spacing w:line="360" w:lineRule="auto"/>
        <w:rPr>
          <w:rFonts w:hint="eastAsia" w:ascii="宋体" w:hAnsi="宋体" w:cs="宋体"/>
          <w:b/>
          <w:color w:val="auto"/>
          <w:sz w:val="24"/>
          <w:highlight w:val="none"/>
        </w:rPr>
      </w:pPr>
    </w:p>
    <w:p w14:paraId="5CAF4966">
      <w:pPr>
        <w:pStyle w:val="13"/>
        <w:rPr>
          <w:rFonts w:hint="eastAsia"/>
          <w:color w:val="auto"/>
          <w:highlight w:val="none"/>
        </w:rPr>
      </w:pPr>
    </w:p>
    <w:p w14:paraId="5620E2F1">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5</w:t>
      </w:r>
    </w:p>
    <w:p w14:paraId="76374974">
      <w:pPr>
        <w:spacing w:line="360" w:lineRule="auto"/>
        <w:ind w:firstLine="425"/>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应急保障措施</w:t>
      </w:r>
    </w:p>
    <w:p w14:paraId="6EBE09E4">
      <w:pPr>
        <w:spacing w:line="360" w:lineRule="auto"/>
        <w:ind w:firstLine="425"/>
        <w:jc w:val="center"/>
        <w:rPr>
          <w:rFonts w:hint="eastAsia" w:ascii="宋体" w:hAnsi="宋体" w:cs="宋体"/>
          <w:b/>
          <w:color w:val="auto"/>
          <w:sz w:val="28"/>
          <w:szCs w:val="28"/>
          <w:highlight w:val="none"/>
          <w:lang w:eastAsia="zh-CN"/>
        </w:rPr>
      </w:pPr>
    </w:p>
    <w:p w14:paraId="61E0474D">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23EB1647">
      <w:pPr>
        <w:spacing w:line="360" w:lineRule="auto"/>
        <w:jc w:val="center"/>
        <w:rPr>
          <w:rFonts w:hint="eastAsia" w:ascii="宋体" w:hAnsi="宋体" w:cs="宋体"/>
          <w:b/>
          <w:color w:val="auto"/>
          <w:sz w:val="28"/>
          <w:highlight w:val="none"/>
        </w:rPr>
      </w:pPr>
    </w:p>
    <w:p w14:paraId="7B2C30B1">
      <w:pPr>
        <w:pStyle w:val="13"/>
        <w:rPr>
          <w:rFonts w:hint="eastAsia"/>
          <w:color w:val="auto"/>
          <w:highlight w:val="none"/>
        </w:rPr>
      </w:pPr>
    </w:p>
    <w:p w14:paraId="23B43B54">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6</w:t>
      </w:r>
    </w:p>
    <w:p w14:paraId="0F66DD40">
      <w:pPr>
        <w:pStyle w:val="13"/>
        <w:rPr>
          <w:rFonts w:hint="eastAsia" w:ascii="宋体" w:hAnsi="宋体" w:cs="宋体"/>
          <w:color w:val="auto"/>
          <w:highlight w:val="none"/>
        </w:rPr>
      </w:pPr>
    </w:p>
    <w:p w14:paraId="59903645">
      <w:pPr>
        <w:spacing w:line="360" w:lineRule="auto"/>
        <w:jc w:val="center"/>
        <w:rPr>
          <w:rFonts w:hint="eastAsia" w:ascii="宋体" w:hAnsi="宋体" w:cs="宋体"/>
          <w:b/>
          <w:color w:val="auto"/>
          <w:sz w:val="28"/>
          <w:highlight w:val="none"/>
        </w:rPr>
      </w:pPr>
      <w:r>
        <w:rPr>
          <w:rFonts w:hint="eastAsia" w:ascii="宋体" w:hAnsi="宋体"/>
          <w:b/>
          <w:color w:val="auto"/>
          <w:sz w:val="28"/>
        </w:rPr>
        <w:t>技术标评分细则需要提供的资料（如有）</w:t>
      </w:r>
    </w:p>
    <w:p w14:paraId="50CD70D4">
      <w:pPr>
        <w:jc w:val="center"/>
        <w:rPr>
          <w:rFonts w:hint="eastAsia" w:ascii="宋体" w:hAnsi="宋体" w:cs="宋体"/>
          <w:color w:val="auto"/>
          <w:highlight w:val="none"/>
        </w:rPr>
      </w:pPr>
    </w:p>
    <w:p w14:paraId="1369DE67">
      <w:pPr>
        <w:spacing w:line="360" w:lineRule="auto"/>
        <w:rPr>
          <w:rFonts w:hint="eastAsia" w:ascii="宋体" w:hAnsi="宋体" w:cs="宋体"/>
          <w:color w:val="auto"/>
          <w:highlight w:val="none"/>
        </w:rPr>
      </w:pPr>
      <w:r>
        <w:rPr>
          <w:rFonts w:hint="eastAsia" w:ascii="宋体" w:hAnsi="宋体" w:cs="宋体"/>
          <w:color w:val="auto"/>
          <w:highlight w:val="none"/>
        </w:rPr>
        <w:t xml:space="preserve">  请投标人详细描述中标合同执行阶段需招标人配合的工作内容。</w:t>
      </w:r>
    </w:p>
    <w:p w14:paraId="4B3B9154">
      <w:pPr>
        <w:spacing w:line="360" w:lineRule="auto"/>
        <w:ind w:firstLine="425"/>
        <w:jc w:val="center"/>
        <w:rPr>
          <w:rFonts w:hint="eastAsia" w:ascii="宋体" w:hAnsi="宋体" w:cs="宋体"/>
          <w:b/>
          <w:color w:val="auto"/>
          <w:sz w:val="28"/>
          <w:szCs w:val="28"/>
          <w:highlight w:val="none"/>
          <w:lang w:val="en-US" w:eastAsia="zh-CN"/>
        </w:rPr>
      </w:pPr>
    </w:p>
    <w:p w14:paraId="2EE09C25">
      <w:pPr>
        <w:spacing w:line="360" w:lineRule="auto"/>
        <w:rPr>
          <w:rFonts w:hint="eastAsia" w:ascii="宋体" w:hAnsi="宋体" w:cs="宋体"/>
          <w:b/>
          <w:color w:val="auto"/>
          <w:sz w:val="24"/>
          <w:highlight w:val="none"/>
        </w:rPr>
      </w:pPr>
    </w:p>
    <w:p w14:paraId="0D94A2A8">
      <w:pPr>
        <w:spacing w:line="360" w:lineRule="auto"/>
        <w:rPr>
          <w:rFonts w:hint="eastAsia" w:ascii="宋体" w:hAnsi="宋体" w:eastAsia="宋体" w:cs="宋体"/>
          <w:color w:val="auto"/>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7</w:t>
      </w:r>
    </w:p>
    <w:p w14:paraId="66C3E93F">
      <w:pPr>
        <w:spacing w:line="360" w:lineRule="auto"/>
        <w:jc w:val="center"/>
        <w:rPr>
          <w:rFonts w:ascii="宋体" w:hAnsi="宋体"/>
          <w:b/>
          <w:color w:val="auto"/>
          <w:sz w:val="28"/>
        </w:rPr>
      </w:pPr>
      <w:r>
        <w:rPr>
          <w:rFonts w:ascii="宋体" w:hAnsi="宋体"/>
          <w:b/>
          <w:color w:val="auto"/>
          <w:sz w:val="28"/>
        </w:rPr>
        <w:t>招标人配合内容</w:t>
      </w:r>
      <w:r>
        <w:rPr>
          <w:rFonts w:hint="eastAsia" w:ascii="宋体" w:hAnsi="宋体"/>
          <w:b/>
          <w:color w:val="auto"/>
          <w:sz w:val="28"/>
        </w:rPr>
        <w:t>（如有）</w:t>
      </w:r>
    </w:p>
    <w:p w14:paraId="5683F3AB">
      <w:pPr>
        <w:jc w:val="center"/>
        <w:rPr>
          <w:rFonts w:ascii="宋体" w:hAnsi="宋体"/>
          <w:color w:val="auto"/>
        </w:rPr>
      </w:pPr>
    </w:p>
    <w:p w14:paraId="2FB0A2D8">
      <w:pPr>
        <w:spacing w:line="360" w:lineRule="auto"/>
        <w:jc w:val="center"/>
        <w:rPr>
          <w:rFonts w:hint="eastAsia" w:ascii="宋体" w:hAnsi="宋体" w:cs="宋体"/>
          <w:b/>
          <w:color w:val="auto"/>
          <w:sz w:val="28"/>
          <w:highlight w:val="none"/>
        </w:rPr>
      </w:pPr>
      <w:r>
        <w:rPr>
          <w:rFonts w:ascii="宋体" w:hAnsi="宋体"/>
          <w:color w:val="auto"/>
        </w:rPr>
        <w:t xml:space="preserve">  请投标人详细描述中标合同执行阶段需招标人配合的工作内容</w:t>
      </w:r>
    </w:p>
    <w:p w14:paraId="52A01489">
      <w:pPr>
        <w:spacing w:line="360" w:lineRule="auto"/>
        <w:ind w:firstLine="425"/>
        <w:jc w:val="center"/>
        <w:rPr>
          <w:rFonts w:hint="eastAsia" w:ascii="宋体" w:hAnsi="宋体" w:cs="宋体"/>
          <w:b/>
          <w:color w:val="auto"/>
          <w:sz w:val="28"/>
          <w:szCs w:val="28"/>
          <w:highlight w:val="none"/>
          <w:lang w:val="en-US" w:eastAsia="zh-CN"/>
        </w:rPr>
      </w:pPr>
    </w:p>
    <w:p w14:paraId="3B5DAA5E">
      <w:pPr>
        <w:spacing w:line="360" w:lineRule="auto"/>
        <w:rPr>
          <w:rFonts w:hint="eastAsia" w:ascii="宋体" w:hAnsi="宋体" w:eastAsia="宋体"/>
          <w:color w:val="auto"/>
          <w:lang w:eastAsia="zh-CN"/>
        </w:rPr>
      </w:pPr>
      <w:r>
        <w:rPr>
          <w:rFonts w:ascii="宋体" w:hAnsi="宋体"/>
          <w:b/>
          <w:color w:val="auto"/>
          <w:sz w:val="24"/>
        </w:rPr>
        <w:t>格式</w:t>
      </w:r>
      <w:r>
        <w:rPr>
          <w:rFonts w:hint="eastAsia" w:ascii="宋体" w:hAnsi="宋体"/>
          <w:b/>
          <w:color w:val="auto"/>
          <w:sz w:val="24"/>
        </w:rPr>
        <w:t>6</w:t>
      </w:r>
      <w:r>
        <w:rPr>
          <w:rFonts w:ascii="宋体" w:hAnsi="宋体"/>
          <w:b/>
          <w:color w:val="auto"/>
          <w:sz w:val="24"/>
        </w:rPr>
        <w:t>.</w:t>
      </w:r>
      <w:r>
        <w:rPr>
          <w:rFonts w:hint="eastAsia" w:ascii="宋体" w:hAnsi="宋体"/>
          <w:b/>
          <w:color w:val="auto"/>
          <w:sz w:val="24"/>
          <w:lang w:val="en-US" w:eastAsia="zh-CN"/>
        </w:rPr>
        <w:t>8</w:t>
      </w:r>
    </w:p>
    <w:p w14:paraId="567536B6">
      <w:pPr>
        <w:spacing w:line="360" w:lineRule="auto"/>
        <w:jc w:val="center"/>
        <w:rPr>
          <w:rFonts w:hint="eastAsia" w:ascii="宋体" w:hAnsi="宋体" w:cs="宋体"/>
          <w:color w:val="auto"/>
          <w:highlight w:val="none"/>
        </w:rPr>
      </w:pPr>
      <w:r>
        <w:rPr>
          <w:rFonts w:ascii="宋体" w:hAnsi="宋体"/>
          <w:b/>
          <w:color w:val="auto"/>
          <w:sz w:val="28"/>
        </w:rPr>
        <w:t>投标人</w:t>
      </w:r>
      <w:r>
        <w:rPr>
          <w:rFonts w:hint="eastAsia" w:ascii="宋体" w:hAnsi="宋体"/>
          <w:b/>
          <w:color w:val="auto"/>
          <w:sz w:val="28"/>
        </w:rPr>
        <w:t>认为有必要提供的其他文件（如有）</w:t>
      </w:r>
    </w:p>
    <w:p w14:paraId="6DFDD459">
      <w:pPr>
        <w:tabs>
          <w:tab w:val="left" w:pos="2600"/>
        </w:tabs>
        <w:spacing w:line="300" w:lineRule="exact"/>
        <w:rPr>
          <w:rFonts w:hint="eastAsia" w:ascii="宋体" w:hAnsi="宋体" w:cs="宋体"/>
          <w:b/>
          <w:color w:val="auto"/>
          <w:sz w:val="24"/>
          <w:highlight w:val="none"/>
        </w:rPr>
      </w:pPr>
    </w:p>
    <w:p w14:paraId="18E6B276">
      <w:pPr>
        <w:pStyle w:val="17"/>
        <w:spacing w:line="360" w:lineRule="auto"/>
        <w:ind w:left="4700" w:leftChars="2238"/>
        <w:rPr>
          <w:rFonts w:hint="eastAsia" w:hAnsi="宋体" w:cs="宋体"/>
          <w:color w:val="auto"/>
          <w:highlight w:val="none"/>
        </w:rPr>
      </w:pPr>
    </w:p>
    <w:p w14:paraId="565E59EE">
      <w:pPr>
        <w:pStyle w:val="9"/>
        <w:rPr>
          <w:rFonts w:hint="eastAsia" w:ascii="宋体" w:hAnsi="宋体" w:cs="宋体"/>
          <w:color w:val="auto"/>
          <w:highlight w:val="none"/>
        </w:rPr>
        <w:sectPr>
          <w:headerReference r:id="rId10" w:type="default"/>
          <w:footerReference r:id="rId11" w:type="default"/>
          <w:pgSz w:w="11907" w:h="16840"/>
          <w:pgMar w:top="1418" w:right="1701" w:bottom="1418" w:left="1701" w:header="851" w:footer="851" w:gutter="0"/>
          <w:cols w:space="720" w:num="1"/>
          <w:docGrid w:linePitch="285" w:charSpace="0"/>
        </w:sectPr>
      </w:pPr>
    </w:p>
    <w:p w14:paraId="14315C98">
      <w:pPr>
        <w:spacing w:line="360" w:lineRule="auto"/>
        <w:rPr>
          <w:rFonts w:hint="eastAsia" w:ascii="宋体" w:hAnsi="宋体" w:cs="宋体"/>
          <w:b/>
          <w:color w:val="auto"/>
          <w:sz w:val="30"/>
          <w:highlight w:val="none"/>
        </w:rPr>
      </w:pPr>
    </w:p>
    <w:p w14:paraId="5A33F104">
      <w:pPr>
        <w:pStyle w:val="4"/>
        <w:numPr>
          <w:ilvl w:val="0"/>
          <w:numId w:val="0"/>
        </w:numPr>
        <w:ind w:left="422"/>
        <w:rPr>
          <w:rFonts w:hint="eastAsia" w:hAnsi="宋体" w:cs="宋体"/>
          <w:color w:val="auto"/>
          <w:highlight w:val="none"/>
        </w:rPr>
      </w:pPr>
      <w:bookmarkStart w:id="116" w:name="_Toc477186333"/>
      <w:bookmarkStart w:id="117" w:name="_Toc118018368"/>
      <w:bookmarkStart w:id="118" w:name="_Toc477185972"/>
      <w:bookmarkStart w:id="119" w:name="_Toc476177435"/>
      <w:bookmarkStart w:id="120" w:name="_Toc455417786"/>
      <w:bookmarkStart w:id="121" w:name="_Toc476177994"/>
      <w:bookmarkStart w:id="122" w:name="_Toc496161878"/>
      <w:r>
        <w:rPr>
          <w:rFonts w:hint="eastAsia" w:hAnsi="宋体" w:cs="宋体"/>
          <w:color w:val="auto"/>
          <w:highlight w:val="none"/>
        </w:rPr>
        <w:t>七、其他资料格式</w:t>
      </w:r>
      <w:bookmarkEnd w:id="116"/>
      <w:bookmarkEnd w:id="117"/>
      <w:bookmarkEnd w:id="118"/>
      <w:bookmarkEnd w:id="119"/>
      <w:bookmarkEnd w:id="120"/>
      <w:bookmarkEnd w:id="121"/>
      <w:bookmarkEnd w:id="122"/>
    </w:p>
    <w:p w14:paraId="39D0DC6F">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7.1  招标服务费承诺书</w:t>
      </w:r>
    </w:p>
    <w:p w14:paraId="538FC0BA">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7.2  退保证金说明</w:t>
      </w:r>
    </w:p>
    <w:p w14:paraId="299990FD">
      <w:pPr>
        <w:tabs>
          <w:tab w:val="left" w:pos="824"/>
        </w:tabs>
        <w:spacing w:line="360" w:lineRule="auto"/>
        <w:ind w:firstLine="210" w:firstLineChars="100"/>
        <w:rPr>
          <w:rFonts w:hint="eastAsia" w:ascii="宋体" w:hAnsi="宋体" w:cs="宋体"/>
          <w:color w:val="auto"/>
          <w:highlight w:val="none"/>
        </w:rPr>
      </w:pPr>
    </w:p>
    <w:p w14:paraId="475C8EE7">
      <w:pPr>
        <w:rPr>
          <w:rFonts w:hint="eastAsia" w:ascii="宋体" w:hAnsi="宋体" w:cs="宋体"/>
          <w:b/>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7.1招标服务费承诺书</w:t>
      </w:r>
    </w:p>
    <w:p w14:paraId="30B8D767">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招标服务费承诺书</w:t>
      </w:r>
    </w:p>
    <w:p w14:paraId="65D34ED5">
      <w:pPr>
        <w:spacing w:line="360" w:lineRule="auto"/>
        <w:rPr>
          <w:rFonts w:hint="eastAsia" w:ascii="宋体" w:hAnsi="宋体" w:cs="宋体"/>
          <w:color w:val="auto"/>
          <w:sz w:val="24"/>
          <w:highlight w:val="none"/>
        </w:rPr>
      </w:pPr>
    </w:p>
    <w:p w14:paraId="3E4A6E0C">
      <w:pPr>
        <w:spacing w:line="360" w:lineRule="auto"/>
        <w:rPr>
          <w:rFonts w:hint="eastAsia" w:ascii="宋体" w:hAnsi="宋体" w:cs="宋体"/>
          <w:color w:val="auto"/>
          <w:highlight w:val="none"/>
        </w:rPr>
      </w:pPr>
      <w:r>
        <w:rPr>
          <w:rFonts w:hint="eastAsia" w:ascii="宋体" w:hAnsi="宋体" w:cs="宋体"/>
          <w:color w:val="auto"/>
          <w:highlight w:val="none"/>
        </w:rPr>
        <w:t xml:space="preserve">                                                            </w:t>
      </w:r>
    </w:p>
    <w:p w14:paraId="5A0A3331">
      <w:pPr>
        <w:spacing w:line="360" w:lineRule="auto"/>
        <w:rPr>
          <w:rFonts w:hint="eastAsia" w:ascii="宋体" w:hAnsi="宋体" w:cs="宋体"/>
          <w:b/>
          <w:color w:val="auto"/>
          <w:sz w:val="24"/>
          <w:highlight w:val="none"/>
        </w:rPr>
      </w:pPr>
      <w:r>
        <w:rPr>
          <w:rFonts w:hint="eastAsia" w:ascii="宋体" w:hAnsi="宋体" w:cs="宋体"/>
          <w:color w:val="auto"/>
          <w:highlight w:val="none"/>
        </w:rPr>
        <w:t>致</w:t>
      </w:r>
      <w:r>
        <w:rPr>
          <w:rFonts w:hint="eastAsia" w:ascii="宋体" w:hAnsi="宋体" w:cs="宋体"/>
          <w:color w:val="auto"/>
          <w:sz w:val="24"/>
          <w:highlight w:val="none"/>
        </w:rPr>
        <w:t>：</w:t>
      </w:r>
      <w:r>
        <w:rPr>
          <w:rFonts w:hint="eastAsia" w:ascii="宋体" w:hAnsi="宋体" w:cs="宋体"/>
          <w:b/>
          <w:color w:val="auto"/>
          <w:sz w:val="24"/>
          <w:highlight w:val="none"/>
        </w:rPr>
        <w:t>广东省机电设备招标有限公司</w:t>
      </w:r>
    </w:p>
    <w:p w14:paraId="3815FFC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510C072E">
      <w:pPr>
        <w:spacing w:line="360" w:lineRule="auto"/>
        <w:ind w:left="210" w:hanging="210" w:hangingChars="100"/>
        <w:jc w:val="left"/>
        <w:rPr>
          <w:rFonts w:hint="eastAsia" w:ascii="宋体" w:hAnsi="宋体" w:cs="宋体"/>
          <w:color w:val="auto"/>
          <w:highlight w:val="none"/>
        </w:rPr>
      </w:pPr>
      <w:r>
        <w:rPr>
          <w:rFonts w:hint="eastAsia" w:ascii="宋体" w:hAnsi="宋体" w:cs="宋体"/>
          <w:color w:val="auto"/>
          <w:highlight w:val="none"/>
        </w:rPr>
        <w:t xml:space="preserve">       如果我方</w:t>
      </w:r>
      <w:r>
        <w:rPr>
          <w:rFonts w:hint="eastAsia" w:ascii="宋体" w:hAnsi="宋体" w:cs="宋体"/>
          <w:color w:val="auto"/>
          <w:highlight w:val="none"/>
          <w:u w:val="single"/>
        </w:rPr>
        <w:t>（投标人名称）</w:t>
      </w:r>
      <w:r>
        <w:rPr>
          <w:rFonts w:hint="eastAsia" w:ascii="宋体" w:hAnsi="宋体" w:cs="宋体"/>
          <w:color w:val="auto"/>
          <w:highlight w:val="none"/>
        </w:rPr>
        <w:t>在贵单位组织的（</w:t>
      </w:r>
      <w:r>
        <w:rPr>
          <w:rFonts w:hint="eastAsia" w:ascii="宋体" w:hAnsi="宋体" w:cs="宋体"/>
          <w:color w:val="auto"/>
          <w:highlight w:val="none"/>
          <w:u w:val="single"/>
        </w:rPr>
        <w:t>招标项目名称</w:t>
      </w:r>
      <w:r>
        <w:rPr>
          <w:rFonts w:hint="eastAsia" w:ascii="宋体" w:hAnsi="宋体" w:cs="宋体"/>
          <w:color w:val="auto"/>
          <w:highlight w:val="none"/>
        </w:rPr>
        <w:t>）子包（）项目编号为</w:t>
      </w:r>
      <w:r>
        <w:rPr>
          <w:rFonts w:hint="eastAsia" w:ascii="宋体" w:hAnsi="宋体" w:cs="宋体"/>
          <w:color w:val="auto"/>
          <w:highlight w:val="none"/>
          <w:u w:val="single"/>
        </w:rPr>
        <w:t xml:space="preserve">                           </w:t>
      </w:r>
      <w:r>
        <w:rPr>
          <w:rFonts w:hint="eastAsia" w:ascii="宋体" w:hAnsi="宋体" w:cs="宋体"/>
          <w:color w:val="auto"/>
          <w:highlight w:val="none"/>
        </w:rPr>
        <w:t>的相关服务的招标中获中标，我方</w:t>
      </w:r>
      <w:r>
        <w:rPr>
          <w:rFonts w:hint="eastAsia" w:ascii="宋体" w:hAnsi="宋体" w:cs="宋体"/>
          <w:color w:val="auto"/>
          <w:spacing w:val="-6"/>
          <w:highlight w:val="none"/>
        </w:rPr>
        <w:t>保证在收到《中标通知书》的当日，按招标文件要求，向贵单位</w:t>
      </w:r>
      <w:r>
        <w:rPr>
          <w:rFonts w:hint="eastAsia" w:ascii="宋体" w:hAnsi="宋体" w:cs="宋体"/>
          <w:color w:val="auto"/>
          <w:highlight w:val="none"/>
        </w:rPr>
        <w:t>交纳招标服务费（按投标人须知执行）。</w:t>
      </w:r>
    </w:p>
    <w:p w14:paraId="715505A2">
      <w:pPr>
        <w:spacing w:line="360" w:lineRule="auto"/>
        <w:jc w:val="left"/>
        <w:rPr>
          <w:rFonts w:hint="eastAsia" w:ascii="宋体" w:hAnsi="宋体" w:cs="宋体"/>
          <w:color w:val="auto"/>
          <w:highlight w:val="none"/>
        </w:rPr>
      </w:pPr>
    </w:p>
    <w:p w14:paraId="48E0BEAA">
      <w:pPr>
        <w:spacing w:line="360" w:lineRule="auto"/>
        <w:jc w:val="left"/>
        <w:rPr>
          <w:rFonts w:hint="eastAsia" w:ascii="宋体" w:hAnsi="宋体" w:cs="宋体"/>
          <w:color w:val="auto"/>
          <w:highlight w:val="none"/>
        </w:rPr>
      </w:pPr>
      <w:r>
        <w:rPr>
          <w:rFonts w:hint="eastAsia" w:ascii="宋体" w:hAnsi="宋体" w:cs="宋体"/>
          <w:color w:val="auto"/>
          <w:highlight w:val="none"/>
        </w:rPr>
        <w:t xml:space="preserve">       我方如违约，愿凭贵单位开出的违约通知，按上述承诺金额的200％在我方提交的投标保证金中扣付。</w:t>
      </w:r>
    </w:p>
    <w:p w14:paraId="033B4AA9">
      <w:pPr>
        <w:spacing w:line="360" w:lineRule="auto"/>
        <w:rPr>
          <w:rFonts w:hint="eastAsia" w:ascii="宋体" w:hAnsi="宋体" w:cs="宋体"/>
          <w:color w:val="auto"/>
          <w:highlight w:val="none"/>
        </w:rPr>
      </w:pPr>
    </w:p>
    <w:p w14:paraId="4BF2B35C">
      <w:pPr>
        <w:spacing w:line="360" w:lineRule="auto"/>
        <w:rPr>
          <w:rFonts w:hint="eastAsia" w:ascii="宋体" w:hAnsi="宋体" w:cs="宋体"/>
          <w:color w:val="auto"/>
          <w:highlight w:val="none"/>
        </w:rPr>
      </w:pPr>
      <w:r>
        <w:rPr>
          <w:rFonts w:hint="eastAsia" w:ascii="宋体" w:hAnsi="宋体" w:cs="宋体"/>
          <w:color w:val="auto"/>
          <w:highlight w:val="none"/>
        </w:rPr>
        <w:t xml:space="preserve">    特此承诺！</w:t>
      </w:r>
    </w:p>
    <w:p w14:paraId="393625CC">
      <w:pPr>
        <w:spacing w:line="480" w:lineRule="auto"/>
        <w:rPr>
          <w:rFonts w:hint="eastAsia" w:ascii="宋体" w:hAnsi="宋体" w:cs="宋体"/>
          <w:color w:val="auto"/>
          <w:szCs w:val="22"/>
          <w:highlight w:val="none"/>
        </w:rPr>
      </w:pPr>
    </w:p>
    <w:p w14:paraId="43D23A66">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2E80B022">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2FEACAC4">
      <w:pPr>
        <w:spacing w:line="480" w:lineRule="auto"/>
        <w:rPr>
          <w:rFonts w:hint="eastAsia" w:ascii="宋体" w:hAnsi="宋体" w:cs="宋体"/>
          <w:color w:val="auto"/>
          <w:highlight w:val="none"/>
        </w:rPr>
      </w:pPr>
    </w:p>
    <w:p w14:paraId="1D229E37">
      <w:pPr>
        <w:spacing w:line="300" w:lineRule="auto"/>
        <w:rPr>
          <w:rFonts w:hint="eastAsia" w:ascii="宋体" w:hAnsi="宋体" w:cs="宋体"/>
          <w:b/>
          <w:color w:val="auto"/>
          <w:sz w:val="24"/>
          <w:highlight w:val="none"/>
        </w:rPr>
      </w:pPr>
      <w:r>
        <w:rPr>
          <w:rFonts w:hint="eastAsia" w:ascii="宋体" w:hAnsi="宋体" w:cs="宋体"/>
          <w:color w:val="auto"/>
          <w:highlight w:val="none"/>
        </w:rPr>
        <w:br w:type="page"/>
      </w:r>
      <w:bookmarkStart w:id="123" w:name="_Toc496161880"/>
      <w:r>
        <w:rPr>
          <w:rFonts w:hint="eastAsia" w:ascii="宋体" w:hAnsi="宋体" w:cs="宋体"/>
          <w:b/>
          <w:color w:val="auto"/>
          <w:sz w:val="24"/>
          <w:highlight w:val="none"/>
        </w:rPr>
        <w:t>7.2投标保证金退还格式</w:t>
      </w:r>
      <w:bookmarkStart w:id="124" w:name="_Hlt523221392"/>
      <w:bookmarkEnd w:id="124"/>
      <w:r>
        <w:rPr>
          <w:rFonts w:hint="eastAsia" w:ascii="宋体" w:hAnsi="宋体" w:cs="宋体"/>
          <w:b/>
          <w:color w:val="auto"/>
          <w:sz w:val="24"/>
          <w:highlight w:val="none"/>
        </w:rPr>
        <w:t>（样本）</w:t>
      </w:r>
    </w:p>
    <w:p w14:paraId="23CAEB59">
      <w:pPr>
        <w:snapToGrid w:val="0"/>
        <w:jc w:val="center"/>
        <w:rPr>
          <w:rStyle w:val="44"/>
          <w:rFonts w:hint="eastAsia" w:ascii="宋体" w:hAnsi="宋体" w:eastAsia="宋体" w:cs="宋体"/>
          <w:b/>
          <w:color w:val="auto"/>
          <w:spacing w:val="10"/>
          <w:sz w:val="21"/>
          <w:szCs w:val="21"/>
          <w:highlight w:val="none"/>
          <w:lang w:val="zh-CN"/>
        </w:rPr>
      </w:pPr>
      <w:r>
        <w:rPr>
          <w:rStyle w:val="44"/>
          <w:rFonts w:hint="eastAsia" w:ascii="宋体" w:hAnsi="宋体" w:eastAsia="宋体" w:cs="宋体"/>
          <w:b/>
          <w:color w:val="auto"/>
          <w:spacing w:val="10"/>
          <w:sz w:val="21"/>
          <w:szCs w:val="21"/>
          <w:highlight w:val="none"/>
          <w:lang w:val="zh-CN"/>
        </w:rPr>
        <w:t>退保证金说明</w:t>
      </w:r>
    </w:p>
    <w:p w14:paraId="4CFBCFBD">
      <w:pPr>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p>
    <w:p w14:paraId="0B6375F1">
      <w:pPr>
        <w:spacing w:line="360" w:lineRule="auto"/>
        <w:ind w:leftChars="-250" w:hanging="525" w:hangingChars="250"/>
        <w:rPr>
          <w:rFonts w:hint="eastAsia" w:ascii="宋体" w:hAnsi="宋体" w:cs="宋体"/>
          <w:color w:val="auto"/>
          <w:szCs w:val="21"/>
          <w:highlight w:val="none"/>
        </w:rPr>
      </w:pPr>
      <w:r>
        <w:rPr>
          <w:rFonts w:hint="eastAsia" w:ascii="宋体" w:hAnsi="宋体" w:cs="宋体"/>
          <w:color w:val="auto"/>
          <w:szCs w:val="21"/>
          <w:highlight w:val="none"/>
        </w:rPr>
        <w:t xml:space="preserve">         我方为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项目子包（）的投标，项目编号为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所提交的保证金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元，请贵单位退还时划到以下账户：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976"/>
        <w:gridCol w:w="1980"/>
        <w:gridCol w:w="1620"/>
        <w:gridCol w:w="2294"/>
      </w:tblGrid>
      <w:tr w14:paraId="54E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trPr>
        <w:tc>
          <w:tcPr>
            <w:tcW w:w="652" w:type="dxa"/>
            <w:vMerge w:val="restart"/>
            <w:noWrap w:val="0"/>
            <w:vAlign w:val="center"/>
          </w:tcPr>
          <w:p w14:paraId="1F9D6129">
            <w:pPr>
              <w:spacing w:line="360" w:lineRule="auto"/>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收款单位</w:t>
            </w:r>
          </w:p>
        </w:tc>
        <w:tc>
          <w:tcPr>
            <w:tcW w:w="1976" w:type="dxa"/>
            <w:noWrap w:val="0"/>
            <w:vAlign w:val="top"/>
          </w:tcPr>
          <w:p w14:paraId="70DAABB0">
            <w:pPr>
              <w:spacing w:line="360" w:lineRule="auto"/>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收款单位名称</w:t>
            </w:r>
          </w:p>
        </w:tc>
        <w:tc>
          <w:tcPr>
            <w:tcW w:w="5894" w:type="dxa"/>
            <w:gridSpan w:val="3"/>
            <w:noWrap w:val="0"/>
            <w:vAlign w:val="top"/>
          </w:tcPr>
          <w:p w14:paraId="73497F59">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5FB5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52" w:type="dxa"/>
            <w:vMerge w:val="continue"/>
            <w:noWrap w:val="0"/>
            <w:vAlign w:val="top"/>
          </w:tcPr>
          <w:p w14:paraId="5D8198A4">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2E41F9B8">
            <w:pPr>
              <w:spacing w:line="360" w:lineRule="auto"/>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收款单位地址</w:t>
            </w:r>
          </w:p>
        </w:tc>
        <w:tc>
          <w:tcPr>
            <w:tcW w:w="5894" w:type="dxa"/>
            <w:gridSpan w:val="3"/>
            <w:noWrap w:val="0"/>
            <w:vAlign w:val="top"/>
          </w:tcPr>
          <w:p w14:paraId="19A60D2C">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7B51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52" w:type="dxa"/>
            <w:vMerge w:val="continue"/>
            <w:noWrap w:val="0"/>
            <w:vAlign w:val="top"/>
          </w:tcPr>
          <w:p w14:paraId="2B62EBC4">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332E126B">
            <w:pPr>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   开户银行</w:t>
            </w:r>
          </w:p>
          <w:p w14:paraId="4B569451">
            <w:pPr>
              <w:ind w:right="206" w:rightChars="98"/>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（含汇入地点）</w:t>
            </w:r>
          </w:p>
        </w:tc>
        <w:tc>
          <w:tcPr>
            <w:tcW w:w="5894" w:type="dxa"/>
            <w:gridSpan w:val="3"/>
            <w:noWrap w:val="0"/>
            <w:vAlign w:val="center"/>
          </w:tcPr>
          <w:p w14:paraId="18369414">
            <w:pPr>
              <w:spacing w:line="360" w:lineRule="auto"/>
              <w:ind w:right="206" w:rightChars="98" w:firstLine="460" w:firstLineChars="2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 xml:space="preserve">省    市（县）      银行       支行（分理处）       </w:t>
            </w:r>
          </w:p>
        </w:tc>
      </w:tr>
      <w:tr w14:paraId="1A3B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52" w:type="dxa"/>
            <w:vMerge w:val="continue"/>
            <w:noWrap w:val="0"/>
            <w:vAlign w:val="top"/>
          </w:tcPr>
          <w:p w14:paraId="4CC0A8A0">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46D75E8B">
            <w:pPr>
              <w:spacing w:line="360" w:lineRule="auto"/>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账  号</w:t>
            </w:r>
          </w:p>
        </w:tc>
        <w:tc>
          <w:tcPr>
            <w:tcW w:w="5894" w:type="dxa"/>
            <w:gridSpan w:val="3"/>
            <w:noWrap w:val="0"/>
            <w:vAlign w:val="top"/>
          </w:tcPr>
          <w:p w14:paraId="0F91EF84">
            <w:pPr>
              <w:spacing w:line="360" w:lineRule="auto"/>
              <w:ind w:right="206" w:rightChars="98"/>
              <w:rPr>
                <w:rStyle w:val="44"/>
                <w:rFonts w:hint="eastAsia" w:ascii="宋体" w:hAnsi="宋体" w:eastAsia="宋体" w:cs="宋体"/>
                <w:color w:val="auto"/>
                <w:spacing w:val="10"/>
                <w:sz w:val="21"/>
                <w:szCs w:val="21"/>
                <w:highlight w:val="none"/>
                <w:lang w:val="zh-CN"/>
              </w:rPr>
            </w:pPr>
          </w:p>
        </w:tc>
      </w:tr>
      <w:tr w14:paraId="41F9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52" w:type="dxa"/>
            <w:vMerge w:val="continue"/>
            <w:noWrap w:val="0"/>
            <w:vAlign w:val="top"/>
          </w:tcPr>
          <w:p w14:paraId="4154F0D6">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976" w:type="dxa"/>
            <w:noWrap w:val="0"/>
            <w:vAlign w:val="top"/>
          </w:tcPr>
          <w:p w14:paraId="5D27433B">
            <w:pPr>
              <w:spacing w:line="360" w:lineRule="auto"/>
              <w:ind w:right="206" w:rightChars="98" w:firstLine="460" w:firstLineChars="2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联系人</w:t>
            </w:r>
          </w:p>
        </w:tc>
        <w:tc>
          <w:tcPr>
            <w:tcW w:w="1980" w:type="dxa"/>
            <w:noWrap w:val="0"/>
            <w:vAlign w:val="top"/>
          </w:tcPr>
          <w:p w14:paraId="14168E17">
            <w:pPr>
              <w:spacing w:line="360" w:lineRule="auto"/>
              <w:ind w:right="206" w:rightChars="98"/>
              <w:rPr>
                <w:rStyle w:val="44"/>
                <w:rFonts w:hint="eastAsia" w:ascii="宋体" w:hAnsi="宋体" w:eastAsia="宋体" w:cs="宋体"/>
                <w:color w:val="auto"/>
                <w:spacing w:val="10"/>
                <w:sz w:val="21"/>
                <w:szCs w:val="21"/>
                <w:highlight w:val="none"/>
                <w:lang w:val="zh-CN"/>
              </w:rPr>
            </w:pPr>
          </w:p>
        </w:tc>
        <w:tc>
          <w:tcPr>
            <w:tcW w:w="1620" w:type="dxa"/>
            <w:noWrap w:val="0"/>
            <w:vAlign w:val="top"/>
          </w:tcPr>
          <w:p w14:paraId="4538D942">
            <w:pPr>
              <w:spacing w:line="360" w:lineRule="auto"/>
              <w:ind w:right="206" w:rightChars="98" w:firstLine="230" w:firstLineChars="100"/>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手机号码</w:t>
            </w:r>
          </w:p>
        </w:tc>
        <w:tc>
          <w:tcPr>
            <w:tcW w:w="2294" w:type="dxa"/>
            <w:noWrap w:val="0"/>
            <w:vAlign w:val="top"/>
          </w:tcPr>
          <w:p w14:paraId="4DF0696B">
            <w:pPr>
              <w:spacing w:line="360" w:lineRule="auto"/>
              <w:ind w:right="206" w:rightChars="98"/>
              <w:rPr>
                <w:rStyle w:val="44"/>
                <w:rFonts w:hint="eastAsia" w:ascii="宋体" w:hAnsi="宋体" w:eastAsia="宋体" w:cs="宋体"/>
                <w:color w:val="auto"/>
                <w:spacing w:val="10"/>
                <w:sz w:val="21"/>
                <w:szCs w:val="21"/>
                <w:highlight w:val="none"/>
                <w:lang w:val="zh-CN"/>
              </w:rPr>
            </w:pPr>
          </w:p>
        </w:tc>
      </w:tr>
    </w:tbl>
    <w:p w14:paraId="03B3C0F8">
      <w:pPr>
        <w:rPr>
          <w:rFonts w:hint="eastAsia" w:ascii="宋体" w:hAnsi="宋体" w:cs="宋体"/>
          <w:color w:val="auto"/>
          <w:szCs w:val="21"/>
          <w:highlight w:val="none"/>
        </w:rPr>
      </w:pPr>
    </w:p>
    <w:p w14:paraId="787C15B7">
      <w:pPr>
        <w:rPr>
          <w:rFonts w:hint="eastAsia" w:ascii="宋体" w:hAnsi="宋体" w:cs="宋体"/>
          <w:b/>
          <w:bCs/>
          <w:color w:val="auto"/>
          <w:szCs w:val="21"/>
          <w:highlight w:val="none"/>
        </w:rPr>
      </w:pPr>
    </w:p>
    <w:p w14:paraId="3D4158CB">
      <w:pPr>
        <w:rPr>
          <w:rFonts w:hint="eastAsia" w:ascii="宋体" w:hAnsi="宋体" w:cs="宋体"/>
          <w:b/>
          <w:bCs/>
          <w:color w:val="auto"/>
          <w:szCs w:val="21"/>
          <w:highlight w:val="none"/>
        </w:rPr>
      </w:pPr>
      <w:r>
        <w:rPr>
          <w:rFonts w:hint="eastAsia" w:ascii="宋体" w:hAnsi="宋体" w:cs="宋体"/>
          <w:b/>
          <w:bCs/>
          <w:color w:val="auto"/>
          <w:szCs w:val="21"/>
          <w:highlight w:val="none"/>
        </w:rPr>
        <w:t xml:space="preserve">投标人(公章)：                                  </w:t>
      </w:r>
    </w:p>
    <w:p w14:paraId="304A19F2">
      <w:pPr>
        <w:rPr>
          <w:rFonts w:hint="eastAsia" w:ascii="宋体" w:hAnsi="宋体" w:cs="宋体"/>
          <w:b/>
          <w:color w:val="auto"/>
          <w:szCs w:val="21"/>
          <w:highlight w:val="none"/>
        </w:rPr>
      </w:pPr>
      <w:r>
        <w:rPr>
          <w:rFonts w:hint="eastAsia" w:ascii="宋体" w:hAnsi="宋体" w:cs="宋体"/>
          <w:b/>
          <w:bCs/>
          <w:color w:val="auto"/>
          <w:szCs w:val="21"/>
          <w:highlight w:val="none"/>
        </w:rPr>
        <w:t xml:space="preserve">日        期：  </w:t>
      </w:r>
      <w:r>
        <w:rPr>
          <w:rFonts w:hint="eastAsia" w:ascii="宋体" w:hAnsi="宋体" w:cs="宋体"/>
          <w:b/>
          <w:color w:val="auto"/>
          <w:szCs w:val="21"/>
          <w:highlight w:val="none"/>
        </w:rPr>
        <w:t xml:space="preserve">                                </w:t>
      </w:r>
    </w:p>
    <w:p w14:paraId="419325F0">
      <w:pPr>
        <w:spacing w:line="360" w:lineRule="auto"/>
        <w:ind w:left="692" w:leftChars="220" w:right="206" w:rightChars="98" w:hanging="230" w:hangingChars="100"/>
        <w:rPr>
          <w:rStyle w:val="44"/>
          <w:rFonts w:hint="eastAsia" w:ascii="宋体" w:hAnsi="宋体" w:eastAsia="宋体" w:cs="宋体"/>
          <w:color w:val="auto"/>
          <w:spacing w:val="10"/>
          <w:sz w:val="21"/>
          <w:szCs w:val="21"/>
          <w:highlight w:val="none"/>
          <w:lang w:val="zh-CN"/>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9"/>
      </w:tblGrid>
      <w:tr w14:paraId="3719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trPr>
        <w:tc>
          <w:tcPr>
            <w:tcW w:w="8219" w:type="dxa"/>
            <w:noWrap w:val="0"/>
            <w:vAlign w:val="center"/>
          </w:tcPr>
          <w:p w14:paraId="5781634B">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5BB3B382">
            <w:pPr>
              <w:ind w:right="206" w:rightChars="98"/>
              <w:jc w:val="center"/>
              <w:rPr>
                <w:rStyle w:val="44"/>
                <w:rFonts w:hint="eastAsia" w:ascii="宋体" w:hAnsi="宋体" w:eastAsia="宋体" w:cs="宋体"/>
                <w:color w:val="auto"/>
                <w:spacing w:val="10"/>
                <w:sz w:val="21"/>
                <w:szCs w:val="21"/>
                <w:highlight w:val="none"/>
                <w:lang w:val="zh-CN"/>
              </w:rPr>
            </w:pPr>
          </w:p>
          <w:p w14:paraId="2423FFBA">
            <w:pPr>
              <w:ind w:right="206" w:rightChars="98"/>
              <w:jc w:val="center"/>
              <w:rPr>
                <w:rStyle w:val="44"/>
                <w:rFonts w:hint="eastAsia" w:ascii="宋体" w:hAnsi="宋体" w:eastAsia="宋体" w:cs="宋体"/>
                <w:color w:val="auto"/>
                <w:spacing w:val="10"/>
                <w:sz w:val="21"/>
                <w:szCs w:val="21"/>
                <w:highlight w:val="none"/>
                <w:lang w:val="zh-CN"/>
              </w:rPr>
            </w:pPr>
            <w:r>
              <w:rPr>
                <w:rStyle w:val="44"/>
                <w:rFonts w:hint="eastAsia" w:ascii="宋体" w:hAnsi="宋体" w:eastAsia="宋体" w:cs="宋体"/>
                <w:color w:val="auto"/>
                <w:spacing w:val="10"/>
                <w:sz w:val="21"/>
                <w:szCs w:val="21"/>
                <w:highlight w:val="none"/>
                <w:lang w:val="zh-CN"/>
              </w:rPr>
              <w:t>汇款凭证粘贴处</w:t>
            </w:r>
          </w:p>
          <w:p w14:paraId="63D19C22">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53349BC0">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p w14:paraId="01952495">
            <w:pPr>
              <w:spacing w:line="360" w:lineRule="auto"/>
              <w:ind w:right="206" w:rightChars="98"/>
              <w:jc w:val="center"/>
              <w:rPr>
                <w:rStyle w:val="44"/>
                <w:rFonts w:hint="eastAsia" w:ascii="宋体" w:hAnsi="宋体" w:eastAsia="宋体" w:cs="宋体"/>
                <w:color w:val="auto"/>
                <w:spacing w:val="10"/>
                <w:sz w:val="21"/>
                <w:szCs w:val="21"/>
                <w:highlight w:val="none"/>
                <w:lang w:val="zh-CN"/>
              </w:rPr>
            </w:pPr>
          </w:p>
        </w:tc>
      </w:tr>
    </w:tbl>
    <w:p w14:paraId="3F6BCD7F">
      <w:pPr>
        <w:spacing w:line="360" w:lineRule="auto"/>
        <w:jc w:val="center"/>
        <w:rPr>
          <w:rStyle w:val="44"/>
          <w:rFonts w:hint="eastAsia" w:ascii="宋体" w:hAnsi="宋体" w:eastAsia="宋体" w:cs="宋体"/>
          <w:color w:val="auto"/>
          <w:spacing w:val="10"/>
          <w:szCs w:val="21"/>
          <w:highlight w:val="none"/>
          <w:lang w:val="zh-CN"/>
        </w:rPr>
      </w:pPr>
      <w:r>
        <w:rPr>
          <w:rStyle w:val="44"/>
          <w:rFonts w:hint="eastAsia" w:ascii="宋体" w:hAnsi="宋体" w:eastAsia="宋体" w:cs="宋体"/>
          <w:color w:val="auto"/>
          <w:spacing w:val="10"/>
          <w:szCs w:val="21"/>
          <w:highlight w:val="none"/>
          <w:lang w:val="zh-CN"/>
        </w:rPr>
        <w:br w:type="page"/>
      </w:r>
    </w:p>
    <w:bookmarkEnd w:id="123"/>
    <w:p w14:paraId="0FB83518">
      <w:pPr>
        <w:tabs>
          <w:tab w:val="left" w:pos="720"/>
        </w:tabs>
        <w:spacing w:line="300" w:lineRule="auto"/>
        <w:ind w:left="1021" w:hanging="1021"/>
        <w:jc w:val="center"/>
        <w:rPr>
          <w:rFonts w:hint="eastAsia" w:ascii="宋体" w:hAnsi="宋体" w:cs="宋体"/>
          <w:b/>
          <w:color w:val="auto"/>
          <w:sz w:val="28"/>
          <w:szCs w:val="28"/>
          <w:highlight w:val="none"/>
        </w:rPr>
      </w:pPr>
    </w:p>
    <w:p w14:paraId="27B8B015">
      <w:pPr>
        <w:tabs>
          <w:tab w:val="left" w:pos="720"/>
        </w:tabs>
        <w:spacing w:line="300" w:lineRule="auto"/>
        <w:ind w:left="1021" w:hanging="1021"/>
        <w:jc w:val="center"/>
        <w:rPr>
          <w:rFonts w:hint="eastAsia" w:ascii="宋体" w:hAnsi="宋体" w:cs="宋体"/>
          <w:b/>
          <w:color w:val="auto"/>
          <w:sz w:val="28"/>
          <w:szCs w:val="28"/>
          <w:highlight w:val="none"/>
        </w:rPr>
      </w:pPr>
    </w:p>
    <w:p w14:paraId="2EEB300E">
      <w:pPr>
        <w:tabs>
          <w:tab w:val="left" w:pos="720"/>
          <w:tab w:val="left" w:pos="7679"/>
        </w:tabs>
        <w:spacing w:line="300" w:lineRule="auto"/>
        <w:ind w:left="1021" w:hanging="1021"/>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ab/>
      </w:r>
      <w:r>
        <w:rPr>
          <w:rFonts w:hint="eastAsia" w:ascii="宋体" w:hAnsi="宋体" w:cs="宋体"/>
          <w:b/>
          <w:color w:val="auto"/>
          <w:sz w:val="28"/>
          <w:szCs w:val="28"/>
          <w:highlight w:val="none"/>
        </w:rPr>
        <w:tab/>
      </w:r>
    </w:p>
    <w:p w14:paraId="70A3B029">
      <w:pPr>
        <w:tabs>
          <w:tab w:val="left" w:pos="720"/>
        </w:tabs>
        <w:spacing w:line="300" w:lineRule="auto"/>
        <w:ind w:left="1021" w:hanging="1021"/>
        <w:jc w:val="center"/>
        <w:rPr>
          <w:rFonts w:hint="eastAsia" w:ascii="宋体" w:hAnsi="宋体" w:cs="宋体"/>
          <w:b/>
          <w:color w:val="auto"/>
          <w:sz w:val="28"/>
          <w:szCs w:val="28"/>
          <w:highlight w:val="none"/>
        </w:rPr>
      </w:pPr>
    </w:p>
    <w:p w14:paraId="17641E28">
      <w:pPr>
        <w:tabs>
          <w:tab w:val="left" w:pos="720"/>
        </w:tabs>
        <w:spacing w:line="300" w:lineRule="auto"/>
        <w:ind w:left="1021" w:hanging="1021"/>
        <w:jc w:val="center"/>
        <w:rPr>
          <w:rFonts w:hint="eastAsia" w:ascii="宋体" w:hAnsi="宋体" w:cs="宋体"/>
          <w:b/>
          <w:color w:val="auto"/>
          <w:sz w:val="28"/>
          <w:szCs w:val="28"/>
          <w:highlight w:val="none"/>
        </w:rPr>
      </w:pPr>
    </w:p>
    <w:p w14:paraId="48195DC3">
      <w:pPr>
        <w:tabs>
          <w:tab w:val="left" w:pos="720"/>
        </w:tabs>
        <w:spacing w:line="300" w:lineRule="auto"/>
        <w:ind w:left="1021" w:hanging="1021"/>
        <w:jc w:val="center"/>
        <w:rPr>
          <w:rFonts w:hint="eastAsia" w:ascii="宋体" w:hAnsi="宋体" w:cs="宋体"/>
          <w:b/>
          <w:color w:val="auto"/>
          <w:sz w:val="28"/>
          <w:szCs w:val="28"/>
          <w:highlight w:val="none"/>
        </w:rPr>
      </w:pPr>
    </w:p>
    <w:p w14:paraId="45C62089">
      <w:pPr>
        <w:spacing w:line="360" w:lineRule="auto"/>
        <w:jc w:val="center"/>
        <w:rPr>
          <w:rFonts w:hint="eastAsia" w:ascii="宋体" w:hAnsi="宋体" w:cs="宋体"/>
          <w:b/>
          <w:color w:val="auto"/>
          <w:sz w:val="44"/>
          <w:highlight w:val="none"/>
        </w:rPr>
      </w:pPr>
    </w:p>
    <w:p w14:paraId="4E9C4E28">
      <w:pPr>
        <w:jc w:val="center"/>
        <w:outlineLvl w:val="0"/>
        <w:rPr>
          <w:rFonts w:hint="eastAsia" w:ascii="宋体" w:hAnsi="宋体" w:cs="宋体"/>
          <w:b/>
          <w:color w:val="auto"/>
          <w:sz w:val="44"/>
          <w:szCs w:val="44"/>
          <w:highlight w:val="none"/>
        </w:rPr>
      </w:pPr>
      <w:bookmarkStart w:id="125" w:name="_Toc5715"/>
      <w:r>
        <w:rPr>
          <w:rFonts w:hint="eastAsia" w:ascii="宋体" w:hAnsi="宋体" w:cs="宋体"/>
          <w:b/>
          <w:color w:val="auto"/>
          <w:sz w:val="44"/>
          <w:szCs w:val="44"/>
          <w:highlight w:val="none"/>
        </w:rPr>
        <w:t>第六章</w:t>
      </w:r>
      <w:bookmarkStart w:id="126" w:name="_Toc477186335"/>
      <w:r>
        <w:rPr>
          <w:rFonts w:hint="eastAsia" w:ascii="宋体" w:hAnsi="宋体" w:cs="宋体"/>
          <w:b/>
          <w:color w:val="auto"/>
          <w:sz w:val="44"/>
          <w:szCs w:val="44"/>
          <w:highlight w:val="none"/>
        </w:rPr>
        <w:t xml:space="preserve">  评标办法</w:t>
      </w:r>
      <w:bookmarkEnd w:id="125"/>
      <w:bookmarkEnd w:id="126"/>
    </w:p>
    <w:p w14:paraId="61AB21E5">
      <w:pPr>
        <w:tabs>
          <w:tab w:val="left" w:pos="720"/>
        </w:tabs>
        <w:spacing w:line="300" w:lineRule="auto"/>
        <w:ind w:left="1021" w:hanging="1021"/>
        <w:jc w:val="center"/>
        <w:rPr>
          <w:rFonts w:hint="eastAsia" w:ascii="宋体" w:hAnsi="宋体" w:cs="宋体"/>
          <w:b/>
          <w:color w:val="auto"/>
          <w:sz w:val="28"/>
          <w:szCs w:val="28"/>
          <w:highlight w:val="none"/>
        </w:rPr>
      </w:pPr>
    </w:p>
    <w:p w14:paraId="7572AC7D">
      <w:pPr>
        <w:tabs>
          <w:tab w:val="left" w:pos="720"/>
        </w:tabs>
        <w:spacing w:line="300" w:lineRule="auto"/>
        <w:ind w:left="1021" w:hanging="1021"/>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 xml:space="preserve"> </w:t>
      </w:r>
    </w:p>
    <w:p w14:paraId="66C5ED99">
      <w:pPr>
        <w:tabs>
          <w:tab w:val="left" w:pos="720"/>
        </w:tabs>
        <w:spacing w:line="300" w:lineRule="auto"/>
        <w:ind w:left="1021" w:hanging="1021"/>
        <w:jc w:val="center"/>
        <w:rPr>
          <w:rFonts w:hint="eastAsia" w:ascii="宋体" w:hAnsi="宋体" w:cs="宋体"/>
          <w:b/>
          <w:color w:val="auto"/>
          <w:spacing w:val="10"/>
          <w:sz w:val="28"/>
          <w:szCs w:val="28"/>
          <w:highlight w:val="none"/>
        </w:rPr>
      </w:pPr>
      <w:bookmarkStart w:id="127" w:name="_Toc10591_WPSOffice_Level1"/>
      <w:bookmarkStart w:id="128" w:name="_Toc9981_WPSOffice_Level1"/>
      <w:bookmarkStart w:id="129" w:name="_Toc31126_WPSOffice_Level1"/>
      <w:r>
        <w:rPr>
          <w:rFonts w:hint="eastAsia" w:ascii="宋体" w:hAnsi="宋体" w:cs="宋体"/>
          <w:b/>
          <w:color w:val="auto"/>
          <w:sz w:val="28"/>
          <w:szCs w:val="28"/>
          <w:highlight w:val="none"/>
        </w:rPr>
        <w:t>评  标  办  法</w:t>
      </w:r>
      <w:bookmarkEnd w:id="127"/>
      <w:bookmarkEnd w:id="128"/>
      <w:bookmarkEnd w:id="129"/>
    </w:p>
    <w:p w14:paraId="71B1EC9F">
      <w:pPr>
        <w:pStyle w:val="3"/>
        <w:numPr>
          <w:ilvl w:val="0"/>
          <w:numId w:val="6"/>
        </w:numPr>
        <w:spacing w:before="120" w:after="120" w:line="360" w:lineRule="auto"/>
        <w:rPr>
          <w:rFonts w:hint="eastAsia" w:ascii="宋体" w:hAnsi="宋体" w:cs="宋体"/>
          <w:color w:val="auto"/>
          <w:sz w:val="28"/>
          <w:szCs w:val="28"/>
          <w:highlight w:val="none"/>
        </w:rPr>
      </w:pPr>
      <w:bookmarkStart w:id="130" w:name="_Toc4692_WPSOffice_Level1"/>
      <w:bookmarkStart w:id="131" w:name="_Toc477185975"/>
      <w:bookmarkStart w:id="132" w:name="_Toc95305931"/>
      <w:bookmarkStart w:id="133" w:name="_Toc95298716"/>
      <w:bookmarkStart w:id="134" w:name="_Toc8854"/>
      <w:bookmarkStart w:id="135" w:name="_Toc95306105"/>
      <w:bookmarkStart w:id="136" w:name="_Toc11635_WPSOffice_Level1"/>
      <w:bookmarkStart w:id="137" w:name="_Toc476177438"/>
      <w:bookmarkStart w:id="138" w:name="_Toc95306153"/>
      <w:bookmarkStart w:id="139" w:name="_Toc2177_WPSOffice_Level1"/>
      <w:bookmarkStart w:id="140" w:name="_Toc477186336"/>
      <w:bookmarkStart w:id="141" w:name="_Toc476177998"/>
      <w:bookmarkStart w:id="142" w:name="_Toc99012603"/>
      <w:bookmarkStart w:id="143" w:name="_Toc95306013"/>
      <w:r>
        <w:rPr>
          <w:rFonts w:hint="eastAsia" w:ascii="宋体" w:hAnsi="宋体" w:cs="宋体"/>
          <w:color w:val="auto"/>
          <w:sz w:val="28"/>
          <w:szCs w:val="28"/>
          <w:highlight w:val="none"/>
        </w:rPr>
        <w:t>说明</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5422013C">
      <w:pPr>
        <w:tabs>
          <w:tab w:val="left" w:pos="840"/>
          <w:tab w:val="left" w:pos="1680"/>
          <w:tab w:val="left" w:pos="189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中华人民共和国招标投标法》、《中华人民共和国招标投标法实施条例》、《评标委员会和评标方法暂行规定》和国家及地方有关文件精神，在保证本项目招标公开、公平、公正的基础上，结合本项目的需求，制定本评标办法。内容包括本次评标的评审过程和方法。</w:t>
      </w:r>
    </w:p>
    <w:p w14:paraId="38F371C3">
      <w:pPr>
        <w:tabs>
          <w:tab w:val="left" w:pos="840"/>
        </w:tabs>
        <w:spacing w:line="360" w:lineRule="auto"/>
        <w:rPr>
          <w:rFonts w:hint="eastAsia" w:ascii="宋体" w:hAnsi="宋体" w:cs="宋体"/>
          <w:b/>
          <w:color w:val="auto"/>
          <w:spacing w:val="10"/>
          <w:sz w:val="24"/>
          <w:highlight w:val="none"/>
        </w:rPr>
      </w:pPr>
    </w:p>
    <w:p w14:paraId="170471A8">
      <w:pPr>
        <w:pStyle w:val="3"/>
        <w:numPr>
          <w:ilvl w:val="0"/>
          <w:numId w:val="6"/>
        </w:numPr>
        <w:spacing w:before="120" w:after="120" w:line="360" w:lineRule="auto"/>
        <w:rPr>
          <w:rFonts w:hint="eastAsia" w:ascii="宋体" w:hAnsi="宋体" w:cs="宋体"/>
          <w:color w:val="auto"/>
          <w:sz w:val="28"/>
          <w:szCs w:val="28"/>
          <w:highlight w:val="none"/>
        </w:rPr>
      </w:pPr>
      <w:bookmarkStart w:id="144" w:name="_Toc476177999"/>
      <w:bookmarkStart w:id="145" w:name="_Toc25791_WPSOffice_Level1"/>
      <w:bookmarkStart w:id="146" w:name="_Toc4898_WPSOffice_Level1"/>
      <w:bookmarkStart w:id="147" w:name="_Toc15972"/>
      <w:bookmarkStart w:id="148" w:name="_Toc99012604"/>
      <w:bookmarkStart w:id="149" w:name="_Toc476177439"/>
      <w:bookmarkStart w:id="150" w:name="_Toc477186337"/>
      <w:bookmarkStart w:id="151" w:name="_Toc21029_WPSOffice_Level1"/>
      <w:bookmarkStart w:id="152" w:name="_Toc477185976"/>
      <w:r>
        <w:rPr>
          <w:rFonts w:hint="eastAsia" w:ascii="宋体" w:hAnsi="宋体" w:cs="宋体"/>
          <w:color w:val="auto"/>
          <w:sz w:val="28"/>
          <w:szCs w:val="28"/>
          <w:highlight w:val="none"/>
        </w:rPr>
        <w:t>评标须知</w:t>
      </w:r>
      <w:bookmarkEnd w:id="144"/>
      <w:bookmarkEnd w:id="145"/>
      <w:bookmarkEnd w:id="146"/>
      <w:bookmarkEnd w:id="147"/>
      <w:bookmarkEnd w:id="148"/>
      <w:bookmarkEnd w:id="149"/>
      <w:bookmarkEnd w:id="150"/>
      <w:bookmarkEnd w:id="151"/>
      <w:bookmarkEnd w:id="152"/>
    </w:p>
    <w:p w14:paraId="70F92D56">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关于评标方案</w:t>
      </w:r>
    </w:p>
    <w:p w14:paraId="67879268">
      <w:pPr>
        <w:tabs>
          <w:tab w:val="left" w:pos="0"/>
        </w:tabs>
        <w:spacing w:line="360" w:lineRule="auto"/>
        <w:ind w:left="420"/>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1</w:t>
      </w:r>
      <w:r>
        <w:rPr>
          <w:rFonts w:hint="eastAsia" w:ascii="宋体" w:hAnsi="宋体" w:cs="宋体"/>
          <w:color w:val="auto"/>
          <w:highlight w:val="none"/>
        </w:rPr>
        <w:t>评标委员会的每位成员（简称评委）应认真地阅读并确认已经正确理解了评标方案。</w:t>
      </w:r>
    </w:p>
    <w:p w14:paraId="0FC57E52">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关于评标纪律</w:t>
      </w:r>
    </w:p>
    <w:p w14:paraId="24037FA4">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2.2.1评标委员会成员不得与任何投标人或者与招标结果有利害关系的人进行私下接触，不得收受投标人、中介人、其他利害关系人的财物或者其他好处；</w:t>
      </w:r>
    </w:p>
    <w:p w14:paraId="21514C4C">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2.2.2评委应本着客观、公正的原则独立给出评价意见；</w:t>
      </w:r>
    </w:p>
    <w:p w14:paraId="059981DB">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2.2.3评委之间不得相互串通进行评分；</w:t>
      </w:r>
    </w:p>
    <w:p w14:paraId="747DFDFE">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2.2.4评委不得试图影响其他评委的评价意见。</w:t>
      </w:r>
    </w:p>
    <w:p w14:paraId="48F02A34">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关于评标责任</w:t>
      </w:r>
    </w:p>
    <w:p w14:paraId="073CF05C">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2.3.1评委应在其书面评审意见上签字确认；</w:t>
      </w:r>
    </w:p>
    <w:p w14:paraId="10AE75C7">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2.3.2评委对其所提出的评审意见承担个人责任。</w:t>
      </w:r>
    </w:p>
    <w:p w14:paraId="7865E0C6">
      <w:pPr>
        <w:numPr>
          <w:ilvl w:val="1"/>
          <w:numId w:val="6"/>
        </w:numPr>
        <w:tabs>
          <w:tab w:val="left" w:pos="0"/>
          <w:tab w:val="left" w:pos="945"/>
          <w:tab w:val="left" w:pos="168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关于回避</w:t>
      </w:r>
    </w:p>
    <w:p w14:paraId="2D31D3D3">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有下列情形之一的，不得担任评标委员会成员，如事先不知情的，应在宣读投标人名单及评标纪律后主动提出回避：</w:t>
      </w:r>
    </w:p>
    <w:p w14:paraId="0CF87061">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（1）是投标人或者投标人主要负责人的近亲属；</w:t>
      </w:r>
    </w:p>
    <w:p w14:paraId="7AAF407F">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（2）是该投标人的项目主管部门或是该投标人的行政监督部门的人员；</w:t>
      </w:r>
    </w:p>
    <w:p w14:paraId="18292160">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（3）与投标人有经济利益关系，可能影响对投标公正评审的；</w:t>
      </w:r>
    </w:p>
    <w:p w14:paraId="16869F3E">
      <w:pPr>
        <w:numPr>
          <w:ilvl w:val="1"/>
          <w:numId w:val="6"/>
        </w:numPr>
        <w:tabs>
          <w:tab w:val="left" w:pos="0"/>
          <w:tab w:val="left" w:pos="840"/>
          <w:tab w:val="left" w:pos="1260"/>
          <w:tab w:val="left" w:pos="147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关于保密</w:t>
      </w:r>
    </w:p>
    <w:p w14:paraId="186CA687">
      <w:pPr>
        <w:numPr>
          <w:ilvl w:val="0"/>
          <w:numId w:val="7"/>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评标委员会成员和与评标活动有关的工作人员不得透露对投标文件的评审和比较、中标候选人的推荐情况以及评标有关的其他情况。</w:t>
      </w:r>
    </w:p>
    <w:p w14:paraId="0431DAAA">
      <w:pPr>
        <w:numPr>
          <w:ilvl w:val="0"/>
          <w:numId w:val="7"/>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前款所称与评标活动有关的工作人员，是指评标委员会成员以外的因参与评标监督工作或者事务性工作而知悉有关评标情况的所有人员。</w:t>
      </w:r>
    </w:p>
    <w:p w14:paraId="1579F227">
      <w:pPr>
        <w:numPr>
          <w:ilvl w:val="1"/>
          <w:numId w:val="6"/>
        </w:numPr>
        <w:tabs>
          <w:tab w:val="left" w:pos="630"/>
          <w:tab w:val="left" w:pos="840"/>
          <w:tab w:val="clear" w:pos="567"/>
        </w:tabs>
        <w:spacing w:line="360" w:lineRule="auto"/>
        <w:ind w:left="105" w:firstLine="315"/>
        <w:rPr>
          <w:rFonts w:hint="eastAsia" w:ascii="宋体" w:hAnsi="宋体" w:cs="宋体"/>
          <w:color w:val="auto"/>
          <w:highlight w:val="none"/>
        </w:rPr>
      </w:pPr>
      <w:r>
        <w:rPr>
          <w:rFonts w:hint="eastAsia" w:ascii="宋体" w:hAnsi="宋体" w:cs="宋体"/>
          <w:color w:val="auto"/>
          <w:highlight w:val="none"/>
        </w:rPr>
        <w:t>罚则</w:t>
      </w:r>
    </w:p>
    <w:p w14:paraId="34BB09BA">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（1）评标委员会成员在评标过程中擅离职守，影响评标程序正常进行，或者在评标过程中不能客观公正地履行职责的，一经核实，取消担任评标委员会成员的资格，并报有关部门经予法律追究和查处。</w:t>
      </w:r>
    </w:p>
    <w:p w14:paraId="41C1F3A4">
      <w:pPr>
        <w:tabs>
          <w:tab w:val="left" w:pos="0"/>
        </w:tabs>
        <w:spacing w:line="360" w:lineRule="auto"/>
        <w:ind w:firstLine="420" w:firstLineChars="200"/>
        <w:rPr>
          <w:rFonts w:hint="eastAsia" w:ascii="宋体" w:hAnsi="宋体" w:cs="宋体"/>
          <w:color w:val="auto"/>
          <w:szCs w:val="22"/>
          <w:highlight w:val="none"/>
        </w:rPr>
      </w:pPr>
      <w:r>
        <w:rPr>
          <w:rFonts w:hint="eastAsia" w:ascii="宋体" w:hAnsi="宋体" w:cs="宋体"/>
          <w:color w:val="auto"/>
          <w:szCs w:val="22"/>
          <w:highlight w:val="none"/>
        </w:rPr>
        <w:t>（2）评标委员会成员收受投标人、其他利害关系人的财物或者其他好处的，评标委员会成员或者与评标活动有关的工作人员向他人透露对投标文件的评审和比较、中标候选人的推荐以及与评标有关的其他情况的，一经核实，报有关部门经予法律追究和查处。</w:t>
      </w:r>
    </w:p>
    <w:p w14:paraId="70AA161A">
      <w:pPr>
        <w:tabs>
          <w:tab w:val="left" w:pos="0"/>
        </w:tabs>
        <w:spacing w:line="360" w:lineRule="auto"/>
        <w:ind w:firstLine="420" w:firstLineChars="200"/>
        <w:rPr>
          <w:rFonts w:hint="eastAsia" w:ascii="宋体" w:hAnsi="宋体" w:cs="宋体"/>
          <w:color w:val="auto"/>
          <w:szCs w:val="22"/>
          <w:highlight w:val="none"/>
        </w:rPr>
      </w:pPr>
    </w:p>
    <w:p w14:paraId="47E4DEA8">
      <w:pPr>
        <w:pStyle w:val="3"/>
        <w:numPr>
          <w:ilvl w:val="0"/>
          <w:numId w:val="6"/>
        </w:numPr>
        <w:spacing w:before="120" w:after="120" w:line="360" w:lineRule="auto"/>
        <w:rPr>
          <w:rFonts w:hint="eastAsia" w:ascii="宋体" w:hAnsi="宋体" w:cs="宋体"/>
          <w:color w:val="auto"/>
          <w:sz w:val="28"/>
          <w:szCs w:val="28"/>
          <w:highlight w:val="none"/>
        </w:rPr>
      </w:pPr>
      <w:bookmarkStart w:id="153" w:name="_Toc477186338"/>
      <w:bookmarkStart w:id="154" w:name="_Toc16705_WPSOffice_Level1"/>
      <w:bookmarkStart w:id="155" w:name="_Toc477185977"/>
      <w:bookmarkStart w:id="156" w:name="_Toc22791_WPSOffice_Level1"/>
      <w:bookmarkStart w:id="157" w:name="_Toc476177440"/>
      <w:bookmarkStart w:id="158" w:name="_Toc476178000"/>
      <w:bookmarkStart w:id="159" w:name="_Toc4691_WPSOffice_Level1"/>
      <w:bookmarkStart w:id="160" w:name="_Toc29737"/>
      <w:r>
        <w:rPr>
          <w:rFonts w:hint="eastAsia" w:ascii="宋体" w:hAnsi="宋体" w:cs="宋体"/>
          <w:color w:val="auto"/>
          <w:sz w:val="28"/>
          <w:szCs w:val="28"/>
          <w:highlight w:val="none"/>
        </w:rPr>
        <w:t>评标委员会</w:t>
      </w:r>
      <w:bookmarkEnd w:id="153"/>
      <w:bookmarkEnd w:id="154"/>
      <w:bookmarkEnd w:id="155"/>
      <w:bookmarkEnd w:id="156"/>
      <w:bookmarkEnd w:id="157"/>
      <w:bookmarkEnd w:id="158"/>
      <w:bookmarkEnd w:id="159"/>
      <w:bookmarkEnd w:id="160"/>
    </w:p>
    <w:p w14:paraId="1932BC76">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招标人和招标代理依照《中华人民共和国招投标法》、《中华人民共和国招标投标法实施条例》组建本项目评标委员会。评标委员会成员由技术、经济等方面的专家共5人组成。评标委员会成员享有同等的表决权。</w:t>
      </w:r>
    </w:p>
    <w:p w14:paraId="679723EC">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评标委员会依据招标文件的规定对各投标文件进行评审，得出评标结果，提交评标报告。</w:t>
      </w:r>
    </w:p>
    <w:p w14:paraId="55CB798C">
      <w:pPr>
        <w:numPr>
          <w:ilvl w:val="1"/>
          <w:numId w:val="6"/>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评标委员会经评审，认为所有投标都不符合招标文件要求的，可以否决所有投标。</w:t>
      </w:r>
    </w:p>
    <w:p w14:paraId="709E0CDD">
      <w:pPr>
        <w:spacing w:line="360" w:lineRule="auto"/>
        <w:rPr>
          <w:rFonts w:hint="eastAsia" w:ascii="宋体" w:hAnsi="宋体" w:cs="宋体"/>
          <w:color w:val="auto"/>
          <w:highlight w:val="none"/>
        </w:rPr>
      </w:pPr>
    </w:p>
    <w:p w14:paraId="1FD242A8">
      <w:pPr>
        <w:pStyle w:val="3"/>
        <w:numPr>
          <w:ilvl w:val="0"/>
          <w:numId w:val="6"/>
        </w:numPr>
        <w:spacing w:before="120" w:after="120" w:line="360" w:lineRule="auto"/>
        <w:rPr>
          <w:rFonts w:hint="eastAsia" w:ascii="宋体" w:hAnsi="宋体" w:cs="宋体"/>
          <w:color w:val="auto"/>
          <w:sz w:val="28"/>
          <w:szCs w:val="28"/>
          <w:highlight w:val="none"/>
        </w:rPr>
      </w:pPr>
      <w:bookmarkStart w:id="161" w:name="_Toc16217_WPSOffice_Level1"/>
      <w:bookmarkStart w:id="162" w:name="_Toc99012606"/>
      <w:bookmarkStart w:id="163" w:name="_Toc477185978"/>
      <w:bookmarkStart w:id="164" w:name="_Toc29107_WPSOffice_Level1"/>
      <w:bookmarkStart w:id="165" w:name="_Toc477186339"/>
      <w:bookmarkStart w:id="166" w:name="_Toc476178001"/>
      <w:bookmarkStart w:id="167" w:name="_Toc5758"/>
      <w:bookmarkStart w:id="168" w:name="_Toc476177441"/>
      <w:bookmarkStart w:id="169" w:name="_Toc16947_WPSOffice_Level1"/>
      <w:r>
        <w:rPr>
          <w:rFonts w:hint="eastAsia" w:ascii="宋体" w:hAnsi="宋体" w:cs="宋体"/>
          <w:color w:val="auto"/>
          <w:sz w:val="28"/>
          <w:szCs w:val="28"/>
          <w:highlight w:val="none"/>
        </w:rPr>
        <w:t>投标文件的澄清</w:t>
      </w:r>
      <w:bookmarkEnd w:id="161"/>
      <w:bookmarkEnd w:id="162"/>
      <w:bookmarkEnd w:id="163"/>
      <w:bookmarkEnd w:id="164"/>
      <w:bookmarkEnd w:id="165"/>
      <w:bookmarkEnd w:id="166"/>
      <w:bookmarkEnd w:id="167"/>
      <w:bookmarkEnd w:id="168"/>
      <w:bookmarkEnd w:id="169"/>
    </w:p>
    <w:p w14:paraId="485946F9">
      <w:pPr>
        <w:numPr>
          <w:ilvl w:val="1"/>
          <w:numId w:val="6"/>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除评标委员会主动要求澄清外，从开标后至授予合同期间，任何投标人均不得就与其投标相关的任何问题与评标委员会联系。</w:t>
      </w:r>
    </w:p>
    <w:p w14:paraId="5B9E0F6E">
      <w:pPr>
        <w:numPr>
          <w:ilvl w:val="1"/>
          <w:numId w:val="6"/>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为有利评标，在开标后，可随时请投标人就投标文件中某点加以澄清，澄清的内容不得对投标文件作实质性修改。以书面形式表达并加盖公章的答复经评标委员会认可后，可作为投标文件的一部分参与评标。</w:t>
      </w:r>
    </w:p>
    <w:p w14:paraId="23047E61">
      <w:pPr>
        <w:spacing w:line="360" w:lineRule="auto"/>
        <w:rPr>
          <w:rFonts w:hint="eastAsia" w:ascii="宋体" w:hAnsi="宋体" w:cs="宋体"/>
          <w:color w:val="auto"/>
          <w:highlight w:val="none"/>
        </w:rPr>
      </w:pPr>
    </w:p>
    <w:p w14:paraId="2959E0F4">
      <w:pPr>
        <w:pStyle w:val="3"/>
        <w:numPr>
          <w:ilvl w:val="0"/>
          <w:numId w:val="6"/>
        </w:numPr>
        <w:spacing w:before="120" w:after="120" w:line="360" w:lineRule="auto"/>
        <w:rPr>
          <w:rFonts w:hint="eastAsia" w:ascii="宋体" w:hAnsi="宋体" w:cs="宋体"/>
          <w:color w:val="auto"/>
          <w:sz w:val="28"/>
          <w:szCs w:val="28"/>
          <w:highlight w:val="none"/>
        </w:rPr>
      </w:pPr>
      <w:bookmarkStart w:id="170" w:name="_Toc1722_WPSOffice_Level1"/>
      <w:bookmarkStart w:id="171" w:name="_Toc13231_WPSOffice_Level1"/>
      <w:bookmarkStart w:id="172" w:name="_Toc26707_WPSOffice_Level1"/>
      <w:bookmarkStart w:id="173" w:name="_Toc1790"/>
      <w:bookmarkStart w:id="174" w:name="_Toc477186340"/>
      <w:bookmarkStart w:id="175" w:name="_Toc477185979"/>
      <w:bookmarkStart w:id="176" w:name="_Toc476177442"/>
      <w:bookmarkStart w:id="177" w:name="_Toc99012607"/>
      <w:bookmarkStart w:id="178" w:name="_Toc476178002"/>
      <w:r>
        <w:rPr>
          <w:rFonts w:hint="eastAsia" w:ascii="宋体" w:hAnsi="宋体" w:cs="宋体"/>
          <w:color w:val="auto"/>
          <w:sz w:val="28"/>
          <w:szCs w:val="28"/>
          <w:highlight w:val="none"/>
        </w:rPr>
        <w:t>评标原则和评标办法</w:t>
      </w:r>
      <w:bookmarkEnd w:id="170"/>
      <w:bookmarkEnd w:id="171"/>
      <w:bookmarkEnd w:id="172"/>
      <w:bookmarkEnd w:id="173"/>
      <w:bookmarkEnd w:id="174"/>
      <w:bookmarkEnd w:id="175"/>
      <w:bookmarkEnd w:id="176"/>
      <w:bookmarkEnd w:id="177"/>
      <w:bookmarkEnd w:id="178"/>
    </w:p>
    <w:p w14:paraId="0C6E884A">
      <w:pPr>
        <w:numPr>
          <w:ilvl w:val="1"/>
          <w:numId w:val="6"/>
        </w:numPr>
        <w:tabs>
          <w:tab w:val="left" w:pos="0"/>
          <w:tab w:val="left" w:pos="420"/>
          <w:tab w:val="left" w:pos="630"/>
          <w:tab w:val="left" w:pos="840"/>
          <w:tab w:val="clear" w:pos="567"/>
        </w:tabs>
        <w:spacing w:line="360" w:lineRule="auto"/>
        <w:ind w:left="0" w:firstLine="420"/>
        <w:rPr>
          <w:rFonts w:ascii="宋体" w:hAnsi="宋体"/>
          <w:color w:val="auto"/>
          <w:highlight w:val="none"/>
        </w:rPr>
      </w:pPr>
      <w:bookmarkStart w:id="179" w:name="_Toc173256012"/>
      <w:bookmarkStart w:id="180" w:name="_Toc173140973"/>
      <w:bookmarkStart w:id="181" w:name="_Toc173262603"/>
      <w:r>
        <w:rPr>
          <w:rFonts w:ascii="宋体" w:hAnsi="宋体"/>
          <w:color w:val="auto"/>
          <w:highlight w:val="none"/>
        </w:rPr>
        <w:t>评标工作应依据《中华人民共和国招标投标法》</w:t>
      </w:r>
      <w:r>
        <w:rPr>
          <w:rFonts w:hint="eastAsia" w:ascii="宋体" w:hAnsi="宋体"/>
          <w:color w:val="auto"/>
          <w:highlight w:val="none"/>
        </w:rPr>
        <w:t>《中华人民共和国招标投标法实施条例》</w:t>
      </w:r>
      <w:r>
        <w:rPr>
          <w:rFonts w:ascii="宋体" w:hAnsi="宋体"/>
          <w:color w:val="auto"/>
          <w:highlight w:val="none"/>
        </w:rPr>
        <w:t>以及《评标委员会和评标方法暂行规定》以及国家和地方政府有关招标投标法规、实施办法的有关规定，遵循“公平、公正、科学、择优”的原则进行评标。</w:t>
      </w:r>
    </w:p>
    <w:p w14:paraId="614D3993">
      <w:pPr>
        <w:numPr>
          <w:ilvl w:val="1"/>
          <w:numId w:val="6"/>
        </w:numPr>
        <w:tabs>
          <w:tab w:val="left" w:pos="0"/>
          <w:tab w:val="left" w:pos="420"/>
          <w:tab w:val="left" w:pos="630"/>
          <w:tab w:val="left" w:pos="840"/>
          <w:tab w:val="clear" w:pos="567"/>
        </w:tabs>
        <w:spacing w:line="360" w:lineRule="auto"/>
        <w:ind w:left="0" w:firstLine="420"/>
        <w:rPr>
          <w:rFonts w:ascii="宋体" w:hAnsi="宋体"/>
          <w:color w:val="auto"/>
          <w:highlight w:val="none"/>
        </w:rPr>
      </w:pPr>
      <w:r>
        <w:rPr>
          <w:rFonts w:ascii="宋体" w:hAnsi="宋体"/>
          <w:color w:val="auto"/>
          <w:highlight w:val="none"/>
        </w:rPr>
        <w:t>本次招标采用综合评分法，即评标委员会对各投标进行综合评价，根据评标细则的规定分别进行打分，统计得出评标结果，将评标结果写出评标报告。所有的评审资料及评分结果统计均须经评标委员会核实并签名确认。</w:t>
      </w:r>
    </w:p>
    <w:p w14:paraId="096C7FC3">
      <w:pPr>
        <w:numPr>
          <w:ilvl w:val="1"/>
          <w:numId w:val="6"/>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评标委员会将按照规定只对通过初步评审的投标文件进行评价和比较。评标委员会有权根据有关规定否决所有投标。评标委员会不直接向落标方解释落标原因，不退回投标文件。</w:t>
      </w:r>
    </w:p>
    <w:p w14:paraId="08AAE4D4">
      <w:pPr>
        <w:numPr>
          <w:ilvl w:val="1"/>
          <w:numId w:val="6"/>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评标方法</w:t>
      </w:r>
    </w:p>
    <w:p w14:paraId="3F032A9B">
      <w:pPr>
        <w:tabs>
          <w:tab w:val="left" w:pos="945"/>
        </w:tabs>
        <w:spacing w:line="360" w:lineRule="auto"/>
        <w:ind w:firstLine="525" w:firstLineChars="250"/>
        <w:rPr>
          <w:rFonts w:ascii="宋体" w:hAnsi="宋体"/>
          <w:b/>
          <w:color w:val="auto"/>
          <w:highlight w:val="none"/>
        </w:rPr>
      </w:pPr>
      <w:r>
        <w:rPr>
          <w:rFonts w:ascii="宋体" w:hAnsi="宋体"/>
          <w:color w:val="auto"/>
          <w:highlight w:val="none"/>
        </w:rPr>
        <w:t>5.4.1  本评标办法采用综合评分法。</w:t>
      </w:r>
    </w:p>
    <w:p w14:paraId="4EED9F82">
      <w:pPr>
        <w:tabs>
          <w:tab w:val="left" w:pos="945"/>
        </w:tabs>
        <w:spacing w:line="360" w:lineRule="auto"/>
        <w:ind w:left="-23" w:leftChars="-11" w:firstLine="527" w:firstLineChars="250"/>
        <w:rPr>
          <w:rFonts w:hint="eastAsia" w:ascii="宋体" w:hAnsi="宋体"/>
          <w:color w:val="auto"/>
          <w:highlight w:val="none"/>
        </w:rPr>
      </w:pPr>
      <w:r>
        <w:rPr>
          <w:rFonts w:ascii="宋体" w:hAnsi="宋体"/>
          <w:b/>
          <w:bCs/>
          <w:color w:val="auto"/>
          <w:highlight w:val="none"/>
        </w:rPr>
        <w:t>5.4.2  评标步骤：先进行</w:t>
      </w:r>
      <w:r>
        <w:rPr>
          <w:rFonts w:hint="eastAsia" w:ascii="宋体" w:hAnsi="宋体"/>
          <w:b/>
          <w:bCs/>
          <w:color w:val="auto"/>
          <w:highlight w:val="none"/>
        </w:rPr>
        <w:t>资格审查及商务技术符合性审查（阶段一）</w:t>
      </w:r>
      <w:r>
        <w:rPr>
          <w:rFonts w:ascii="宋体" w:hAnsi="宋体"/>
          <w:b/>
          <w:bCs/>
          <w:color w:val="auto"/>
          <w:highlight w:val="none"/>
        </w:rPr>
        <w:t>评审(见附表1)，再进行技术商务的详细评审。只有通过</w:t>
      </w:r>
      <w:r>
        <w:rPr>
          <w:rFonts w:hint="eastAsia" w:ascii="宋体" w:hAnsi="宋体"/>
          <w:b/>
          <w:bCs/>
          <w:color w:val="auto"/>
          <w:highlight w:val="none"/>
        </w:rPr>
        <w:t>资格审查及商务技术符合性审查</w:t>
      </w:r>
      <w:r>
        <w:rPr>
          <w:rFonts w:ascii="宋体" w:hAnsi="宋体"/>
          <w:b/>
          <w:bCs/>
          <w:color w:val="auto"/>
          <w:highlight w:val="none"/>
        </w:rPr>
        <w:t>的投标才能进入</w:t>
      </w:r>
      <w:r>
        <w:rPr>
          <w:rFonts w:hint="eastAsia" w:ascii="宋体" w:hAnsi="宋体"/>
          <w:b/>
          <w:bCs/>
          <w:color w:val="auto"/>
          <w:highlight w:val="none"/>
        </w:rPr>
        <w:t>商务和技术的</w:t>
      </w:r>
      <w:r>
        <w:rPr>
          <w:rFonts w:ascii="宋体" w:hAnsi="宋体"/>
          <w:b/>
          <w:bCs/>
          <w:color w:val="auto"/>
          <w:highlight w:val="none"/>
        </w:rPr>
        <w:t>详细评审。</w:t>
      </w:r>
    </w:p>
    <w:p w14:paraId="49795DF0">
      <w:pPr>
        <w:tabs>
          <w:tab w:val="left" w:pos="945"/>
        </w:tabs>
        <w:spacing w:line="360" w:lineRule="auto"/>
        <w:ind w:left="-23" w:leftChars="-11" w:firstLine="527" w:firstLineChars="250"/>
        <w:rPr>
          <w:rFonts w:ascii="宋体" w:hAnsi="宋体"/>
          <w:color w:val="auto"/>
          <w:highlight w:val="none"/>
        </w:rPr>
      </w:pPr>
      <w:r>
        <w:rPr>
          <w:rFonts w:ascii="宋体" w:hAnsi="宋体"/>
          <w:b/>
          <w:bCs/>
          <w:color w:val="auto"/>
          <w:highlight w:val="none"/>
        </w:rPr>
        <w:t xml:space="preserve">5.4.3  </w:t>
      </w:r>
      <w:r>
        <w:rPr>
          <w:rFonts w:hint="eastAsia" w:ascii="宋体" w:hAnsi="宋体"/>
          <w:b/>
          <w:bCs/>
          <w:color w:val="auto"/>
          <w:highlight w:val="none"/>
        </w:rPr>
        <w:t>若通过资格审查及商务技术符合性审查（阶段一）的投标人不足三家，则本项目</w:t>
      </w:r>
      <w:r>
        <w:rPr>
          <w:rFonts w:hint="eastAsia" w:ascii="宋体" w:hAnsi="宋体"/>
          <w:b/>
          <w:bCs/>
          <w:color w:val="auto"/>
          <w:highlight w:val="none"/>
          <w:lang w:val="en-US" w:eastAsia="zh-CN"/>
        </w:rPr>
        <w:t>对应子包</w:t>
      </w:r>
      <w:r>
        <w:rPr>
          <w:rFonts w:hint="eastAsia" w:ascii="宋体" w:hAnsi="宋体"/>
          <w:b/>
          <w:bCs/>
          <w:color w:val="auto"/>
          <w:highlight w:val="none"/>
        </w:rPr>
        <w:t>招标失败。</w:t>
      </w:r>
    </w:p>
    <w:p w14:paraId="73060916">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5.4.4  商务和技术的</w:t>
      </w:r>
      <w:r>
        <w:rPr>
          <w:rFonts w:ascii="宋体" w:hAnsi="宋体"/>
          <w:color w:val="auto"/>
          <w:highlight w:val="none"/>
        </w:rPr>
        <w:t>评分及其统计：按照评标程序、评分标准以及权重分配的规定，评标委员会各成员分别首先就各个投标人的技术</w:t>
      </w:r>
      <w:r>
        <w:rPr>
          <w:rFonts w:hint="eastAsia" w:ascii="宋体" w:hAnsi="宋体"/>
          <w:color w:val="auto"/>
          <w:highlight w:val="none"/>
        </w:rPr>
        <w:t>、</w:t>
      </w:r>
      <w:r>
        <w:rPr>
          <w:rFonts w:ascii="宋体" w:hAnsi="宋体"/>
          <w:color w:val="auto"/>
          <w:highlight w:val="none"/>
        </w:rPr>
        <w:t>商务状况及其对招标文件要求的响应情况进行评议和比较，评出其技术评分和商务评分</w:t>
      </w:r>
      <w:r>
        <w:rPr>
          <w:rFonts w:hint="eastAsia" w:ascii="宋体" w:hAnsi="宋体"/>
          <w:color w:val="auto"/>
          <w:highlight w:val="none"/>
        </w:rPr>
        <w:t>。</w:t>
      </w:r>
    </w:p>
    <w:p w14:paraId="2AF065E3">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5</w:t>
      </w:r>
      <w:r>
        <w:rPr>
          <w:rFonts w:ascii="宋体" w:hAnsi="宋体"/>
          <w:color w:val="auto"/>
          <w:highlight w:val="none"/>
        </w:rPr>
        <w:t xml:space="preserve">  技术评分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技术</w:t>
      </w:r>
      <w:r>
        <w:rPr>
          <w:rFonts w:ascii="宋体" w:hAnsi="宋体"/>
          <w:color w:val="auto"/>
          <w:highlight w:val="none"/>
        </w:rPr>
        <w:t>得分</w:t>
      </w:r>
      <w:r>
        <w:rPr>
          <w:rFonts w:hint="eastAsia" w:ascii="宋体" w:hAnsi="宋体"/>
          <w:color w:val="auto"/>
          <w:highlight w:val="none"/>
        </w:rPr>
        <w:t>（四舍五入，取小数点后两位）。</w:t>
      </w:r>
    </w:p>
    <w:p w14:paraId="31BD0143">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6</w:t>
      </w:r>
      <w:r>
        <w:rPr>
          <w:rFonts w:ascii="宋体" w:hAnsi="宋体"/>
          <w:color w:val="auto"/>
          <w:highlight w:val="none"/>
        </w:rPr>
        <w:t xml:space="preserve">  商务评分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商务</w:t>
      </w:r>
      <w:r>
        <w:rPr>
          <w:rFonts w:ascii="宋体" w:hAnsi="宋体"/>
          <w:color w:val="auto"/>
          <w:highlight w:val="none"/>
        </w:rPr>
        <w:t>得分</w:t>
      </w:r>
      <w:r>
        <w:rPr>
          <w:rFonts w:hint="eastAsia" w:ascii="宋体" w:hAnsi="宋体"/>
          <w:color w:val="auto"/>
          <w:highlight w:val="none"/>
        </w:rPr>
        <w:t>（四舍五入，取小数点后两位）</w:t>
      </w:r>
    </w:p>
    <w:p w14:paraId="0BFB5B29">
      <w:pPr>
        <w:tabs>
          <w:tab w:val="left" w:pos="945"/>
        </w:tabs>
        <w:spacing w:line="360" w:lineRule="auto"/>
        <w:ind w:left="-23" w:leftChars="-11" w:firstLine="527" w:firstLineChars="250"/>
        <w:rPr>
          <w:rFonts w:hint="eastAsia" w:ascii="宋体" w:hAnsi="宋体"/>
          <w:b/>
          <w:bCs/>
          <w:color w:val="auto"/>
          <w:highlight w:val="none"/>
        </w:rPr>
      </w:pPr>
      <w:r>
        <w:rPr>
          <w:rFonts w:ascii="宋体" w:hAnsi="宋体"/>
          <w:b/>
          <w:bCs/>
          <w:color w:val="auto"/>
          <w:highlight w:val="none"/>
        </w:rPr>
        <w:t>5.4.</w:t>
      </w:r>
      <w:r>
        <w:rPr>
          <w:rFonts w:hint="eastAsia" w:ascii="宋体" w:hAnsi="宋体"/>
          <w:b/>
          <w:bCs/>
          <w:color w:val="auto"/>
          <w:highlight w:val="none"/>
        </w:rPr>
        <w:t>7</w:t>
      </w:r>
      <w:r>
        <w:rPr>
          <w:rFonts w:ascii="宋体" w:hAnsi="宋体"/>
          <w:b/>
          <w:bCs/>
          <w:color w:val="auto"/>
          <w:highlight w:val="none"/>
        </w:rPr>
        <w:t xml:space="preserve">  </w:t>
      </w:r>
      <w:r>
        <w:rPr>
          <w:rFonts w:hint="eastAsia" w:ascii="宋体" w:hAnsi="宋体"/>
          <w:b/>
          <w:bCs/>
          <w:color w:val="auto"/>
          <w:highlight w:val="none"/>
        </w:rPr>
        <w:t>评标委员会汇总整理所有投标人的商务得分及技术得分后，然后对投标人进行价格符合性审查（阶段二）</w:t>
      </w:r>
      <w:r>
        <w:rPr>
          <w:rFonts w:ascii="宋体" w:hAnsi="宋体"/>
          <w:b/>
          <w:bCs/>
          <w:color w:val="auto"/>
          <w:highlight w:val="none"/>
        </w:rPr>
        <w:t>(见附表</w:t>
      </w:r>
      <w:r>
        <w:rPr>
          <w:rFonts w:hint="eastAsia" w:ascii="宋体" w:hAnsi="宋体"/>
          <w:b/>
          <w:bCs/>
          <w:color w:val="auto"/>
          <w:highlight w:val="none"/>
        </w:rPr>
        <w:t>4），</w:t>
      </w:r>
      <w:r>
        <w:rPr>
          <w:rFonts w:ascii="宋体" w:hAnsi="宋体"/>
          <w:b/>
          <w:bCs/>
          <w:color w:val="auto"/>
          <w:highlight w:val="none"/>
        </w:rPr>
        <w:t>再进行</w:t>
      </w:r>
      <w:r>
        <w:rPr>
          <w:rFonts w:hint="eastAsia" w:ascii="宋体" w:hAnsi="宋体"/>
          <w:b/>
          <w:bCs/>
          <w:color w:val="auto"/>
          <w:highlight w:val="none"/>
        </w:rPr>
        <w:t>价格</w:t>
      </w:r>
      <w:r>
        <w:rPr>
          <w:rFonts w:ascii="宋体" w:hAnsi="宋体"/>
          <w:b/>
          <w:bCs/>
          <w:color w:val="auto"/>
          <w:highlight w:val="none"/>
        </w:rPr>
        <w:t>的详细评审。只有通过</w:t>
      </w:r>
      <w:r>
        <w:rPr>
          <w:rFonts w:hint="eastAsia" w:ascii="宋体" w:hAnsi="宋体"/>
          <w:b/>
          <w:bCs/>
          <w:color w:val="auto"/>
          <w:highlight w:val="none"/>
        </w:rPr>
        <w:t>价格符合性审查</w:t>
      </w:r>
      <w:r>
        <w:rPr>
          <w:rFonts w:ascii="宋体" w:hAnsi="宋体"/>
          <w:b/>
          <w:bCs/>
          <w:color w:val="auto"/>
          <w:highlight w:val="none"/>
        </w:rPr>
        <w:t>的投标才能进入</w:t>
      </w:r>
      <w:r>
        <w:rPr>
          <w:rFonts w:hint="eastAsia" w:ascii="宋体" w:hAnsi="宋体"/>
          <w:b/>
          <w:bCs/>
          <w:color w:val="auto"/>
          <w:highlight w:val="none"/>
        </w:rPr>
        <w:t>价格的</w:t>
      </w:r>
      <w:r>
        <w:rPr>
          <w:rFonts w:ascii="宋体" w:hAnsi="宋体"/>
          <w:b/>
          <w:bCs/>
          <w:color w:val="auto"/>
          <w:highlight w:val="none"/>
        </w:rPr>
        <w:t>详细评审</w:t>
      </w:r>
      <w:r>
        <w:rPr>
          <w:rFonts w:hint="eastAsia" w:ascii="宋体" w:hAnsi="宋体"/>
          <w:b/>
          <w:bCs/>
          <w:color w:val="auto"/>
          <w:highlight w:val="none"/>
        </w:rPr>
        <w:t>。</w:t>
      </w:r>
    </w:p>
    <w:p w14:paraId="12369A31">
      <w:pPr>
        <w:tabs>
          <w:tab w:val="left" w:pos="945"/>
        </w:tabs>
        <w:spacing w:line="360" w:lineRule="auto"/>
        <w:ind w:left="-23" w:leftChars="-11" w:firstLine="527" w:firstLineChars="250"/>
        <w:rPr>
          <w:rFonts w:ascii="宋体" w:hAnsi="宋体"/>
          <w:b/>
          <w:bCs/>
          <w:color w:val="auto"/>
          <w:highlight w:val="none"/>
        </w:rPr>
      </w:pPr>
      <w:r>
        <w:rPr>
          <w:rFonts w:hint="eastAsia" w:ascii="宋体" w:hAnsi="宋体"/>
          <w:b/>
          <w:bCs/>
          <w:color w:val="auto"/>
          <w:highlight w:val="none"/>
        </w:rPr>
        <w:t>5.4.8  若投标人出现商务</w:t>
      </w:r>
      <w:r>
        <w:rPr>
          <w:rFonts w:hint="eastAsia" w:ascii="宋体" w:hAnsi="宋体"/>
          <w:b/>
          <w:bCs/>
          <w:color w:val="auto"/>
          <w:highlight w:val="none"/>
          <w:lang w:val="en-US" w:eastAsia="zh-CN"/>
        </w:rPr>
        <w:t>得分</w:t>
      </w:r>
      <w:r>
        <w:rPr>
          <w:rFonts w:hint="eastAsia" w:ascii="宋体" w:hAnsi="宋体"/>
          <w:b/>
          <w:bCs/>
          <w:color w:val="auto"/>
          <w:highlight w:val="none"/>
        </w:rPr>
        <w:t>低于商务</w:t>
      </w:r>
      <w:r>
        <w:rPr>
          <w:rFonts w:hint="eastAsia" w:ascii="宋体" w:hAnsi="宋体"/>
          <w:b/>
          <w:bCs/>
          <w:color w:val="auto"/>
          <w:highlight w:val="none"/>
          <w:lang w:val="en-US" w:eastAsia="zh-CN"/>
        </w:rPr>
        <w:t>分值</w:t>
      </w:r>
      <w:r>
        <w:rPr>
          <w:rFonts w:hint="eastAsia" w:ascii="宋体" w:hAnsi="宋体"/>
          <w:b/>
          <w:bCs/>
          <w:color w:val="auto"/>
          <w:highlight w:val="none"/>
        </w:rPr>
        <w:t>的60%，评标委员会将否决该投标人的所有投标文件，该投标人也不再进入价格详细评审环节。</w:t>
      </w:r>
    </w:p>
    <w:p w14:paraId="46C17862">
      <w:pPr>
        <w:tabs>
          <w:tab w:val="left" w:pos="945"/>
        </w:tabs>
        <w:spacing w:line="360" w:lineRule="auto"/>
        <w:ind w:left="-23" w:leftChars="-11" w:firstLine="527" w:firstLineChars="250"/>
        <w:rPr>
          <w:rFonts w:ascii="宋体" w:hAnsi="宋体"/>
          <w:color w:val="auto"/>
          <w:highlight w:val="none"/>
        </w:rPr>
      </w:pPr>
      <w:r>
        <w:rPr>
          <w:rFonts w:hint="eastAsia" w:ascii="宋体" w:hAnsi="宋体"/>
          <w:b/>
          <w:bCs/>
          <w:color w:val="auto"/>
          <w:highlight w:val="none"/>
        </w:rPr>
        <w:t>5.4.9  若通过价格符合性审查（阶段二）的投标人不足三家，则本项目</w:t>
      </w:r>
      <w:r>
        <w:rPr>
          <w:rFonts w:hint="eastAsia" w:ascii="宋体" w:hAnsi="宋体"/>
          <w:b/>
          <w:bCs/>
          <w:color w:val="auto"/>
          <w:highlight w:val="none"/>
          <w:lang w:val="en-US" w:eastAsia="zh-CN"/>
        </w:rPr>
        <w:t>对应子包</w:t>
      </w:r>
      <w:r>
        <w:rPr>
          <w:rFonts w:hint="eastAsia" w:ascii="宋体" w:hAnsi="宋体"/>
          <w:b/>
          <w:bCs/>
          <w:color w:val="auto"/>
          <w:highlight w:val="none"/>
        </w:rPr>
        <w:t>招标失败。</w:t>
      </w:r>
    </w:p>
    <w:p w14:paraId="0C234A1E">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5.4.10  价格</w:t>
      </w:r>
      <w:r>
        <w:rPr>
          <w:rFonts w:ascii="宋体" w:hAnsi="宋体"/>
          <w:color w:val="auto"/>
          <w:highlight w:val="none"/>
        </w:rPr>
        <w:t>评分</w:t>
      </w:r>
      <w:r>
        <w:rPr>
          <w:rFonts w:hint="eastAsia" w:ascii="宋体" w:hAnsi="宋体"/>
          <w:color w:val="auto"/>
          <w:highlight w:val="none"/>
        </w:rPr>
        <w:t>的评分及统计：</w:t>
      </w:r>
      <w:r>
        <w:rPr>
          <w:rFonts w:ascii="宋体" w:hAnsi="宋体"/>
          <w:color w:val="auto"/>
          <w:highlight w:val="none"/>
        </w:rPr>
        <w:t>按照评标程序、评分标准以及权重分配的规定，评标委员就各个投标人的</w:t>
      </w:r>
      <w:r>
        <w:rPr>
          <w:rFonts w:hint="eastAsia" w:ascii="宋体" w:hAnsi="宋体"/>
          <w:color w:val="auto"/>
          <w:highlight w:val="none"/>
        </w:rPr>
        <w:t>价格</w:t>
      </w:r>
      <w:r>
        <w:rPr>
          <w:rFonts w:ascii="宋体" w:hAnsi="宋体"/>
          <w:color w:val="auto"/>
          <w:highlight w:val="none"/>
        </w:rPr>
        <w:t>状况及其对招标文件要求的响应情况进行评议和比较，评出其</w:t>
      </w:r>
      <w:r>
        <w:rPr>
          <w:rFonts w:hint="eastAsia" w:ascii="宋体" w:hAnsi="宋体"/>
          <w:color w:val="auto"/>
          <w:highlight w:val="none"/>
        </w:rPr>
        <w:t>价格</w:t>
      </w:r>
      <w:r>
        <w:rPr>
          <w:rFonts w:ascii="宋体" w:hAnsi="宋体"/>
          <w:color w:val="auto"/>
          <w:highlight w:val="none"/>
        </w:rPr>
        <w:t>评分</w:t>
      </w:r>
      <w:r>
        <w:rPr>
          <w:rFonts w:hint="eastAsia" w:ascii="宋体" w:hAnsi="宋体"/>
          <w:bCs/>
          <w:color w:val="auto"/>
          <w:highlight w:val="none"/>
        </w:rPr>
        <w:t>。</w:t>
      </w:r>
    </w:p>
    <w:p w14:paraId="490AA909">
      <w:pPr>
        <w:tabs>
          <w:tab w:val="left" w:pos="945"/>
        </w:tabs>
        <w:spacing w:line="360" w:lineRule="auto"/>
        <w:ind w:left="-23" w:leftChars="-11" w:firstLine="525" w:firstLineChars="250"/>
        <w:rPr>
          <w:rFonts w:ascii="宋体" w:hAnsi="宋体"/>
          <w:color w:val="auto"/>
          <w:highlight w:val="none"/>
        </w:rPr>
      </w:pPr>
      <w:r>
        <w:rPr>
          <w:rFonts w:ascii="宋体" w:hAnsi="宋体"/>
          <w:color w:val="auto"/>
          <w:highlight w:val="none"/>
        </w:rPr>
        <w:t>5.4.</w:t>
      </w:r>
      <w:r>
        <w:rPr>
          <w:rFonts w:hint="eastAsia" w:ascii="宋体" w:hAnsi="宋体"/>
          <w:color w:val="auto"/>
          <w:highlight w:val="none"/>
        </w:rPr>
        <w:t>11</w:t>
      </w:r>
      <w:r>
        <w:rPr>
          <w:rFonts w:ascii="宋体" w:hAnsi="宋体"/>
          <w:color w:val="auto"/>
          <w:highlight w:val="none"/>
        </w:rPr>
        <w:t xml:space="preserve">  </w:t>
      </w:r>
      <w:r>
        <w:rPr>
          <w:rFonts w:hint="eastAsia" w:ascii="宋体" w:hAnsi="宋体"/>
          <w:color w:val="auto"/>
          <w:highlight w:val="none"/>
        </w:rPr>
        <w:t>评标委员会</w:t>
      </w:r>
      <w:r>
        <w:rPr>
          <w:rFonts w:ascii="宋体" w:hAnsi="宋体"/>
          <w:color w:val="auto"/>
          <w:highlight w:val="none"/>
        </w:rPr>
        <w:t>将各投标人的技术评分</w:t>
      </w:r>
      <w:r>
        <w:rPr>
          <w:rFonts w:hint="eastAsia" w:ascii="宋体" w:hAnsi="宋体"/>
          <w:color w:val="auto"/>
          <w:highlight w:val="none"/>
        </w:rPr>
        <w:t>、</w:t>
      </w:r>
      <w:r>
        <w:rPr>
          <w:rFonts w:ascii="宋体" w:hAnsi="宋体"/>
          <w:color w:val="auto"/>
          <w:highlight w:val="none"/>
        </w:rPr>
        <w:t>商务评分和价格评分相加得出其综合得分。将各综合得分由高到低顺序排列，</w:t>
      </w:r>
      <w:r>
        <w:rPr>
          <w:rFonts w:hint="eastAsia" w:ascii="宋体" w:hAnsi="宋体"/>
          <w:color w:val="auto"/>
          <w:highlight w:val="none"/>
        </w:rPr>
        <w:t>推荐中标候选人</w:t>
      </w:r>
      <w:r>
        <w:rPr>
          <w:rFonts w:ascii="宋体" w:hAnsi="宋体"/>
          <w:color w:val="auto"/>
          <w:highlight w:val="none"/>
        </w:rPr>
        <w:t>。</w:t>
      </w:r>
    </w:p>
    <w:p w14:paraId="28839006">
      <w:pPr>
        <w:tabs>
          <w:tab w:val="left" w:pos="945"/>
        </w:tabs>
        <w:spacing w:before="124" w:beforeLines="40" w:after="124" w:afterLines="40" w:line="360" w:lineRule="auto"/>
        <w:ind w:firstLine="525" w:firstLineChars="250"/>
        <w:rPr>
          <w:rFonts w:ascii="宋体" w:hAnsi="宋体"/>
          <w:color w:val="auto"/>
          <w:highlight w:val="none"/>
        </w:rPr>
      </w:pPr>
      <w:r>
        <w:rPr>
          <w:rFonts w:ascii="宋体" w:hAnsi="宋体"/>
          <w:color w:val="auto"/>
          <w:highlight w:val="none"/>
        </w:rPr>
        <w:t>5.5.</w:t>
      </w:r>
      <w:bookmarkStart w:id="182" w:name="_Toc99012608"/>
      <w:r>
        <w:rPr>
          <w:rFonts w:ascii="宋体" w:hAnsi="宋体"/>
          <w:color w:val="auto"/>
          <w:szCs w:val="28"/>
          <w:highlight w:val="none"/>
        </w:rPr>
        <w:t xml:space="preserve"> 评标流程</w:t>
      </w:r>
      <w:bookmarkEnd w:id="182"/>
    </w:p>
    <w:p w14:paraId="3E88AA20">
      <w:pPr>
        <w:tabs>
          <w:tab w:val="left" w:pos="945"/>
        </w:tabs>
        <w:spacing w:before="120" w:after="120" w:line="360" w:lineRule="auto"/>
        <w:ind w:firstLine="525" w:firstLineChars="250"/>
        <w:rPr>
          <w:rFonts w:ascii="宋体" w:hAnsi="宋体"/>
          <w:color w:val="auto"/>
          <w:highlight w:val="none"/>
        </w:rPr>
      </w:pPr>
      <w:bookmarkStart w:id="183" w:name="_Toc10564_WPSOffice_Level1"/>
      <w:bookmarkStart w:id="184" w:name="_Toc3202_WPSOffice_Level1"/>
      <w:bookmarkStart w:id="185" w:name="_Toc10388_WPSOffice_Level1"/>
      <w:r>
        <w:rPr>
          <w:rFonts w:ascii="宋体" w:hAnsi="宋体"/>
          <w:color w:val="auto"/>
          <w:highlight w:val="none"/>
        </w:rPr>
        <w:t>5.5.1初步评审</w:t>
      </w:r>
      <w:bookmarkEnd w:id="183"/>
      <w:bookmarkEnd w:id="184"/>
      <w:bookmarkEnd w:id="185"/>
    </w:p>
    <w:p w14:paraId="7E1C4A14">
      <w:pPr>
        <w:tabs>
          <w:tab w:val="left" w:pos="945"/>
        </w:tabs>
        <w:spacing w:line="360" w:lineRule="auto"/>
        <w:ind w:left="-23" w:leftChars="-11" w:firstLine="527" w:firstLineChars="250"/>
        <w:rPr>
          <w:rFonts w:ascii="宋体" w:hAnsi="宋体"/>
          <w:b/>
          <w:bCs/>
          <w:color w:val="auto"/>
          <w:highlight w:val="none"/>
        </w:rPr>
      </w:pPr>
      <w:r>
        <w:rPr>
          <w:rFonts w:ascii="宋体" w:hAnsi="宋体"/>
          <w:b/>
          <w:bCs/>
          <w:color w:val="auto"/>
          <w:highlight w:val="none"/>
        </w:rPr>
        <w:t>a.评标委员会按照</w:t>
      </w:r>
      <w:r>
        <w:rPr>
          <w:rFonts w:hint="eastAsia" w:ascii="宋体" w:hAnsi="宋体"/>
          <w:b/>
          <w:bCs/>
          <w:color w:val="auto"/>
          <w:highlight w:val="none"/>
        </w:rPr>
        <w:t>资格审查及商务技术符合性审查（阶段一）及价格符合性审查（阶段二）的</w:t>
      </w:r>
      <w:r>
        <w:rPr>
          <w:rFonts w:ascii="宋体" w:hAnsi="宋体"/>
          <w:b/>
          <w:bCs/>
          <w:color w:val="auto"/>
          <w:highlight w:val="none"/>
        </w:rPr>
        <w:t>内容</w:t>
      </w:r>
      <w:r>
        <w:rPr>
          <w:rFonts w:hint="eastAsia" w:ascii="宋体" w:hAnsi="宋体"/>
          <w:b/>
          <w:bCs/>
          <w:color w:val="auto"/>
          <w:highlight w:val="none"/>
        </w:rPr>
        <w:t>按评标方法</w:t>
      </w:r>
      <w:r>
        <w:rPr>
          <w:rFonts w:ascii="宋体" w:hAnsi="宋体"/>
          <w:b/>
          <w:bCs/>
          <w:color w:val="auto"/>
          <w:highlight w:val="none"/>
        </w:rPr>
        <w:t>对投标文件进行检查，</w:t>
      </w:r>
      <w:r>
        <w:rPr>
          <w:rFonts w:hint="eastAsia" w:ascii="宋体" w:hAnsi="宋体"/>
          <w:b/>
          <w:bCs/>
          <w:color w:val="auto"/>
          <w:highlight w:val="none"/>
        </w:rPr>
        <w:t>通过资格审查及商务技术符合性审查（阶段一）</w:t>
      </w:r>
      <w:r>
        <w:rPr>
          <w:rFonts w:ascii="宋体" w:hAnsi="宋体"/>
          <w:b/>
          <w:bCs/>
          <w:color w:val="auto"/>
          <w:highlight w:val="none"/>
        </w:rPr>
        <w:t>所列各项作出实质性响应的投标文件才能</w:t>
      </w:r>
      <w:r>
        <w:rPr>
          <w:rFonts w:hint="eastAsia" w:ascii="宋体" w:hAnsi="宋体"/>
          <w:b/>
          <w:bCs/>
          <w:color w:val="auto"/>
          <w:highlight w:val="none"/>
        </w:rPr>
        <w:t>进入到商务、技术的详细评审当中；通过价格符合性审查（阶段二）</w:t>
      </w:r>
      <w:r>
        <w:rPr>
          <w:rFonts w:ascii="宋体" w:hAnsi="宋体"/>
          <w:b/>
          <w:bCs/>
          <w:color w:val="auto"/>
          <w:highlight w:val="none"/>
        </w:rPr>
        <w:t>所列各项作出实质性响应的投标文件才能</w:t>
      </w:r>
      <w:r>
        <w:rPr>
          <w:rFonts w:hint="eastAsia" w:ascii="宋体" w:hAnsi="宋体"/>
          <w:b/>
          <w:bCs/>
          <w:color w:val="auto"/>
          <w:highlight w:val="none"/>
        </w:rPr>
        <w:t>进入到价格的详细评审当中</w:t>
      </w:r>
      <w:r>
        <w:rPr>
          <w:rFonts w:ascii="宋体" w:hAnsi="宋体"/>
          <w:b/>
          <w:bCs/>
          <w:color w:val="auto"/>
          <w:highlight w:val="none"/>
        </w:rPr>
        <w:t>。</w:t>
      </w:r>
    </w:p>
    <w:p w14:paraId="1F0A3C13">
      <w:pPr>
        <w:tabs>
          <w:tab w:val="left" w:pos="945"/>
        </w:tabs>
        <w:spacing w:line="360" w:lineRule="auto"/>
        <w:ind w:left="-23" w:leftChars="-11" w:firstLine="525" w:firstLineChars="250"/>
        <w:rPr>
          <w:color w:val="auto"/>
          <w:highlight w:val="none"/>
        </w:rPr>
      </w:pPr>
      <w:r>
        <w:rPr>
          <w:rFonts w:ascii="宋体" w:hAnsi="宋体"/>
          <w:color w:val="auto"/>
          <w:highlight w:val="none"/>
        </w:rPr>
        <w:t>注：如出现无效投标的争议时，各评委</w:t>
      </w:r>
      <w:r>
        <w:rPr>
          <w:rFonts w:hint="eastAsia" w:ascii="宋体" w:hAnsi="宋体"/>
          <w:color w:val="auto"/>
          <w:highlight w:val="none"/>
        </w:rPr>
        <w:t>按规定</w:t>
      </w:r>
      <w:r>
        <w:rPr>
          <w:rFonts w:ascii="宋体" w:hAnsi="宋体"/>
          <w:color w:val="auto"/>
          <w:highlight w:val="none"/>
        </w:rPr>
        <w:t>以少数服从多数的原则通过记名投票书面确认是否为无效投标。</w:t>
      </w:r>
    </w:p>
    <w:p w14:paraId="62F9975A">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b.评标委员会将审查有关资格证明文件是否有效、是否提交投标保证金、文件签署是否合格、投标有效期是否满足要求等。</w:t>
      </w:r>
    </w:p>
    <w:p w14:paraId="3F710A6E">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w:t>
      </w:r>
      <w:r>
        <w:rPr>
          <w:rFonts w:hint="eastAsia"/>
          <w:color w:val="auto"/>
          <w:lang w:val="en-US" w:eastAsia="zh-CN"/>
        </w:rPr>
        <w:t>的服务要求事项、服务质量</w:t>
      </w:r>
      <w:r>
        <w:rPr>
          <w:rFonts w:ascii="宋体" w:hAnsi="宋体"/>
          <w:color w:val="auto"/>
          <w:highlight w:val="none"/>
        </w:rPr>
        <w:t>；或者实质上与招标文件不一致，而且限制了合同中招标人的权利或投标人的义务；纠正这些偏离或保留将会对其它实质上响应要求的投标人的竞争地位产生不公正的影响。评标委员会决定投标文件的响应性只根据投标文件本身的内容，而不寻找外部的证据。</w:t>
      </w:r>
    </w:p>
    <w:p w14:paraId="09A53CC8">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d.无效投标的认定</w:t>
      </w:r>
    </w:p>
    <w:p w14:paraId="6F838F3D">
      <w:pPr>
        <w:tabs>
          <w:tab w:val="left" w:pos="1030"/>
        </w:tabs>
        <w:spacing w:line="360" w:lineRule="auto"/>
        <w:ind w:firstLine="527" w:firstLineChars="250"/>
        <w:rPr>
          <w:rFonts w:ascii="宋体" w:hAnsi="宋体"/>
          <w:b/>
          <w:bCs/>
          <w:color w:val="auto"/>
          <w:highlight w:val="none"/>
        </w:rPr>
      </w:pPr>
      <w:r>
        <w:rPr>
          <w:rFonts w:ascii="宋体" w:hAnsi="宋体"/>
          <w:b/>
          <w:bCs/>
          <w:color w:val="auto"/>
          <w:highlight w:val="none"/>
        </w:rPr>
        <w:t>按</w:t>
      </w:r>
      <w:r>
        <w:rPr>
          <w:rFonts w:hint="eastAsia" w:ascii="宋体" w:hAnsi="宋体"/>
          <w:b/>
          <w:bCs/>
          <w:color w:val="auto"/>
          <w:highlight w:val="none"/>
        </w:rPr>
        <w:t>资格审查及商务技术符合性审查（阶段一）及价格符合性审查（阶段二）</w:t>
      </w:r>
      <w:r>
        <w:rPr>
          <w:rFonts w:ascii="宋体" w:hAnsi="宋体"/>
          <w:b/>
          <w:bCs/>
          <w:color w:val="auto"/>
          <w:highlight w:val="none"/>
        </w:rPr>
        <w:t>（见附表1</w:t>
      </w:r>
      <w:r>
        <w:rPr>
          <w:rFonts w:hint="eastAsia" w:ascii="宋体" w:hAnsi="宋体"/>
          <w:b/>
          <w:bCs/>
          <w:color w:val="auto"/>
          <w:highlight w:val="none"/>
        </w:rPr>
        <w:t>、见附表4</w:t>
      </w:r>
      <w:r>
        <w:rPr>
          <w:rFonts w:ascii="宋体" w:hAnsi="宋体"/>
          <w:b/>
          <w:bCs/>
          <w:color w:val="auto"/>
          <w:highlight w:val="none"/>
        </w:rPr>
        <w:t>）所列各项，评标委员会认为投标文件不满足招标文件要求的，将被认定为无效投标。</w:t>
      </w:r>
    </w:p>
    <w:p w14:paraId="28E7DFDE">
      <w:pPr>
        <w:spacing w:before="120" w:after="120" w:line="360" w:lineRule="auto"/>
        <w:ind w:firstLine="525" w:firstLineChars="250"/>
        <w:rPr>
          <w:rFonts w:ascii="宋体" w:hAnsi="宋体"/>
          <w:bCs/>
          <w:color w:val="auto"/>
          <w:highlight w:val="none"/>
        </w:rPr>
      </w:pPr>
      <w:bookmarkStart w:id="186" w:name="_Toc962_WPSOffice_Level1"/>
      <w:bookmarkStart w:id="187" w:name="_Toc18377_WPSOffice_Level1"/>
      <w:bookmarkStart w:id="188" w:name="_Toc17602_WPSOffice_Level1"/>
      <w:r>
        <w:rPr>
          <w:rFonts w:ascii="宋体" w:hAnsi="宋体"/>
          <w:bCs/>
          <w:color w:val="auto"/>
          <w:highlight w:val="none"/>
        </w:rPr>
        <w:t>5.5.2详细评审</w:t>
      </w:r>
      <w:bookmarkEnd w:id="186"/>
      <w:bookmarkEnd w:id="187"/>
      <w:bookmarkEnd w:id="188"/>
    </w:p>
    <w:p w14:paraId="3A712690">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a.详细评审是对通过</w:t>
      </w:r>
      <w:r>
        <w:rPr>
          <w:rFonts w:hint="eastAsia" w:ascii="宋体" w:hAnsi="宋体"/>
          <w:color w:val="auto"/>
          <w:highlight w:val="none"/>
        </w:rPr>
        <w:t>资格审查及商务技术符合性审查（阶段一）</w:t>
      </w:r>
      <w:r>
        <w:rPr>
          <w:rFonts w:ascii="宋体" w:hAnsi="宋体"/>
          <w:color w:val="auto"/>
          <w:highlight w:val="none"/>
        </w:rPr>
        <w:t>的投标进行技术</w:t>
      </w:r>
      <w:r>
        <w:rPr>
          <w:rFonts w:hint="eastAsia" w:ascii="宋体" w:hAnsi="宋体"/>
          <w:color w:val="auto"/>
          <w:highlight w:val="none"/>
        </w:rPr>
        <w:t>评审、</w:t>
      </w:r>
      <w:r>
        <w:rPr>
          <w:rFonts w:ascii="宋体" w:hAnsi="宋体"/>
          <w:color w:val="auto"/>
          <w:highlight w:val="none"/>
        </w:rPr>
        <w:t>商务</w:t>
      </w:r>
      <w:r>
        <w:rPr>
          <w:rFonts w:hint="eastAsia" w:ascii="宋体" w:hAnsi="宋体"/>
          <w:color w:val="auto"/>
          <w:highlight w:val="none"/>
        </w:rPr>
        <w:t>评审以及对通过价格符合性审查（阶段二）</w:t>
      </w:r>
      <w:r>
        <w:rPr>
          <w:rFonts w:ascii="宋体" w:hAnsi="宋体"/>
          <w:color w:val="auto"/>
          <w:highlight w:val="none"/>
        </w:rPr>
        <w:t>的投标进行价格评审。</w:t>
      </w:r>
    </w:p>
    <w:p w14:paraId="494288B7">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b.技术、商务评分：评标委员会就</w:t>
      </w:r>
      <w:r>
        <w:rPr>
          <w:rFonts w:hint="eastAsia" w:ascii="宋体" w:hAnsi="宋体"/>
          <w:color w:val="auto"/>
          <w:highlight w:val="none"/>
        </w:rPr>
        <w:t>技术评分表、商务评分表的评审</w:t>
      </w:r>
      <w:r>
        <w:rPr>
          <w:rFonts w:ascii="宋体" w:hAnsi="宋体"/>
          <w:color w:val="auto"/>
          <w:highlight w:val="none"/>
        </w:rPr>
        <w:t>因素进行评分，各因素所占权重比例见《技术</w:t>
      </w:r>
      <w:r>
        <w:rPr>
          <w:rFonts w:hint="eastAsia" w:ascii="宋体" w:hAnsi="宋体"/>
          <w:color w:val="auto"/>
          <w:highlight w:val="none"/>
        </w:rPr>
        <w:t>评分</w:t>
      </w:r>
      <w:r>
        <w:rPr>
          <w:rFonts w:ascii="宋体" w:hAnsi="宋体"/>
          <w:color w:val="auto"/>
          <w:highlight w:val="none"/>
        </w:rPr>
        <w:t>表》（附表2）及《商务评</w:t>
      </w:r>
      <w:r>
        <w:rPr>
          <w:rFonts w:hint="eastAsia" w:ascii="宋体" w:hAnsi="宋体"/>
          <w:color w:val="auto"/>
          <w:highlight w:val="none"/>
        </w:rPr>
        <w:t>分</w:t>
      </w:r>
      <w:r>
        <w:rPr>
          <w:rFonts w:ascii="宋体" w:hAnsi="宋体"/>
          <w:color w:val="auto"/>
          <w:highlight w:val="none"/>
        </w:rPr>
        <w:t>表》（附表3），评分统计按本评标方法</w:t>
      </w:r>
      <w:r>
        <w:rPr>
          <w:rFonts w:hint="eastAsia" w:ascii="宋体" w:hAnsi="宋体"/>
          <w:color w:val="auto"/>
          <w:highlight w:val="none"/>
        </w:rPr>
        <w:t>的</w:t>
      </w:r>
      <w:r>
        <w:rPr>
          <w:rFonts w:ascii="宋体" w:hAnsi="宋体"/>
          <w:color w:val="auto"/>
          <w:highlight w:val="none"/>
        </w:rPr>
        <w:t>规定进行。</w:t>
      </w:r>
    </w:p>
    <w:p w14:paraId="01AD5288">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c.价格的核准和评分</w:t>
      </w:r>
    </w:p>
    <w:p w14:paraId="4B3D1E50">
      <w:pPr>
        <w:tabs>
          <w:tab w:val="left" w:pos="0"/>
        </w:tabs>
        <w:spacing w:line="360" w:lineRule="auto"/>
        <w:ind w:firstLine="420" w:firstLineChars="200"/>
        <w:rPr>
          <w:rFonts w:ascii="宋体" w:hAnsi="宋体"/>
          <w:color w:val="auto"/>
          <w:highlight w:val="none"/>
        </w:rPr>
      </w:pPr>
      <w:r>
        <w:rPr>
          <w:rFonts w:ascii="宋体" w:hAnsi="宋体"/>
          <w:color w:val="auto"/>
          <w:highlight w:val="none"/>
        </w:rPr>
        <w:t>a)评标委员会详细分析、核准价格表，看其是否有计算上或累加上的算术错误，修正错误的原则如下：</w:t>
      </w:r>
    </w:p>
    <w:p w14:paraId="6F81B77B">
      <w:pPr>
        <w:spacing w:line="360" w:lineRule="auto"/>
        <w:ind w:firstLine="420" w:firstLineChars="200"/>
        <w:rPr>
          <w:rFonts w:hint="eastAsia" w:ascii="宋体" w:hAnsi="宋体"/>
          <w:color w:val="auto"/>
          <w:highlight w:val="none"/>
        </w:rPr>
      </w:pPr>
      <w:r>
        <w:rPr>
          <w:rFonts w:ascii="宋体" w:hAnsi="宋体"/>
          <w:color w:val="auto"/>
          <w:highlight w:val="none"/>
        </w:rPr>
        <w:t>（1）</w:t>
      </w:r>
      <w:r>
        <w:rPr>
          <w:rFonts w:hint="eastAsia" w:ascii="宋体" w:hAnsi="宋体"/>
          <w:color w:val="auto"/>
          <w:highlight w:val="none"/>
        </w:rPr>
        <w:t>若电子平台开标一览表报价与系统上传的电子投标文件开标一览表报价不一致，以系统上传的电子投标文件开标一览表报价为准。</w:t>
      </w:r>
    </w:p>
    <w:p w14:paraId="5832150C">
      <w:pPr>
        <w:spacing w:line="360" w:lineRule="auto"/>
        <w:ind w:firstLine="420" w:firstLineChars="200"/>
        <w:rPr>
          <w:rFonts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2</w:t>
      </w:r>
      <w:r>
        <w:rPr>
          <w:rFonts w:hint="eastAsia" w:ascii="宋体" w:hAnsi="宋体"/>
          <w:color w:val="auto"/>
          <w:highlight w:val="none"/>
        </w:rPr>
        <w:t>）</w:t>
      </w:r>
      <w:r>
        <w:rPr>
          <w:rFonts w:ascii="宋体" w:hAnsi="宋体"/>
          <w:color w:val="auto"/>
          <w:highlight w:val="none"/>
        </w:rPr>
        <w:t>如果用大写表示的金额和用小写表示的金额不一致，应以大写表示的金额为准；</w:t>
      </w:r>
    </w:p>
    <w:p w14:paraId="5FDA3E07">
      <w:pPr>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3</w:t>
      </w:r>
      <w:r>
        <w:rPr>
          <w:rFonts w:ascii="宋体" w:hAnsi="宋体"/>
          <w:color w:val="auto"/>
          <w:highlight w:val="none"/>
        </w:rPr>
        <w:t>）当单价和数量的乘积与总价金额不一致时，以单价为准（除单价金额小数点明显错误的除外），并修正总价；</w:t>
      </w:r>
    </w:p>
    <w:p w14:paraId="6EEBF30E">
      <w:pPr>
        <w:tabs>
          <w:tab w:val="left" w:pos="0"/>
        </w:tabs>
        <w:spacing w:line="360" w:lineRule="auto"/>
        <w:ind w:firstLine="420" w:firstLineChars="200"/>
        <w:rPr>
          <w:rFonts w:hint="eastAsia"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4</w:t>
      </w:r>
      <w:r>
        <w:rPr>
          <w:rFonts w:ascii="宋体" w:hAnsi="宋体"/>
          <w:color w:val="auto"/>
          <w:highlight w:val="none"/>
        </w:rPr>
        <w:t>）漏项的调整方式：</w:t>
      </w:r>
      <w:r>
        <w:rPr>
          <w:rFonts w:hint="eastAsia" w:ascii="宋体" w:hAnsi="宋体"/>
          <w:color w:val="auto"/>
          <w:highlight w:val="none"/>
        </w:rPr>
        <w:t>如评标委员会认为投标人报价存在重大缺漏项或标准不符事项，评标委员会有权按本次招标其它投标人相应项目的最高报价或最新相同或类似项目合同价格或估价折算,调整评标价格（仅在评标时进行调整，</w:t>
      </w:r>
      <w:r>
        <w:rPr>
          <w:rFonts w:ascii="宋体" w:hAnsi="宋体"/>
          <w:bCs/>
          <w:color w:val="auto"/>
          <w:highlight w:val="none"/>
        </w:rPr>
        <w:t>如该投标人中标，</w:t>
      </w:r>
      <w:r>
        <w:rPr>
          <w:rFonts w:hint="eastAsia" w:ascii="宋体" w:hAnsi="宋体"/>
          <w:bCs/>
          <w:color w:val="auto"/>
          <w:highlight w:val="none"/>
        </w:rPr>
        <w:t>所有漏项应包含在供货范围内，且</w:t>
      </w:r>
      <w:r>
        <w:rPr>
          <w:rFonts w:ascii="宋体" w:hAnsi="宋体"/>
          <w:bCs/>
          <w:color w:val="auto"/>
          <w:highlight w:val="none"/>
        </w:rPr>
        <w:t>中标价仍按其投标报价计</w:t>
      </w:r>
      <w:r>
        <w:rPr>
          <w:rFonts w:hint="eastAsia" w:ascii="宋体" w:hAnsi="宋体"/>
          <w:color w:val="auto"/>
          <w:highlight w:val="none"/>
        </w:rPr>
        <w:t>）</w:t>
      </w:r>
      <w:r>
        <w:rPr>
          <w:rFonts w:ascii="宋体" w:hAnsi="宋体"/>
          <w:color w:val="auto"/>
          <w:highlight w:val="none"/>
        </w:rPr>
        <w:t>。</w:t>
      </w:r>
    </w:p>
    <w:p w14:paraId="0AE7DF78">
      <w:pPr>
        <w:tabs>
          <w:tab w:val="left" w:pos="-618"/>
          <w:tab w:val="left" w:pos="-412"/>
        </w:tabs>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5</w:t>
      </w:r>
      <w:r>
        <w:rPr>
          <w:rFonts w:hint="eastAsia" w:ascii="宋体" w:hAnsi="宋体"/>
          <w:color w:val="auto"/>
          <w:highlight w:val="none"/>
        </w:rPr>
        <w:t>）因投标人的投标报价增值税税率报错导致合同含税金额或不含税金额出现错误，经评标委员会复核得出正确税率并计算出评标价计算投标人的价格得分。若评标委员会复核后的评标价高于投标人的错误报价，招标人有权在投标人获得中标后取两者中相对低的价格作为合同价格。</w:t>
      </w:r>
    </w:p>
    <w:p w14:paraId="2D08A437">
      <w:pPr>
        <w:tabs>
          <w:tab w:val="left" w:pos="-618"/>
          <w:tab w:val="left" w:pos="-412"/>
        </w:tabs>
        <w:spacing w:line="360" w:lineRule="auto"/>
        <w:ind w:firstLine="420" w:firstLineChars="200"/>
        <w:rPr>
          <w:rFonts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6</w:t>
      </w:r>
      <w:r>
        <w:rPr>
          <w:rFonts w:hint="eastAsia" w:ascii="宋体" w:hAnsi="宋体"/>
          <w:color w:val="auto"/>
          <w:highlight w:val="none"/>
        </w:rPr>
        <w:t>）</w:t>
      </w:r>
      <w:r>
        <w:rPr>
          <w:rFonts w:ascii="宋体" w:hAnsi="宋体"/>
          <w:color w:val="auto"/>
          <w:highlight w:val="none"/>
        </w:rPr>
        <w:t>需要投标人提供的</w:t>
      </w:r>
      <w:r>
        <w:rPr>
          <w:rFonts w:hint="eastAsia" w:ascii="宋体" w:hAnsi="宋体"/>
          <w:color w:val="auto"/>
          <w:highlight w:val="none"/>
          <w:lang w:val="en-US" w:eastAsia="zh-CN"/>
        </w:rPr>
        <w:t>额外</w:t>
      </w:r>
      <w:r>
        <w:rPr>
          <w:rFonts w:ascii="宋体" w:hAnsi="宋体"/>
          <w:color w:val="auto"/>
          <w:highlight w:val="none"/>
        </w:rPr>
        <w:t>相关服务所需的费用，如果是另外单独报价的话，评分时应计入投标报价。</w:t>
      </w:r>
    </w:p>
    <w:p w14:paraId="69A8261A">
      <w:pPr>
        <w:tabs>
          <w:tab w:val="left" w:pos="0"/>
        </w:tabs>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7</w:t>
      </w:r>
      <w:r>
        <w:rPr>
          <w:rFonts w:ascii="宋体" w:hAnsi="宋体"/>
          <w:color w:val="auto"/>
          <w:highlight w:val="none"/>
        </w:rPr>
        <w:t>）评标委员会依据招标文件认为应该调整的价格。</w:t>
      </w:r>
    </w:p>
    <w:p w14:paraId="55C558AF">
      <w:pPr>
        <w:tabs>
          <w:tab w:val="left" w:pos="0"/>
        </w:tabs>
        <w:spacing w:line="360" w:lineRule="auto"/>
        <w:ind w:firstLine="420" w:firstLineChars="200"/>
        <w:rPr>
          <w:rFonts w:ascii="宋体" w:hAnsi="宋体"/>
          <w:color w:val="auto"/>
          <w:highlight w:val="none"/>
        </w:rPr>
      </w:pPr>
      <w:r>
        <w:rPr>
          <w:rFonts w:ascii="宋体" w:hAnsi="宋体"/>
          <w:color w:val="auto"/>
          <w:highlight w:val="none"/>
        </w:rPr>
        <w:t>b)评标委员会将按上述修正错误的方法调整投标文件中的投标报价，调整后的价格对投标人具有约束力。如果投标人不接受修正后的价格，则其投标将被拒绝。</w:t>
      </w:r>
    </w:p>
    <w:p w14:paraId="2B4FC55F">
      <w:pPr>
        <w:tabs>
          <w:tab w:val="left" w:pos="945"/>
        </w:tabs>
        <w:spacing w:line="360" w:lineRule="auto"/>
        <w:ind w:left="-23" w:leftChars="-11" w:firstLine="525" w:firstLineChars="250"/>
        <w:jc w:val="left"/>
        <w:rPr>
          <w:rFonts w:hint="eastAsia" w:ascii="宋体" w:hAnsi="宋体"/>
          <w:color w:val="auto"/>
          <w:highlight w:val="none"/>
        </w:rPr>
      </w:pPr>
      <w:r>
        <w:rPr>
          <w:rFonts w:ascii="宋体" w:hAnsi="宋体"/>
          <w:color w:val="auto"/>
          <w:highlight w:val="none"/>
        </w:rPr>
        <w:t>c)</w:t>
      </w:r>
      <w:r>
        <w:rPr>
          <w:rFonts w:hint="eastAsia" w:ascii="宋体" w:hAnsi="宋体"/>
          <w:color w:val="auto"/>
          <w:highlight w:val="none"/>
        </w:rPr>
        <w:t xml:space="preserve"> 价格评分：</w:t>
      </w:r>
    </w:p>
    <w:p w14:paraId="4C752573">
      <w:pPr>
        <w:spacing w:line="360" w:lineRule="auto"/>
        <w:ind w:left="420" w:leftChars="200" w:firstLine="426"/>
        <w:rPr>
          <w:rFonts w:hint="eastAsia" w:ascii="宋体" w:hAnsi="宋体" w:cs="宋体"/>
          <w:color w:val="auto"/>
          <w:szCs w:val="21"/>
          <w:highlight w:val="none"/>
        </w:rPr>
      </w:pPr>
      <w:r>
        <w:rPr>
          <w:rFonts w:hint="eastAsia" w:ascii="宋体" w:hAnsi="宋体"/>
          <w:color w:val="auto"/>
          <w:szCs w:val="21"/>
          <w:highlight w:val="none"/>
        </w:rPr>
        <w:t>各有效投标</w:t>
      </w:r>
      <w:r>
        <w:rPr>
          <w:rFonts w:hint="eastAsia" w:ascii="宋体" w:hAnsi="宋体"/>
          <w:color w:val="auto"/>
          <w:szCs w:val="21"/>
          <w:highlight w:val="none"/>
          <w:lang w:val="en-US" w:eastAsia="zh-CN"/>
        </w:rPr>
        <w:t>人</w:t>
      </w:r>
      <w:r>
        <w:rPr>
          <w:rFonts w:hint="eastAsia" w:ascii="宋体" w:hAnsi="宋体"/>
          <w:color w:val="auto"/>
          <w:szCs w:val="21"/>
          <w:highlight w:val="none"/>
        </w:rPr>
        <w:t>的价格评分统一按照下列公式计算</w:t>
      </w:r>
      <w:r>
        <w:rPr>
          <w:rFonts w:hint="eastAsia" w:ascii="宋体" w:hAnsi="宋体" w:cs="宋体"/>
          <w:color w:val="auto"/>
          <w:szCs w:val="21"/>
          <w:highlight w:val="none"/>
        </w:rPr>
        <w:t>：</w:t>
      </w:r>
    </w:p>
    <w:p w14:paraId="3281C486">
      <w:pPr>
        <w:numPr>
          <w:ilvl w:val="0"/>
          <w:numId w:val="8"/>
        </w:numPr>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价格不能超过预算，否则就视为自动放弃本次投标权利</w:t>
      </w:r>
    </w:p>
    <w:p w14:paraId="3F5DC838">
      <w:pPr>
        <w:numPr>
          <w:ilvl w:val="0"/>
          <w:numId w:val="8"/>
        </w:numPr>
        <w:snapToGrid w:val="0"/>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投标人评标价及评标基准价的确认：</w:t>
      </w:r>
    </w:p>
    <w:bookmarkEnd w:id="179"/>
    <w:bookmarkEnd w:id="180"/>
    <w:bookmarkEnd w:id="181"/>
    <w:p w14:paraId="1687D782">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的有效投标人进入价格评分。评标委员会对通过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的投标文件的投标报价进行复核及算术修正，修正后的价格为投标人的评标价。</w:t>
      </w:r>
    </w:p>
    <w:p w14:paraId="695875F6">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1）评标基准价的计算</w:t>
      </w:r>
    </w:p>
    <w:p w14:paraId="78D8CCA4">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满足招标文件要求的</w:t>
      </w:r>
      <w:r>
        <w:rPr>
          <w:rFonts w:hint="eastAsia" w:ascii="宋体" w:hAnsi="宋体"/>
          <w:color w:val="auto"/>
          <w:szCs w:val="21"/>
          <w:highlight w:val="none"/>
          <w:lang w:val="en-US" w:eastAsia="zh-CN"/>
        </w:rPr>
        <w:t>投标人</w:t>
      </w:r>
      <w:r>
        <w:rPr>
          <w:rFonts w:hint="eastAsia" w:ascii="宋体" w:hAnsi="宋体"/>
          <w:color w:val="auto"/>
          <w:szCs w:val="21"/>
          <w:highlight w:val="none"/>
        </w:rPr>
        <w:t>投标报价求平均值为评标基准价</w:t>
      </w:r>
    </w:p>
    <w:p w14:paraId="154B178B">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2）价格评分</w:t>
      </w:r>
    </w:p>
    <w:p w14:paraId="41534610">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a) 当评标总价等于评标基准价，投标人的价格评分为</w:t>
      </w:r>
      <w:r>
        <w:rPr>
          <w:rFonts w:hint="eastAsia" w:ascii="宋体" w:hAnsi="宋体"/>
          <w:color w:val="auto"/>
          <w:szCs w:val="21"/>
          <w:highlight w:val="none"/>
          <w:lang w:val="en-US" w:eastAsia="zh-CN"/>
        </w:rPr>
        <w:t>20</w:t>
      </w:r>
      <w:r>
        <w:rPr>
          <w:rFonts w:hint="eastAsia" w:ascii="宋体" w:hAnsi="宋体"/>
          <w:color w:val="auto"/>
          <w:szCs w:val="21"/>
          <w:highlight w:val="none"/>
        </w:rPr>
        <w:t>分；</w:t>
      </w:r>
    </w:p>
    <w:p w14:paraId="68693114">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b) 当评标总价高于评标基准价，投标人的价格评分按下式计算（每高1％，扣0.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5C9443C8">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-（投标人的评标总价-评标基准价）/评标基准价×100×0.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26CD0F7B">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c) 当评标总价低于评标基准价，投标人的价格评分按下式计算（每低1％，扣0.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7188D06B">
      <w:pPr>
        <w:snapToGrid w:val="0"/>
        <w:spacing w:line="360" w:lineRule="auto"/>
        <w:ind w:left="420" w:firstLine="420" w:firstLineChars="200"/>
        <w:rPr>
          <w:rFonts w:hint="eastAsia" w:ascii="宋体" w:hAnsi="宋体" w:cs="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-（评标基准价-投标人的评标总价）/评标基准价×100×0.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181D4598">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d）技术、商务及价格权重分配：</w:t>
      </w:r>
    </w:p>
    <w:tbl>
      <w:tblPr>
        <w:tblStyle w:val="2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9"/>
        <w:gridCol w:w="1920"/>
        <w:gridCol w:w="1860"/>
        <w:gridCol w:w="1755"/>
        <w:gridCol w:w="1820"/>
      </w:tblGrid>
      <w:tr w14:paraId="0DA5A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noWrap w:val="0"/>
            <w:vAlign w:val="center"/>
          </w:tcPr>
          <w:p w14:paraId="029DD7C6">
            <w:pPr>
              <w:jc w:val="center"/>
              <w:rPr>
                <w:rFonts w:hint="eastAsia" w:ascii="宋体" w:hAnsi="宋体" w:cs="宋体"/>
                <w:color w:val="auto"/>
                <w:highlight w:val="none"/>
              </w:rPr>
            </w:pPr>
            <w:r>
              <w:rPr>
                <w:rFonts w:hint="eastAsia" w:ascii="宋体" w:hAnsi="宋体" w:cs="宋体"/>
                <w:color w:val="auto"/>
                <w:highlight w:val="none"/>
              </w:rPr>
              <w:t>评分项目</w:t>
            </w:r>
          </w:p>
        </w:tc>
        <w:tc>
          <w:tcPr>
            <w:tcW w:w="1920" w:type="dxa"/>
            <w:noWrap w:val="0"/>
            <w:vAlign w:val="center"/>
          </w:tcPr>
          <w:p w14:paraId="719A3E39">
            <w:pPr>
              <w:jc w:val="center"/>
              <w:rPr>
                <w:rFonts w:hint="eastAsia" w:ascii="宋体" w:hAnsi="宋体" w:cs="宋体"/>
                <w:color w:val="auto"/>
                <w:highlight w:val="none"/>
              </w:rPr>
            </w:pPr>
            <w:r>
              <w:rPr>
                <w:rFonts w:hint="eastAsia" w:ascii="宋体" w:hAnsi="宋体" w:cs="宋体"/>
                <w:color w:val="auto"/>
                <w:highlight w:val="none"/>
              </w:rPr>
              <w:t>技术评分</w:t>
            </w:r>
          </w:p>
        </w:tc>
        <w:tc>
          <w:tcPr>
            <w:tcW w:w="1860" w:type="dxa"/>
            <w:noWrap w:val="0"/>
            <w:vAlign w:val="center"/>
          </w:tcPr>
          <w:p w14:paraId="78BCC58C">
            <w:pPr>
              <w:jc w:val="center"/>
              <w:rPr>
                <w:rFonts w:hint="eastAsia" w:ascii="宋体" w:hAnsi="宋体" w:cs="宋体"/>
                <w:color w:val="auto"/>
                <w:highlight w:val="none"/>
              </w:rPr>
            </w:pPr>
            <w:r>
              <w:rPr>
                <w:rFonts w:hint="eastAsia" w:ascii="宋体" w:hAnsi="宋体" w:cs="宋体"/>
                <w:color w:val="auto"/>
                <w:highlight w:val="none"/>
              </w:rPr>
              <w:t>商务评分</w:t>
            </w:r>
          </w:p>
        </w:tc>
        <w:tc>
          <w:tcPr>
            <w:tcW w:w="1755" w:type="dxa"/>
            <w:noWrap w:val="0"/>
            <w:vAlign w:val="center"/>
          </w:tcPr>
          <w:p w14:paraId="3CF9E732">
            <w:pPr>
              <w:jc w:val="center"/>
              <w:rPr>
                <w:rFonts w:hint="eastAsia" w:ascii="宋体" w:hAnsi="宋体" w:cs="宋体"/>
                <w:color w:val="auto"/>
                <w:highlight w:val="none"/>
              </w:rPr>
            </w:pPr>
            <w:r>
              <w:rPr>
                <w:rFonts w:hint="eastAsia" w:ascii="宋体" w:hAnsi="宋体" w:cs="宋体"/>
                <w:color w:val="auto"/>
                <w:highlight w:val="none"/>
              </w:rPr>
              <w:t>价格评分</w:t>
            </w:r>
          </w:p>
        </w:tc>
        <w:tc>
          <w:tcPr>
            <w:tcW w:w="1820" w:type="dxa"/>
            <w:noWrap w:val="0"/>
            <w:vAlign w:val="center"/>
          </w:tcPr>
          <w:p w14:paraId="31C02DB2">
            <w:pPr>
              <w:jc w:val="center"/>
              <w:rPr>
                <w:rFonts w:hint="eastAsia" w:ascii="宋体" w:hAnsi="宋体" w:cs="宋体"/>
                <w:color w:val="auto"/>
                <w:highlight w:val="none"/>
              </w:rPr>
            </w:pPr>
            <w:r>
              <w:rPr>
                <w:rFonts w:hint="eastAsia" w:ascii="宋体" w:hAnsi="宋体" w:cs="宋体"/>
                <w:color w:val="auto"/>
                <w:highlight w:val="none"/>
              </w:rPr>
              <w:t>总分</w:t>
            </w:r>
          </w:p>
        </w:tc>
      </w:tr>
      <w:tr w14:paraId="64AD4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noWrap w:val="0"/>
            <w:vAlign w:val="center"/>
          </w:tcPr>
          <w:p w14:paraId="69830D9E">
            <w:pPr>
              <w:jc w:val="center"/>
              <w:rPr>
                <w:rFonts w:hint="eastAsia" w:ascii="宋体" w:hAnsi="宋体" w:cs="宋体"/>
                <w:color w:val="auto"/>
                <w:highlight w:val="none"/>
              </w:rPr>
            </w:pPr>
            <w:r>
              <w:rPr>
                <w:rFonts w:hint="eastAsia" w:ascii="宋体" w:hAnsi="宋体" w:cs="宋体"/>
                <w:color w:val="auto"/>
                <w:highlight w:val="none"/>
              </w:rPr>
              <w:t>分值</w:t>
            </w:r>
          </w:p>
        </w:tc>
        <w:tc>
          <w:tcPr>
            <w:tcW w:w="1920" w:type="dxa"/>
            <w:noWrap w:val="0"/>
            <w:vAlign w:val="center"/>
          </w:tcPr>
          <w:p w14:paraId="60887A4F">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60</w:t>
            </w:r>
          </w:p>
        </w:tc>
        <w:tc>
          <w:tcPr>
            <w:tcW w:w="1860" w:type="dxa"/>
            <w:noWrap w:val="0"/>
            <w:vAlign w:val="center"/>
          </w:tcPr>
          <w:p w14:paraId="5ACEB6E2">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755" w:type="dxa"/>
            <w:noWrap w:val="0"/>
            <w:vAlign w:val="center"/>
          </w:tcPr>
          <w:p w14:paraId="0E2AD199">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820" w:type="dxa"/>
            <w:noWrap w:val="0"/>
            <w:vAlign w:val="center"/>
          </w:tcPr>
          <w:p w14:paraId="3E7FD2E0">
            <w:pPr>
              <w:jc w:val="center"/>
              <w:rPr>
                <w:rFonts w:hint="eastAsia" w:ascii="宋体" w:hAnsi="宋体" w:cs="宋体"/>
                <w:color w:val="auto"/>
                <w:highlight w:val="none"/>
              </w:rPr>
            </w:pPr>
            <w:r>
              <w:rPr>
                <w:rFonts w:hint="eastAsia" w:ascii="宋体" w:hAnsi="宋体" w:cs="宋体"/>
                <w:color w:val="auto"/>
                <w:highlight w:val="none"/>
              </w:rPr>
              <w:t>100</w:t>
            </w:r>
          </w:p>
        </w:tc>
      </w:tr>
    </w:tbl>
    <w:p w14:paraId="48E2588D">
      <w:pPr>
        <w:spacing w:line="360" w:lineRule="auto"/>
        <w:ind w:firstLine="420" w:firstLineChars="200"/>
        <w:rPr>
          <w:rFonts w:ascii="宋体" w:hAnsi="宋体"/>
          <w:color w:val="auto"/>
          <w:highlight w:val="none"/>
        </w:rPr>
      </w:pPr>
      <w:bookmarkStart w:id="189" w:name="_Toc32432_WPSOffice_Level1"/>
      <w:bookmarkStart w:id="190" w:name="_Toc12541_WPSOffice_Level1"/>
      <w:bookmarkStart w:id="191" w:name="_Toc32248_WPSOffice_Level1"/>
      <w:r>
        <w:rPr>
          <w:rFonts w:hint="eastAsia" w:ascii="宋体" w:hAnsi="宋体"/>
          <w:color w:val="auto"/>
          <w:highlight w:val="none"/>
        </w:rPr>
        <w:t>e）</w:t>
      </w:r>
      <w:r>
        <w:rPr>
          <w:rFonts w:ascii="宋体" w:hAnsi="宋体"/>
          <w:color w:val="auto"/>
          <w:highlight w:val="none"/>
        </w:rPr>
        <w:t>根据上述技术、商务及价格的综合评分及其权重分配，代入下列公式计算各投标人的总得分。得分统计保留小数点后两位，第三位四舍五入。进入详细评审的各投标人的综合得分，按得分从高到低排名。</w:t>
      </w:r>
    </w:p>
    <w:p w14:paraId="4669B24D">
      <w:pPr>
        <w:spacing w:line="360" w:lineRule="auto"/>
        <w:ind w:firstLine="420" w:firstLineChars="200"/>
        <w:rPr>
          <w:rFonts w:ascii="宋体" w:hAnsi="宋体"/>
          <w:color w:val="auto"/>
          <w:highlight w:val="none"/>
        </w:rPr>
      </w:pPr>
      <w:r>
        <w:rPr>
          <w:rFonts w:ascii="宋体" w:hAnsi="宋体"/>
          <w:color w:val="auto"/>
          <w:highlight w:val="none"/>
        </w:rPr>
        <w:t>评标总得分=F1+ F2 +F3</w:t>
      </w:r>
    </w:p>
    <w:p w14:paraId="38F19578">
      <w:pPr>
        <w:spacing w:line="360" w:lineRule="auto"/>
        <w:ind w:firstLine="420" w:firstLineChars="200"/>
        <w:rPr>
          <w:rFonts w:ascii="宋体" w:hAnsi="宋体"/>
          <w:color w:val="auto"/>
          <w:highlight w:val="none"/>
        </w:rPr>
      </w:pPr>
      <w:r>
        <w:rPr>
          <w:rFonts w:ascii="宋体" w:hAnsi="宋体"/>
          <w:color w:val="auto"/>
          <w:highlight w:val="none"/>
        </w:rPr>
        <w:t>其中，F1、F2、F3别为技术、商务及价格评分的汇总得分。</w:t>
      </w:r>
    </w:p>
    <w:p w14:paraId="3BCA719D">
      <w:pPr>
        <w:spacing w:line="360" w:lineRule="auto"/>
        <w:ind w:firstLine="420" w:firstLineChars="200"/>
        <w:rPr>
          <w:rFonts w:ascii="宋体" w:hAnsi="宋体"/>
          <w:color w:val="auto"/>
          <w:highlight w:val="none"/>
        </w:rPr>
      </w:pPr>
      <w:r>
        <w:rPr>
          <w:rFonts w:hint="eastAsia" w:ascii="宋体" w:hAnsi="宋体"/>
          <w:color w:val="auto"/>
          <w:highlight w:val="none"/>
        </w:rPr>
        <w:t>f）</w:t>
      </w:r>
      <w:r>
        <w:rPr>
          <w:rFonts w:ascii="宋体" w:hAnsi="宋体"/>
          <w:color w:val="auto"/>
          <w:highlight w:val="none"/>
        </w:rPr>
        <w:t>评分统计验算：评分统计的结果数据须经评标委员会验算并确认。</w:t>
      </w:r>
    </w:p>
    <w:p w14:paraId="54FBBD2E">
      <w:pPr>
        <w:spacing w:before="120" w:after="120" w:line="360" w:lineRule="auto"/>
        <w:ind w:firstLine="525" w:firstLineChars="250"/>
        <w:rPr>
          <w:rFonts w:ascii="宋体" w:hAnsi="宋体"/>
          <w:bCs/>
          <w:color w:val="auto"/>
          <w:highlight w:val="none"/>
        </w:rPr>
      </w:pPr>
      <w:bookmarkStart w:id="192" w:name="_Toc9514_WPSOffice_Level1"/>
      <w:bookmarkStart w:id="193" w:name="_Toc13353_WPSOffice_Level1"/>
      <w:bookmarkStart w:id="194" w:name="_Toc27012_WPSOffice_Level1"/>
      <w:r>
        <w:rPr>
          <w:rFonts w:ascii="宋体" w:hAnsi="宋体"/>
          <w:bCs/>
          <w:color w:val="auto"/>
          <w:highlight w:val="none"/>
        </w:rPr>
        <w:t>5.5.3中标候选人</w:t>
      </w:r>
      <w:bookmarkEnd w:id="192"/>
      <w:bookmarkEnd w:id="193"/>
      <w:bookmarkEnd w:id="194"/>
    </w:p>
    <w:p w14:paraId="4CD14A57">
      <w:pPr>
        <w:spacing w:line="360" w:lineRule="auto"/>
        <w:ind w:left="300" w:leftChars="143" w:firstLine="210" w:firstLineChars="100"/>
        <w:rPr>
          <w:rFonts w:ascii="宋体" w:hAnsi="宋体"/>
          <w:color w:val="auto"/>
          <w:highlight w:val="none"/>
        </w:rPr>
      </w:pPr>
      <w:r>
        <w:rPr>
          <w:rFonts w:ascii="宋体" w:hAnsi="宋体"/>
          <w:color w:val="auto"/>
          <w:highlight w:val="none"/>
        </w:rPr>
        <w:t>评标委员会按对各投标人的评标总得分由高到低顺序排列，推荐前3名为中标候选人。排名第一的投标人为第一中标候选人，排名第二的投标人为第二中标候选人，排名第三的投标人为第三中标候选人。评标总得分相同的，名次按技术分较高者排名靠前；评标总得分相同</w:t>
      </w:r>
      <w:r>
        <w:rPr>
          <w:rFonts w:hint="eastAsia" w:ascii="宋体" w:hAnsi="宋体"/>
          <w:color w:val="auto"/>
          <w:highlight w:val="none"/>
        </w:rPr>
        <w:t>，</w:t>
      </w:r>
      <w:r>
        <w:rPr>
          <w:rFonts w:ascii="宋体" w:hAnsi="宋体"/>
          <w:color w:val="auto"/>
          <w:highlight w:val="none"/>
        </w:rPr>
        <w:t>且</w:t>
      </w:r>
      <w:r>
        <w:rPr>
          <w:rFonts w:hint="eastAsia" w:ascii="宋体" w:hAnsi="宋体"/>
          <w:color w:val="auto"/>
          <w:highlight w:val="none"/>
        </w:rPr>
        <w:t>技术得分</w:t>
      </w:r>
      <w:r>
        <w:rPr>
          <w:rFonts w:ascii="宋体" w:hAnsi="宋体"/>
          <w:color w:val="auto"/>
          <w:highlight w:val="none"/>
        </w:rPr>
        <w:t>相同的，名次按</w:t>
      </w:r>
      <w:r>
        <w:rPr>
          <w:rFonts w:hint="eastAsia" w:ascii="宋体" w:hAnsi="宋体"/>
          <w:color w:val="auto"/>
          <w:highlight w:val="none"/>
        </w:rPr>
        <w:t>商务</w:t>
      </w:r>
      <w:r>
        <w:rPr>
          <w:rFonts w:ascii="宋体" w:hAnsi="宋体"/>
          <w:color w:val="auto"/>
          <w:highlight w:val="none"/>
        </w:rPr>
        <w:t>分较高者排名靠前；评标总得分相同、</w:t>
      </w:r>
      <w:r>
        <w:rPr>
          <w:rFonts w:hint="eastAsia" w:ascii="宋体" w:hAnsi="宋体"/>
          <w:color w:val="auto"/>
          <w:highlight w:val="none"/>
        </w:rPr>
        <w:t>商务评分</w:t>
      </w:r>
      <w:r>
        <w:rPr>
          <w:rFonts w:ascii="宋体" w:hAnsi="宋体"/>
          <w:color w:val="auto"/>
          <w:highlight w:val="none"/>
        </w:rPr>
        <w:t>和技术评分均相同的，名次由评标委员会投票决定；最后，评标委员会写出评标报告，将推荐的中标候选人报招标人核准。</w:t>
      </w:r>
    </w:p>
    <w:p w14:paraId="39F06D20">
      <w:pPr>
        <w:spacing w:line="360" w:lineRule="auto"/>
        <w:rPr>
          <w:rFonts w:ascii="宋体" w:hAnsi="宋体"/>
          <w:color w:val="auto"/>
          <w:szCs w:val="21"/>
          <w:highlight w:val="none"/>
        </w:rPr>
      </w:pPr>
      <w:r>
        <w:rPr>
          <w:rFonts w:ascii="宋体" w:hAnsi="宋体"/>
          <w:color w:val="auto"/>
          <w:szCs w:val="21"/>
          <w:highlight w:val="none"/>
        </w:rPr>
        <w:t xml:space="preserve"> </w:t>
      </w:r>
    </w:p>
    <w:p w14:paraId="5D135E3A">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 xml:space="preserve">附表1    </w:t>
      </w:r>
      <w:r>
        <w:rPr>
          <w:rFonts w:hint="eastAsia" w:ascii="宋体" w:hAnsi="宋体"/>
          <w:color w:val="auto"/>
          <w:highlight w:val="none"/>
        </w:rPr>
        <w:t>符合性审查表（阶段一）</w:t>
      </w:r>
    </w:p>
    <w:p w14:paraId="254CB7B0">
      <w:pPr>
        <w:tabs>
          <w:tab w:val="left" w:pos="824"/>
        </w:tabs>
        <w:spacing w:line="360" w:lineRule="auto"/>
        <w:ind w:firstLine="525" w:firstLineChars="250"/>
        <w:rPr>
          <w:rFonts w:hint="eastAsia" w:ascii="宋体" w:hAnsi="宋体"/>
          <w:color w:val="auto"/>
          <w:highlight w:val="none"/>
        </w:rPr>
      </w:pPr>
      <w:r>
        <w:rPr>
          <w:rFonts w:ascii="宋体" w:hAnsi="宋体"/>
          <w:color w:val="auto"/>
          <w:highlight w:val="none"/>
        </w:rPr>
        <w:t xml:space="preserve">附表2    </w:t>
      </w:r>
      <w:r>
        <w:rPr>
          <w:rFonts w:hint="eastAsia" w:ascii="宋体" w:hAnsi="宋体"/>
          <w:color w:val="auto"/>
          <w:highlight w:val="none"/>
        </w:rPr>
        <w:t>技术评分表</w:t>
      </w:r>
    </w:p>
    <w:p w14:paraId="41B5CDF9">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附表3    商务</w:t>
      </w:r>
      <w:r>
        <w:rPr>
          <w:rFonts w:hint="eastAsia" w:ascii="宋体" w:hAnsi="宋体"/>
          <w:color w:val="auto"/>
          <w:highlight w:val="none"/>
        </w:rPr>
        <w:t>评分表</w:t>
      </w:r>
    </w:p>
    <w:p w14:paraId="1767BDE6">
      <w:pPr>
        <w:tabs>
          <w:tab w:val="left" w:pos="824"/>
        </w:tabs>
        <w:spacing w:line="360" w:lineRule="auto"/>
        <w:ind w:firstLine="525" w:firstLineChars="250"/>
        <w:rPr>
          <w:rFonts w:hint="eastAsia" w:ascii="宋体" w:hAnsi="宋体" w:cs="宋体"/>
          <w:color w:val="auto"/>
          <w:highlight w:val="none"/>
        </w:rPr>
      </w:pPr>
      <w:r>
        <w:rPr>
          <w:rFonts w:ascii="宋体" w:hAnsi="宋体"/>
          <w:color w:val="auto"/>
          <w:highlight w:val="none"/>
        </w:rPr>
        <w:t>附表</w:t>
      </w:r>
      <w:r>
        <w:rPr>
          <w:rFonts w:hint="eastAsia" w:ascii="宋体" w:hAnsi="宋体"/>
          <w:color w:val="auto"/>
          <w:highlight w:val="none"/>
        </w:rPr>
        <w:t>4</w:t>
      </w:r>
      <w:r>
        <w:rPr>
          <w:rFonts w:ascii="宋体" w:hAnsi="宋体"/>
          <w:color w:val="auto"/>
          <w:highlight w:val="none"/>
        </w:rPr>
        <w:t xml:space="preserve">    </w:t>
      </w:r>
      <w:r>
        <w:rPr>
          <w:rFonts w:hint="eastAsia" w:ascii="宋体" w:hAnsi="宋体"/>
          <w:color w:val="auto"/>
          <w:highlight w:val="none"/>
        </w:rPr>
        <w:t>符合性审查表（阶段二）</w:t>
      </w:r>
    </w:p>
    <w:bookmarkEnd w:id="189"/>
    <w:bookmarkEnd w:id="190"/>
    <w:bookmarkEnd w:id="191"/>
    <w:p w14:paraId="04205A2F">
      <w:pPr>
        <w:rPr>
          <w:rFonts w:hint="eastAsia" w:ascii="宋体" w:hAnsi="宋体" w:cs="宋体"/>
          <w:color w:val="auto"/>
          <w:highlight w:val="none"/>
        </w:rPr>
      </w:pPr>
    </w:p>
    <w:p w14:paraId="42F5F5DE">
      <w:pPr>
        <w:rPr>
          <w:rFonts w:hint="eastAsia" w:ascii="宋体" w:hAnsi="宋体" w:cs="宋体"/>
          <w:color w:val="auto"/>
          <w:highlight w:val="none"/>
        </w:rPr>
      </w:pPr>
    </w:p>
    <w:p w14:paraId="405072B4">
      <w:pPr>
        <w:rPr>
          <w:rFonts w:hint="eastAsia" w:ascii="宋体" w:hAnsi="宋体" w:cs="宋体"/>
          <w:color w:val="auto"/>
          <w:highlight w:val="none"/>
        </w:rPr>
      </w:pPr>
      <w:r>
        <w:rPr>
          <w:rFonts w:hint="eastAsia" w:ascii="宋体" w:hAnsi="宋体" w:cs="宋体"/>
          <w:color w:val="auto"/>
          <w:highlight w:val="none"/>
        </w:rPr>
        <w:br w:type="page"/>
      </w:r>
    </w:p>
    <w:p w14:paraId="3A07A595">
      <w:pPr>
        <w:spacing w:line="360" w:lineRule="auto"/>
        <w:rPr>
          <w:rFonts w:hint="eastAsia" w:ascii="宋体" w:hAnsi="宋体" w:cs="宋体"/>
          <w:b/>
          <w:color w:val="auto"/>
          <w:szCs w:val="24"/>
          <w:highlight w:val="none"/>
        </w:rPr>
      </w:pPr>
      <w:r>
        <w:rPr>
          <w:rFonts w:hint="eastAsia" w:ascii="宋体" w:hAnsi="宋体" w:cs="宋体"/>
          <w:b/>
          <w:color w:val="auto"/>
          <w:szCs w:val="24"/>
          <w:highlight w:val="none"/>
        </w:rPr>
        <w:t>附表1：</w:t>
      </w:r>
      <w:r>
        <w:rPr>
          <w:rFonts w:hint="eastAsia" w:ascii="宋体" w:hAnsi="宋体"/>
          <w:b/>
          <w:color w:val="auto"/>
          <w:szCs w:val="24"/>
          <w:highlight w:val="none"/>
        </w:rPr>
        <w:t>符合性审查表（阶段一）</w:t>
      </w:r>
    </w:p>
    <w:p w14:paraId="260CC9AA">
      <w:pPr>
        <w:jc w:val="center"/>
        <w:rPr>
          <w:rFonts w:hint="eastAsia" w:ascii="宋体" w:hAnsi="宋体" w:eastAsia="宋体"/>
          <w:b/>
          <w:color w:val="auto"/>
          <w:sz w:val="28"/>
          <w:szCs w:val="28"/>
          <w:highlight w:val="none"/>
          <w:lang w:eastAsia="zh-CN"/>
        </w:rPr>
      </w:pPr>
      <w:bookmarkStart w:id="195" w:name="_Toc2981_WPSOffice_Level1"/>
      <w:bookmarkStart w:id="196" w:name="_Toc18088_WPSOffice_Level1"/>
      <w:bookmarkStart w:id="197" w:name="_Toc23841_WPSOffice_Level1"/>
      <w:r>
        <w:rPr>
          <w:rFonts w:hint="eastAsia" w:ascii="宋体" w:hAnsi="宋体"/>
          <w:b/>
          <w:color w:val="auto"/>
          <w:sz w:val="28"/>
          <w:szCs w:val="28"/>
          <w:highlight w:val="none"/>
        </w:rPr>
        <w:t>符合性审查表（阶段一）</w:t>
      </w:r>
      <w:r>
        <w:rPr>
          <w:rFonts w:hint="eastAsia" w:ascii="宋体" w:hAnsi="宋体"/>
          <w:b/>
          <w:color w:val="auto"/>
          <w:sz w:val="28"/>
          <w:szCs w:val="28"/>
          <w:highlight w:val="none"/>
          <w:lang w:eastAsia="zh-CN"/>
        </w:rPr>
        <w:t>（</w:t>
      </w:r>
      <w:r>
        <w:rPr>
          <w:rFonts w:hint="eastAsia" w:ascii="宋体" w:hAnsi="宋体"/>
          <w:b/>
          <w:color w:val="auto"/>
          <w:sz w:val="28"/>
          <w:szCs w:val="28"/>
          <w:highlight w:val="none"/>
          <w:lang w:val="en-US" w:eastAsia="zh-CN"/>
        </w:rPr>
        <w:t>子包四</w:t>
      </w:r>
      <w:r>
        <w:rPr>
          <w:rFonts w:hint="eastAsia" w:ascii="宋体" w:hAnsi="宋体"/>
          <w:b/>
          <w:color w:val="auto"/>
          <w:sz w:val="28"/>
          <w:szCs w:val="28"/>
          <w:highlight w:val="none"/>
          <w:lang w:eastAsia="zh-CN"/>
        </w:rPr>
        <w:t>）</w:t>
      </w:r>
    </w:p>
    <w:tbl>
      <w:tblPr>
        <w:tblStyle w:val="27"/>
        <w:tblW w:w="0" w:type="auto"/>
        <w:tblInd w:w="0" w:type="dxa"/>
        <w:tblLayout w:type="fixed"/>
        <w:tblCellMar>
          <w:top w:w="0" w:type="dxa"/>
          <w:left w:w="0" w:type="dxa"/>
          <w:bottom w:w="0" w:type="dxa"/>
          <w:right w:w="0" w:type="dxa"/>
        </w:tblCellMar>
      </w:tblPr>
      <w:tblGrid>
        <w:gridCol w:w="559"/>
        <w:gridCol w:w="4225"/>
        <w:gridCol w:w="746"/>
        <w:gridCol w:w="744"/>
        <w:gridCol w:w="744"/>
        <w:gridCol w:w="744"/>
        <w:gridCol w:w="744"/>
        <w:gridCol w:w="766"/>
      </w:tblGrid>
      <w:tr w14:paraId="0C0BEF52">
        <w:tblPrEx>
          <w:tblCellMar>
            <w:top w:w="0" w:type="dxa"/>
            <w:left w:w="0" w:type="dxa"/>
            <w:bottom w:w="0" w:type="dxa"/>
            <w:right w:w="0" w:type="dxa"/>
          </w:tblCellMar>
        </w:tblPrEx>
        <w:trPr>
          <w:trHeight w:val="90" w:hRule="atLeast"/>
        </w:trPr>
        <w:tc>
          <w:tcPr>
            <w:tcW w:w="559"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24DEB56D">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noWrap w:val="0"/>
            <w:tcMar>
              <w:top w:w="15" w:type="dxa"/>
              <w:left w:w="15" w:type="dxa"/>
              <w:bottom w:w="0" w:type="dxa"/>
              <w:right w:w="15" w:type="dxa"/>
            </w:tcMar>
            <w:vAlign w:val="center"/>
          </w:tcPr>
          <w:p w14:paraId="0CDB01F8">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8" w:type="dxa"/>
            <w:gridSpan w:val="6"/>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45DC105">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3F3903C3">
        <w:tblPrEx>
          <w:tblCellMar>
            <w:top w:w="0" w:type="dxa"/>
            <w:left w:w="0" w:type="dxa"/>
            <w:bottom w:w="0" w:type="dxa"/>
            <w:right w:w="0" w:type="dxa"/>
          </w:tblCellMar>
        </w:tblPrEx>
        <w:trPr>
          <w:trHeight w:val="211" w:hRule="atLeast"/>
        </w:trPr>
        <w:tc>
          <w:tcPr>
            <w:tcW w:w="559" w:type="dxa"/>
            <w:vMerge w:val="continue"/>
            <w:tcBorders>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4D073D4">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noWrap w:val="0"/>
            <w:tcMar>
              <w:top w:w="15" w:type="dxa"/>
              <w:left w:w="15" w:type="dxa"/>
              <w:bottom w:w="0" w:type="dxa"/>
              <w:right w:w="15" w:type="dxa"/>
            </w:tcMar>
            <w:vAlign w:val="center"/>
          </w:tcPr>
          <w:p w14:paraId="553C1F4C">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CEBC0A7">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4F3FA25">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54D06B8">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2E16AF2">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noWrap w:val="0"/>
            <w:vAlign w:val="center"/>
          </w:tcPr>
          <w:p w14:paraId="62EC3CC5">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6" w:type="dxa"/>
            <w:tcBorders>
              <w:top w:val="single" w:color="auto" w:sz="4" w:space="0"/>
              <w:left w:val="nil"/>
              <w:bottom w:val="single" w:color="auto" w:sz="4" w:space="0"/>
              <w:right w:val="single" w:color="auto" w:sz="4" w:space="0"/>
            </w:tcBorders>
            <w:noWrap w:val="0"/>
            <w:vAlign w:val="center"/>
          </w:tcPr>
          <w:p w14:paraId="4E69E540">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10DB7BC6">
        <w:tblPrEx>
          <w:tblCellMar>
            <w:top w:w="0" w:type="dxa"/>
            <w:left w:w="0" w:type="dxa"/>
            <w:bottom w:w="0" w:type="dxa"/>
            <w:right w:w="0" w:type="dxa"/>
          </w:tblCellMar>
        </w:tblPrEx>
        <w:trPr>
          <w:trHeight w:val="609" w:hRule="atLeast"/>
        </w:trPr>
        <w:tc>
          <w:tcPr>
            <w:tcW w:w="55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00CDA36">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ABE8335">
            <w:pPr>
              <w:rPr>
                <w:rFonts w:hint="eastAsia" w:ascii="宋体" w:hAnsi="宋体" w:cs="宋体"/>
                <w:color w:val="auto"/>
                <w:szCs w:val="21"/>
                <w:highlight w:val="none"/>
              </w:rPr>
            </w:pPr>
            <w:r>
              <w:rPr>
                <w:rFonts w:hint="eastAsia" w:ascii="宋体" w:hAnsi="宋体" w:cs="宋体"/>
                <w:color w:val="auto"/>
                <w:szCs w:val="21"/>
                <w:highlight w:val="none"/>
              </w:rPr>
              <w:t>符合合格投标人资格条件；</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B8A57C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B46A94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8B5DA9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1B3048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10CEDE23">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28A5F78B">
            <w:pPr>
              <w:jc w:val="center"/>
              <w:rPr>
                <w:rFonts w:hint="eastAsia" w:ascii="宋体" w:hAnsi="宋体" w:cs="宋体"/>
                <w:color w:val="auto"/>
                <w:szCs w:val="21"/>
                <w:highlight w:val="none"/>
              </w:rPr>
            </w:pPr>
          </w:p>
        </w:tc>
      </w:tr>
      <w:tr w14:paraId="0A9F66C1">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C2D4908">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7F9425">
            <w:pPr>
              <w:rPr>
                <w:rFonts w:hint="eastAsia" w:ascii="宋体" w:hAnsi="宋体" w:cs="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D84418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97BADB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3FB6BF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99F516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280DD3DE">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15055D7F">
            <w:pPr>
              <w:jc w:val="center"/>
              <w:rPr>
                <w:rFonts w:hint="eastAsia" w:ascii="宋体" w:hAnsi="宋体" w:cs="宋体"/>
                <w:color w:val="auto"/>
                <w:szCs w:val="21"/>
                <w:highlight w:val="none"/>
              </w:rPr>
            </w:pPr>
          </w:p>
        </w:tc>
      </w:tr>
      <w:tr w14:paraId="17528615">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185A3F7">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88801B6">
            <w:pPr>
              <w:rPr>
                <w:rFonts w:hint="eastAsia" w:ascii="宋体" w:hAnsi="宋体" w:cs="宋体"/>
                <w:color w:val="auto"/>
                <w:szCs w:val="21"/>
                <w:highlight w:val="none"/>
              </w:rPr>
            </w:pPr>
            <w:r>
              <w:rPr>
                <w:rFonts w:hint="eastAsia" w:ascii="宋体" w:hAnsi="宋体" w:cs="宋体"/>
                <w:color w:val="auto"/>
                <w:szCs w:val="21"/>
                <w:highlight w:val="none"/>
              </w:rPr>
              <w:t>投标有效期满足招标文件要求；</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459676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AF108F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CDAAC8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57A5F4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2B525B0E">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43B9F9E7">
            <w:pPr>
              <w:jc w:val="center"/>
              <w:rPr>
                <w:rFonts w:hint="eastAsia" w:ascii="宋体" w:hAnsi="宋体" w:cs="宋体"/>
                <w:color w:val="auto"/>
                <w:szCs w:val="21"/>
                <w:highlight w:val="none"/>
              </w:rPr>
            </w:pPr>
          </w:p>
        </w:tc>
      </w:tr>
      <w:tr w14:paraId="185744C8">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4F0C59D">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614B87">
            <w:pPr>
              <w:rPr>
                <w:rFonts w:hint="eastAsia" w:ascii="宋体" w:hAnsi="宋体" w:cs="宋体"/>
                <w:color w:val="auto"/>
                <w:szCs w:val="21"/>
                <w:highlight w:val="none"/>
              </w:rPr>
            </w:pPr>
            <w:r>
              <w:rPr>
                <w:rFonts w:hint="eastAsia" w:ascii="宋体" w:hAnsi="宋体" w:cs="宋体"/>
                <w:color w:val="auto"/>
                <w:szCs w:val="21"/>
                <w:highlight w:val="none"/>
              </w:rPr>
              <w:t>按招标文件要求提交投标保证金；</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F49C20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2EC061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59AD10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22A83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4C7C2465">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3B546E83">
            <w:pPr>
              <w:jc w:val="center"/>
              <w:rPr>
                <w:rFonts w:hint="eastAsia" w:ascii="宋体" w:hAnsi="宋体" w:cs="宋体"/>
                <w:color w:val="auto"/>
                <w:szCs w:val="21"/>
                <w:highlight w:val="none"/>
              </w:rPr>
            </w:pPr>
          </w:p>
        </w:tc>
      </w:tr>
      <w:tr w14:paraId="1ACD3275">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D044CDC">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30980F9">
            <w:pPr>
              <w:rPr>
                <w:rFonts w:hint="eastAsia" w:ascii="宋体" w:hAnsi="宋体" w:cs="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2F7B5C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BDE8A6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05DC94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0A0AD4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31227FA6">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499074F2">
            <w:pPr>
              <w:jc w:val="center"/>
              <w:rPr>
                <w:rFonts w:hint="eastAsia" w:ascii="宋体" w:hAnsi="宋体" w:cs="宋体"/>
                <w:color w:val="auto"/>
                <w:szCs w:val="21"/>
                <w:highlight w:val="none"/>
              </w:rPr>
            </w:pPr>
          </w:p>
        </w:tc>
      </w:tr>
      <w:tr w14:paraId="3A8C8648">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3AE2D6F">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D8F7EA6">
            <w:pPr>
              <w:rPr>
                <w:rFonts w:hint="eastAsia" w:ascii="宋体" w:hAnsi="宋体" w:cs="宋体"/>
                <w:color w:val="auto"/>
                <w:szCs w:val="21"/>
                <w:highlight w:val="none"/>
              </w:rPr>
            </w:pPr>
            <w:r>
              <w:rPr>
                <w:rFonts w:hint="eastAsia" w:ascii="宋体" w:hAnsi="宋体" w:cs="宋体"/>
                <w:color w:val="auto"/>
                <w:szCs w:val="21"/>
                <w:highlight w:val="none"/>
              </w:rPr>
              <w:t>投标文件未附有招标人不能接受的条件的。</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D9E197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F976E1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245F82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AB35ED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017ED7C3">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648B32B4">
            <w:pPr>
              <w:jc w:val="center"/>
              <w:rPr>
                <w:rFonts w:hint="eastAsia" w:ascii="宋体" w:hAnsi="宋体" w:cs="宋体"/>
                <w:color w:val="auto"/>
                <w:szCs w:val="21"/>
                <w:highlight w:val="none"/>
              </w:rPr>
            </w:pPr>
          </w:p>
        </w:tc>
      </w:tr>
      <w:tr w14:paraId="7FFFF1B3">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9D3BE02">
            <w:pPr>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78012C8">
            <w:pP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未被推荐为</w:t>
            </w:r>
            <w:r>
              <w:rPr>
                <w:rFonts w:hint="eastAsia" w:ascii="宋体" w:hAnsi="宋体" w:cs="宋体"/>
                <w:color w:val="auto"/>
                <w:szCs w:val="21"/>
                <w:highlight w:val="none"/>
                <w:lang w:val="en-US" w:eastAsia="zh-CN"/>
              </w:rPr>
              <w:t>子包一、或子包二、或子包三</w:t>
            </w:r>
            <w:r>
              <w:rPr>
                <w:rFonts w:hint="eastAsia" w:ascii="宋体" w:hAnsi="宋体" w:cs="宋体"/>
                <w:color w:val="auto"/>
                <w:szCs w:val="21"/>
                <w:highlight w:val="none"/>
              </w:rPr>
              <w:t>的第一中标候选人</w:t>
            </w:r>
            <w:r>
              <w:rPr>
                <w:rFonts w:hint="eastAsia" w:ascii="宋体" w:hAnsi="宋体" w:cs="宋体"/>
                <w:color w:val="auto"/>
                <w:szCs w:val="21"/>
                <w:highlight w:val="none"/>
                <w:lang w:eastAsia="zh-CN"/>
              </w:rPr>
              <w:t>。</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184C03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3C8C77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AD9BAE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DA509F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61F11F42">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noWrap w:val="0"/>
            <w:vAlign w:val="center"/>
          </w:tcPr>
          <w:p w14:paraId="38C615E0">
            <w:pPr>
              <w:jc w:val="center"/>
              <w:rPr>
                <w:rFonts w:hint="eastAsia" w:ascii="宋体" w:hAnsi="宋体" w:cs="宋体"/>
                <w:color w:val="auto"/>
                <w:szCs w:val="21"/>
                <w:highlight w:val="none"/>
              </w:rPr>
            </w:pPr>
          </w:p>
        </w:tc>
      </w:tr>
      <w:tr w14:paraId="58BD93AB">
        <w:tblPrEx>
          <w:tblCellMar>
            <w:top w:w="0" w:type="dxa"/>
            <w:left w:w="0" w:type="dxa"/>
            <w:bottom w:w="0" w:type="dxa"/>
            <w:right w:w="0" w:type="dxa"/>
          </w:tblCellMar>
        </w:tblPrEx>
        <w:trPr>
          <w:trHeight w:val="356" w:hRule="atLeast"/>
        </w:trPr>
        <w:tc>
          <w:tcPr>
            <w:tcW w:w="4784"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72ADD6F">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A66EAEB">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C0BA8D2">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784F553">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BCFDEBA">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vAlign w:val="center"/>
          </w:tcPr>
          <w:p w14:paraId="1E04C2DC">
            <w:pPr>
              <w:jc w:val="center"/>
              <w:rPr>
                <w:rFonts w:hint="eastAsia" w:ascii="宋体" w:hAnsi="宋体" w:cs="宋体"/>
                <w:b/>
                <w:bCs/>
                <w:color w:val="auto"/>
                <w:szCs w:val="21"/>
                <w:highlight w:val="none"/>
              </w:rPr>
            </w:pPr>
          </w:p>
        </w:tc>
        <w:tc>
          <w:tcPr>
            <w:tcW w:w="766" w:type="dxa"/>
            <w:tcBorders>
              <w:top w:val="single" w:color="auto" w:sz="4" w:space="0"/>
              <w:left w:val="nil"/>
              <w:bottom w:val="single" w:color="auto" w:sz="4" w:space="0"/>
              <w:right w:val="single" w:color="auto" w:sz="4" w:space="0"/>
            </w:tcBorders>
            <w:noWrap w:val="0"/>
            <w:vAlign w:val="center"/>
          </w:tcPr>
          <w:p w14:paraId="3F6D27DB">
            <w:pPr>
              <w:jc w:val="center"/>
              <w:rPr>
                <w:rFonts w:hint="eastAsia" w:ascii="宋体" w:hAnsi="宋体" w:cs="宋体"/>
                <w:b/>
                <w:bCs/>
                <w:color w:val="auto"/>
                <w:szCs w:val="21"/>
                <w:highlight w:val="none"/>
              </w:rPr>
            </w:pPr>
          </w:p>
        </w:tc>
      </w:tr>
    </w:tbl>
    <w:p w14:paraId="3B23BD33">
      <w:pPr>
        <w:pStyle w:val="14"/>
        <w:rPr>
          <w:rFonts w:hint="eastAsia"/>
          <w:color w:val="auto"/>
        </w:rPr>
      </w:pPr>
    </w:p>
    <w:p w14:paraId="322AFFA3">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60145E57">
      <w:pPr>
        <w:spacing w:line="360" w:lineRule="auto"/>
        <w:ind w:firstLine="630"/>
        <w:rPr>
          <w:rFonts w:hint="eastAsia" w:ascii="宋体" w:hAnsi="宋体" w:cs="宋体"/>
          <w:b/>
          <w:bCs/>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r>
        <w:rPr>
          <w:rFonts w:hint="eastAsia" w:ascii="宋体" w:hAnsi="宋体" w:cs="宋体"/>
          <w:b/>
          <w:bCs/>
          <w:color w:val="auto"/>
          <w:highlight w:val="none"/>
        </w:rPr>
        <w:t>。</w:t>
      </w:r>
      <w:bookmarkEnd w:id="195"/>
      <w:bookmarkEnd w:id="196"/>
      <w:bookmarkEnd w:id="197"/>
    </w:p>
    <w:p w14:paraId="73766837">
      <w:pPr>
        <w:jc w:val="left"/>
        <w:rPr>
          <w:rFonts w:hint="eastAsia" w:ascii="宋体" w:hAnsi="宋体" w:cs="宋体"/>
          <w:color w:val="auto"/>
          <w:highlight w:val="none"/>
        </w:rPr>
      </w:pPr>
    </w:p>
    <w:p w14:paraId="182DF324">
      <w:pPr>
        <w:pStyle w:val="13"/>
        <w:rPr>
          <w:rFonts w:hint="eastAsia" w:ascii="宋体" w:hAnsi="宋体" w:cs="宋体"/>
          <w:color w:val="auto"/>
          <w:highlight w:val="none"/>
        </w:rPr>
      </w:pPr>
    </w:p>
    <w:p w14:paraId="75860305">
      <w:pPr>
        <w:pStyle w:val="17"/>
        <w:rPr>
          <w:rFonts w:hint="eastAsia" w:hAnsi="宋体" w:cs="宋体"/>
          <w:color w:val="auto"/>
          <w:highlight w:val="none"/>
        </w:rPr>
      </w:pPr>
    </w:p>
    <w:p w14:paraId="656E40BE">
      <w:pPr>
        <w:pStyle w:val="17"/>
        <w:rPr>
          <w:rFonts w:hint="eastAsia" w:hAnsi="宋体" w:cs="宋体"/>
          <w:color w:val="auto"/>
          <w:sz w:val="36"/>
          <w:szCs w:val="36"/>
          <w:highlight w:val="none"/>
        </w:rPr>
      </w:pPr>
      <w:r>
        <w:rPr>
          <w:rFonts w:hint="eastAsia" w:hAnsi="宋体" w:cs="宋体"/>
          <w:color w:val="auto"/>
          <w:highlight w:val="none"/>
        </w:rPr>
        <w:br w:type="page"/>
      </w:r>
      <w:bookmarkStart w:id="198" w:name="_Toc16973_WPSOffice_Level1"/>
      <w:bookmarkStart w:id="199" w:name="_Toc30424_WPSOffice_Level1"/>
      <w:bookmarkStart w:id="200" w:name="_Toc1778_WPSOffice_Level1"/>
      <w:r>
        <w:rPr>
          <w:rFonts w:hint="eastAsia" w:hAnsi="宋体" w:cs="宋体"/>
          <w:b/>
          <w:color w:val="auto"/>
          <w:highlight w:val="none"/>
        </w:rPr>
        <w:t>附表2：</w:t>
      </w:r>
      <w:bookmarkEnd w:id="198"/>
      <w:bookmarkEnd w:id="199"/>
      <w:bookmarkEnd w:id="200"/>
      <w:r>
        <w:rPr>
          <w:rFonts w:hint="eastAsia" w:hAnsi="宋体" w:cs="宋体"/>
          <w:b/>
          <w:color w:val="auto"/>
          <w:highlight w:val="none"/>
        </w:rPr>
        <w:t>技术评分表</w:t>
      </w:r>
    </w:p>
    <w:p w14:paraId="004AD01D">
      <w:pPr>
        <w:jc w:val="center"/>
        <w:rPr>
          <w:rFonts w:hint="eastAsia" w:ascii="宋体" w:hAnsi="宋体" w:eastAsia="宋体" w:cs="宋体"/>
          <w:b/>
          <w:color w:val="auto"/>
          <w:sz w:val="28"/>
          <w:szCs w:val="28"/>
          <w:highlight w:val="none"/>
          <w:lang w:eastAsia="zh-CN"/>
        </w:rPr>
      </w:pPr>
      <w:bookmarkStart w:id="201" w:name="_Toc13899_WPSOffice_Level1"/>
      <w:bookmarkStart w:id="202" w:name="_Toc15598_WPSOffice_Level1"/>
      <w:bookmarkStart w:id="203" w:name="_Toc23766_WPSOffice_Level1"/>
      <w:r>
        <w:rPr>
          <w:rFonts w:hint="eastAsia" w:ascii="宋体" w:hAnsi="宋体" w:cs="宋体"/>
          <w:b/>
          <w:color w:val="auto"/>
          <w:sz w:val="28"/>
          <w:szCs w:val="28"/>
          <w:highlight w:val="none"/>
        </w:rPr>
        <w:t>技术评分表</w:t>
      </w:r>
      <w:r>
        <w:rPr>
          <w:rFonts w:hint="eastAsia" w:ascii="宋体" w:hAnsi="宋体" w:cs="宋体"/>
          <w:b/>
          <w:color w:val="auto"/>
          <w:sz w:val="28"/>
          <w:szCs w:val="28"/>
          <w:highlight w:val="none"/>
          <w:lang w:eastAsia="zh-CN"/>
        </w:rPr>
        <w:t>（</w:t>
      </w:r>
      <w:r>
        <w:rPr>
          <w:rFonts w:hint="eastAsia" w:ascii="宋体" w:hAnsi="宋体" w:cs="宋体"/>
          <w:b/>
          <w:color w:val="auto"/>
          <w:sz w:val="28"/>
          <w:szCs w:val="28"/>
          <w:highlight w:val="none"/>
          <w:lang w:val="en-US" w:eastAsia="zh-CN"/>
        </w:rPr>
        <w:t>适用于子包四</w:t>
      </w:r>
      <w:r>
        <w:rPr>
          <w:rFonts w:hint="eastAsia" w:ascii="宋体" w:hAnsi="宋体" w:cs="宋体"/>
          <w:b/>
          <w:color w:val="auto"/>
          <w:sz w:val="28"/>
          <w:szCs w:val="28"/>
          <w:highlight w:val="none"/>
          <w:lang w:eastAsia="zh-CN"/>
        </w:rPr>
        <w:t>）</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584"/>
        <w:gridCol w:w="1014"/>
        <w:gridCol w:w="7066"/>
        <w:gridCol w:w="686"/>
      </w:tblGrid>
      <w:tr w14:paraId="131B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7A40D4B7">
            <w:pPr>
              <w:spacing w:line="240" w:lineRule="auto"/>
              <w:jc w:val="center"/>
              <w:rPr>
                <w:rFonts w:ascii="宋体" w:hAnsi="宋体"/>
                <w:color w:val="auto"/>
                <w:szCs w:val="21"/>
              </w:rPr>
            </w:pPr>
            <w:r>
              <w:rPr>
                <w:rFonts w:hint="eastAsia" w:ascii="宋体" w:hAnsi="宋体"/>
                <w:color w:val="auto"/>
                <w:szCs w:val="21"/>
              </w:rPr>
              <w:t>序号</w:t>
            </w:r>
          </w:p>
        </w:tc>
        <w:tc>
          <w:tcPr>
            <w:tcW w:w="542" w:type="pct"/>
            <w:noWrap w:val="0"/>
            <w:vAlign w:val="center"/>
          </w:tcPr>
          <w:p w14:paraId="122F7DF7">
            <w:pPr>
              <w:spacing w:line="240" w:lineRule="auto"/>
              <w:jc w:val="center"/>
              <w:rPr>
                <w:rFonts w:ascii="宋体" w:hAnsi="宋体"/>
                <w:color w:val="auto"/>
                <w:szCs w:val="21"/>
              </w:rPr>
            </w:pPr>
            <w:r>
              <w:rPr>
                <w:rFonts w:hint="eastAsia" w:ascii="宋体" w:hAnsi="宋体"/>
                <w:color w:val="auto"/>
                <w:szCs w:val="21"/>
              </w:rPr>
              <w:t>评审项目</w:t>
            </w:r>
          </w:p>
        </w:tc>
        <w:tc>
          <w:tcPr>
            <w:tcW w:w="3777" w:type="pct"/>
            <w:tcBorders>
              <w:bottom w:val="single" w:color="auto" w:sz="4" w:space="0"/>
            </w:tcBorders>
            <w:noWrap w:val="0"/>
            <w:vAlign w:val="center"/>
          </w:tcPr>
          <w:p w14:paraId="35228C3E">
            <w:pPr>
              <w:spacing w:line="240" w:lineRule="auto"/>
              <w:jc w:val="center"/>
              <w:rPr>
                <w:rFonts w:ascii="宋体" w:hAnsi="宋体"/>
                <w:color w:val="auto"/>
                <w:szCs w:val="21"/>
              </w:rPr>
            </w:pPr>
            <w:r>
              <w:rPr>
                <w:rFonts w:hint="eastAsia" w:ascii="宋体" w:hAnsi="宋体"/>
                <w:color w:val="auto"/>
                <w:szCs w:val="21"/>
              </w:rPr>
              <w:t>评分细则</w:t>
            </w:r>
          </w:p>
        </w:tc>
        <w:tc>
          <w:tcPr>
            <w:tcW w:w="367" w:type="pct"/>
            <w:noWrap w:val="0"/>
            <w:vAlign w:val="center"/>
          </w:tcPr>
          <w:p w14:paraId="4EBA2E1D">
            <w:pPr>
              <w:spacing w:line="240" w:lineRule="auto"/>
              <w:jc w:val="center"/>
              <w:rPr>
                <w:rFonts w:ascii="宋体" w:hAnsi="宋体"/>
                <w:color w:val="auto"/>
                <w:szCs w:val="21"/>
              </w:rPr>
            </w:pPr>
            <w:r>
              <w:rPr>
                <w:rFonts w:hint="eastAsia" w:ascii="宋体" w:hAnsi="宋体"/>
                <w:color w:val="auto"/>
                <w:szCs w:val="21"/>
              </w:rPr>
              <w:t>单项分数</w:t>
            </w:r>
          </w:p>
        </w:tc>
      </w:tr>
      <w:tr w14:paraId="632A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312" w:type="pct"/>
            <w:noWrap w:val="0"/>
            <w:vAlign w:val="center"/>
          </w:tcPr>
          <w:p w14:paraId="11618BD1">
            <w:pPr>
              <w:spacing w:line="240" w:lineRule="auto"/>
              <w:jc w:val="center"/>
              <w:rPr>
                <w:rFonts w:hint="eastAsia" w:ascii="宋体" w:hAnsi="宋体"/>
                <w:color w:val="auto"/>
                <w:szCs w:val="21"/>
              </w:rPr>
            </w:pPr>
            <w:r>
              <w:rPr>
                <w:rFonts w:hint="eastAsia" w:ascii="宋体" w:hAnsi="宋体"/>
                <w:color w:val="auto"/>
                <w:szCs w:val="21"/>
              </w:rPr>
              <w:t>1</w:t>
            </w:r>
          </w:p>
        </w:tc>
        <w:tc>
          <w:tcPr>
            <w:tcW w:w="1014" w:type="dxa"/>
            <w:noWrap w:val="0"/>
            <w:vAlign w:val="center"/>
          </w:tcPr>
          <w:p w14:paraId="26486CFE">
            <w:pPr>
              <w:spacing w:line="240" w:lineRule="auto"/>
              <w:jc w:val="center"/>
              <w:rPr>
                <w:rFonts w:hint="eastAsia" w:ascii="宋体" w:hAnsi="宋体" w:cs="宋体"/>
                <w:color w:val="auto"/>
                <w:szCs w:val="21"/>
              </w:rPr>
            </w:pPr>
            <w:r>
              <w:rPr>
                <w:rFonts w:hint="eastAsia" w:ascii="宋体" w:hAnsi="宋体" w:cs="宋体"/>
                <w:color w:val="auto"/>
                <w:szCs w:val="21"/>
              </w:rPr>
              <w:t>项目重点、难点理解分析</w:t>
            </w:r>
          </w:p>
        </w:tc>
        <w:tc>
          <w:tcPr>
            <w:tcW w:w="7066" w:type="dxa"/>
            <w:tcBorders>
              <w:bottom w:val="single" w:color="auto" w:sz="4" w:space="0"/>
            </w:tcBorders>
            <w:noWrap w:val="0"/>
            <w:vAlign w:val="center"/>
          </w:tcPr>
          <w:p w14:paraId="2C134986">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根据</w:t>
            </w:r>
            <w:r>
              <w:rPr>
                <w:rFonts w:hint="eastAsia" w:ascii="宋体" w:hAnsi="宋体" w:cs="宋体"/>
                <w:color w:val="auto"/>
                <w:szCs w:val="21"/>
              </w:rPr>
              <w:t>投标人对本项目重点、难点的认识和理解</w:t>
            </w:r>
            <w:r>
              <w:rPr>
                <w:rFonts w:hint="eastAsia" w:ascii="宋体" w:hAnsi="宋体" w:cs="宋体"/>
                <w:color w:val="auto"/>
                <w:szCs w:val="21"/>
                <w:lang w:val="en-US" w:eastAsia="zh-CN"/>
              </w:rPr>
              <w:t>进行综合评审：</w:t>
            </w:r>
          </w:p>
          <w:p w14:paraId="0BCCE331">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服务内容理解透彻，</w:t>
            </w:r>
            <w:r>
              <w:rPr>
                <w:rFonts w:hint="eastAsia" w:ascii="宋体" w:hAnsi="宋体" w:cs="宋体"/>
                <w:color w:val="auto"/>
                <w:szCs w:val="21"/>
              </w:rPr>
              <w:t>对本项目重点、难点有全面的认识和理解，</w:t>
            </w:r>
            <w:r>
              <w:rPr>
                <w:rFonts w:hint="eastAsia" w:ascii="宋体" w:hAnsi="宋体" w:cs="宋体"/>
                <w:color w:val="auto"/>
                <w:szCs w:val="21"/>
                <w:lang w:val="en-US" w:eastAsia="zh-CN"/>
              </w:rPr>
              <w:t>能提出合理化建议或解决方案，</w:t>
            </w:r>
            <w:r>
              <w:rPr>
                <w:rFonts w:hint="eastAsia" w:ascii="宋体" w:hAnsi="宋体" w:cs="宋体"/>
                <w:color w:val="auto"/>
                <w:szCs w:val="21"/>
              </w:rPr>
              <w:t>得</w:t>
            </w:r>
            <w:r>
              <w:rPr>
                <w:rFonts w:hint="eastAsia" w:ascii="宋体" w:hAnsi="宋体" w:cs="宋体"/>
                <w:color w:val="auto"/>
                <w:szCs w:val="21"/>
                <w:lang w:val="en-US" w:eastAsia="zh-CN"/>
              </w:rPr>
              <w:t>15</w:t>
            </w:r>
            <w:r>
              <w:rPr>
                <w:rFonts w:hint="eastAsia" w:ascii="宋体" w:hAnsi="宋体" w:cs="宋体"/>
                <w:color w:val="auto"/>
                <w:szCs w:val="21"/>
              </w:rPr>
              <w:t>分；</w:t>
            </w:r>
          </w:p>
          <w:p w14:paraId="728CA613">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en-US" w:eastAsia="zh-CN"/>
              </w:rPr>
              <w:t>服务内容理解较透彻，</w:t>
            </w:r>
            <w:r>
              <w:rPr>
                <w:rFonts w:hint="eastAsia" w:ascii="宋体" w:hAnsi="宋体" w:cs="宋体"/>
                <w:color w:val="auto"/>
                <w:szCs w:val="21"/>
              </w:rPr>
              <w:t>对本项目重点、难点有较全面的认识和理解，</w:t>
            </w:r>
            <w:r>
              <w:rPr>
                <w:rFonts w:hint="eastAsia" w:ascii="宋体" w:hAnsi="宋体" w:cs="宋体"/>
                <w:color w:val="auto"/>
                <w:szCs w:val="21"/>
                <w:lang w:val="en-US" w:eastAsia="zh-CN"/>
              </w:rPr>
              <w:t>能提出较合理化的建议或解决方案，</w:t>
            </w:r>
            <w:r>
              <w:rPr>
                <w:rFonts w:hint="eastAsia" w:ascii="宋体" w:hAnsi="宋体" w:cs="宋体"/>
                <w:color w:val="auto"/>
                <w:szCs w:val="21"/>
              </w:rPr>
              <w:t>得</w:t>
            </w:r>
            <w:r>
              <w:rPr>
                <w:rFonts w:hint="eastAsia" w:ascii="宋体" w:hAnsi="宋体" w:cs="宋体"/>
                <w:color w:val="auto"/>
                <w:szCs w:val="21"/>
                <w:lang w:val="en-US" w:eastAsia="zh-CN"/>
              </w:rPr>
              <w:t>10</w:t>
            </w:r>
            <w:r>
              <w:rPr>
                <w:rFonts w:hint="eastAsia" w:ascii="宋体" w:hAnsi="宋体" w:cs="宋体"/>
                <w:color w:val="auto"/>
                <w:szCs w:val="21"/>
              </w:rPr>
              <w:t>分；</w:t>
            </w:r>
          </w:p>
          <w:p w14:paraId="7837B96B">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服务内容理解基本透彻，</w:t>
            </w:r>
            <w:r>
              <w:rPr>
                <w:rFonts w:hint="eastAsia" w:ascii="宋体" w:hAnsi="宋体" w:cs="宋体"/>
                <w:color w:val="auto"/>
                <w:szCs w:val="21"/>
              </w:rPr>
              <w:t>对用户需求书响应及对本项目重点、难点理解情况一般，</w:t>
            </w:r>
            <w:r>
              <w:rPr>
                <w:rFonts w:hint="eastAsia" w:ascii="宋体" w:hAnsi="宋体" w:cs="宋体"/>
                <w:color w:val="auto"/>
                <w:szCs w:val="21"/>
                <w:lang w:val="en-US" w:eastAsia="zh-CN"/>
              </w:rPr>
              <w:t>能提出相关建议或解决方案，</w:t>
            </w:r>
            <w:r>
              <w:rPr>
                <w:rFonts w:hint="eastAsia" w:ascii="宋体" w:hAnsi="宋体" w:cs="宋体"/>
                <w:color w:val="auto"/>
                <w:szCs w:val="21"/>
              </w:rPr>
              <w:t>得</w:t>
            </w:r>
            <w:r>
              <w:rPr>
                <w:rFonts w:hint="eastAsia" w:ascii="宋体" w:hAnsi="宋体" w:cs="宋体"/>
                <w:color w:val="auto"/>
                <w:szCs w:val="21"/>
                <w:lang w:val="en-US" w:eastAsia="zh-CN"/>
              </w:rPr>
              <w:t>5</w:t>
            </w:r>
            <w:r>
              <w:rPr>
                <w:rFonts w:hint="eastAsia" w:ascii="宋体" w:hAnsi="宋体" w:cs="宋体"/>
                <w:color w:val="auto"/>
                <w:szCs w:val="21"/>
              </w:rPr>
              <w:t>分；</w:t>
            </w:r>
          </w:p>
          <w:p w14:paraId="605CDCC2">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rPr>
              <w:t>4.对本项目重点、难点理解情况较差</w:t>
            </w:r>
            <w:r>
              <w:rPr>
                <w:rFonts w:hint="eastAsia" w:ascii="宋体" w:hAnsi="宋体" w:cs="宋体"/>
                <w:color w:val="auto"/>
                <w:szCs w:val="21"/>
                <w:lang w:val="en-US" w:eastAsia="zh-CN"/>
              </w:rPr>
              <w:t>或有重大偏差</w:t>
            </w:r>
            <w:r>
              <w:rPr>
                <w:rFonts w:hint="eastAsia" w:ascii="宋体" w:hAnsi="宋体" w:cs="宋体"/>
                <w:color w:val="auto"/>
                <w:szCs w:val="21"/>
                <w:lang w:eastAsia="zh-CN"/>
              </w:rPr>
              <w:t>，</w:t>
            </w:r>
            <w:r>
              <w:rPr>
                <w:rFonts w:hint="eastAsia" w:ascii="宋体" w:hAnsi="宋体" w:cs="宋体"/>
                <w:color w:val="auto"/>
                <w:szCs w:val="21"/>
                <w:lang w:val="en-US" w:eastAsia="zh-CN"/>
              </w:rPr>
              <w:t>得1分；</w:t>
            </w:r>
          </w:p>
          <w:p w14:paraId="6C1FBE35">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未提供相关内容</w:t>
            </w:r>
            <w:r>
              <w:rPr>
                <w:rFonts w:hint="eastAsia" w:ascii="宋体" w:hAnsi="宋体" w:cs="宋体"/>
                <w:color w:val="auto"/>
                <w:szCs w:val="21"/>
                <w:lang w:val="en-US" w:eastAsia="zh-CN"/>
              </w:rPr>
              <w:t>的，得0分</w:t>
            </w:r>
            <w:r>
              <w:rPr>
                <w:rFonts w:hint="eastAsia" w:ascii="宋体" w:hAnsi="宋体" w:cs="宋体"/>
                <w:color w:val="auto"/>
                <w:szCs w:val="21"/>
              </w:rPr>
              <w:t>。</w:t>
            </w:r>
          </w:p>
        </w:tc>
        <w:tc>
          <w:tcPr>
            <w:tcW w:w="688" w:type="dxa"/>
            <w:noWrap w:val="0"/>
            <w:vAlign w:val="center"/>
          </w:tcPr>
          <w:p w14:paraId="37CEA619">
            <w:pPr>
              <w:spacing w:line="24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67A1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211F2D19">
            <w:pPr>
              <w:widowControl/>
              <w:adjustRightInd w:val="0"/>
              <w:snapToGrid w:val="0"/>
              <w:spacing w:after="120" w:line="24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2</w:t>
            </w:r>
          </w:p>
        </w:tc>
        <w:tc>
          <w:tcPr>
            <w:tcW w:w="542" w:type="pct"/>
            <w:noWrap w:val="0"/>
            <w:vAlign w:val="center"/>
          </w:tcPr>
          <w:p w14:paraId="0617BA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Cs w:val="21"/>
              </w:rPr>
            </w:pPr>
            <w:r>
              <w:rPr>
                <w:rFonts w:hint="eastAsia" w:asciiTheme="minorEastAsia" w:hAnsiTheme="minorEastAsia" w:eastAsiaTheme="minorEastAsia" w:cstheme="minorEastAsia"/>
                <w:color w:val="auto"/>
                <w:sz w:val="21"/>
                <w:szCs w:val="21"/>
                <w:lang w:val="en-US" w:eastAsia="zh-CN"/>
              </w:rPr>
              <w:t>服务</w:t>
            </w:r>
            <w:r>
              <w:rPr>
                <w:rFonts w:hint="eastAsia" w:ascii="宋体" w:hAnsi="宋体" w:cs="宋体"/>
                <w:color w:val="auto"/>
                <w:szCs w:val="21"/>
              </w:rPr>
              <w:t>方案</w:t>
            </w:r>
          </w:p>
        </w:tc>
        <w:tc>
          <w:tcPr>
            <w:tcW w:w="3777" w:type="pct"/>
            <w:noWrap w:val="0"/>
            <w:vAlign w:val="top"/>
          </w:tcPr>
          <w:p w14:paraId="64F68FD1">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eastAsia="zh-Hans"/>
              </w:rPr>
            </w:pPr>
            <w:r>
              <w:rPr>
                <w:rFonts w:hint="eastAsia" w:ascii="宋体" w:hAnsi="宋体" w:cs="宋体"/>
                <w:color w:val="auto"/>
                <w:szCs w:val="21"/>
                <w:lang w:val="en-US" w:eastAsia="zh-CN"/>
              </w:rPr>
              <w:t>根据</w:t>
            </w:r>
            <w:r>
              <w:rPr>
                <w:rFonts w:hint="eastAsia" w:ascii="宋体" w:hAnsi="宋体" w:cs="宋体"/>
                <w:color w:val="auto"/>
                <w:szCs w:val="21"/>
              </w:rPr>
              <w:t>投标人提供的</w:t>
            </w:r>
            <w:r>
              <w:rPr>
                <w:rFonts w:hint="eastAsia" w:asciiTheme="minorEastAsia" w:hAnsiTheme="minorEastAsia" w:eastAsiaTheme="minorEastAsia" w:cstheme="minorEastAsia"/>
                <w:color w:val="auto"/>
                <w:sz w:val="21"/>
                <w:szCs w:val="21"/>
                <w:lang w:val="en-US" w:eastAsia="zh-CN"/>
              </w:rPr>
              <w:t>服务方案（包括视频拍摄保障服务、宣传册印刷服务、活动执行保障服务）</w:t>
            </w:r>
            <w:r>
              <w:rPr>
                <w:rFonts w:hint="eastAsia" w:ascii="宋体" w:hAnsi="宋体" w:cs="宋体"/>
                <w:color w:val="auto"/>
                <w:szCs w:val="21"/>
                <w:lang w:val="en-US" w:eastAsia="zh-CN"/>
              </w:rPr>
              <w:t>进行评审</w:t>
            </w:r>
            <w:r>
              <w:rPr>
                <w:rFonts w:hint="eastAsia" w:ascii="宋体" w:hAnsi="宋体" w:cs="宋体"/>
                <w:color w:val="auto"/>
                <w:szCs w:val="21"/>
                <w:lang w:eastAsia="zh-Hans"/>
              </w:rPr>
              <w:t>：</w:t>
            </w:r>
          </w:p>
          <w:p w14:paraId="3F85F307">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1.方案完整，可操作性极强，内容逻辑清晰，资源配置充足，能完全满足或优于用户需求，得15分；</w:t>
            </w:r>
          </w:p>
          <w:p w14:paraId="3626C3A6">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2.方案较完整，可操作性强，内容逻辑较清晰，资源配置较充足，能满足用户需求，得10分；</w:t>
            </w:r>
          </w:p>
          <w:p w14:paraId="41EF89F3">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3.方案基本完整，可操作一般，内容逻辑基本清晰，资源配置一般，能基本满足用户需求，得5分；</w:t>
            </w:r>
          </w:p>
          <w:p w14:paraId="444D29C8">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4.方案不完整，可操作差，内容逻辑不清晰，资源配置差，不能满足用户需求，得1分；</w:t>
            </w:r>
          </w:p>
          <w:p w14:paraId="1A555F79">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未提供相关内容</w:t>
            </w:r>
            <w:r>
              <w:rPr>
                <w:rFonts w:hint="eastAsia" w:ascii="宋体" w:hAnsi="宋体" w:cs="宋体"/>
                <w:color w:val="auto"/>
                <w:szCs w:val="21"/>
                <w:lang w:val="en-US" w:eastAsia="zh-CN"/>
              </w:rPr>
              <w:t>的，得0分。</w:t>
            </w:r>
          </w:p>
        </w:tc>
        <w:tc>
          <w:tcPr>
            <w:tcW w:w="367" w:type="pct"/>
            <w:noWrap w:val="0"/>
            <w:vAlign w:val="center"/>
          </w:tcPr>
          <w:p w14:paraId="35EC4A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r>
      <w:tr w14:paraId="3213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5810B188">
            <w:pPr>
              <w:spacing w:line="240" w:lineRule="auto"/>
              <w:jc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1014" w:type="dxa"/>
            <w:noWrap w:val="0"/>
            <w:vAlign w:val="center"/>
          </w:tcPr>
          <w:p w14:paraId="40774103">
            <w:pPr>
              <w:spacing w:line="240" w:lineRule="auto"/>
              <w:jc w:val="center"/>
              <w:rPr>
                <w:rFonts w:hint="eastAsia"/>
                <w:color w:val="auto"/>
              </w:rPr>
            </w:pPr>
            <w:r>
              <w:rPr>
                <w:rFonts w:hint="eastAsia" w:ascii="宋体" w:hAnsi="宋体" w:cs="宋体"/>
                <w:color w:val="auto"/>
                <w:szCs w:val="21"/>
              </w:rPr>
              <w:t>质量保证措施</w:t>
            </w:r>
          </w:p>
        </w:tc>
        <w:tc>
          <w:tcPr>
            <w:tcW w:w="7066" w:type="dxa"/>
            <w:noWrap w:val="0"/>
            <w:vAlign w:val="top"/>
          </w:tcPr>
          <w:p w14:paraId="47487838">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根据投标人对本项目的项目质量保证措施进行评审： </w:t>
            </w:r>
          </w:p>
          <w:p w14:paraId="222C923F">
            <w:pPr>
              <w:snapToGrid w:val="0"/>
              <w:spacing w:line="360" w:lineRule="auto"/>
              <w:rPr>
                <w:rFonts w:hint="eastAsia" w:ascii="宋体" w:hAnsi="宋体" w:cs="宋体"/>
                <w:color w:val="auto"/>
                <w:szCs w:val="21"/>
              </w:rPr>
            </w:pPr>
            <w:r>
              <w:rPr>
                <w:rFonts w:hint="eastAsia" w:ascii="宋体" w:hAnsi="宋体" w:cs="宋体"/>
                <w:color w:val="auto"/>
                <w:szCs w:val="21"/>
              </w:rPr>
              <w:t>1、项目质量保证措施齐全、可行性高，实施方法和流程科学合理，措施能保证项目顺利实施，得1</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752E5BDD">
            <w:pPr>
              <w:snapToGrid w:val="0"/>
              <w:spacing w:line="360" w:lineRule="auto"/>
              <w:rPr>
                <w:rFonts w:hint="eastAsia" w:ascii="宋体" w:hAnsi="宋体" w:cs="宋体"/>
                <w:color w:val="auto"/>
                <w:szCs w:val="21"/>
              </w:rPr>
            </w:pPr>
            <w:r>
              <w:rPr>
                <w:rFonts w:hint="eastAsia" w:ascii="宋体" w:hAnsi="宋体" w:cs="宋体"/>
                <w:color w:val="auto"/>
                <w:szCs w:val="21"/>
              </w:rPr>
              <w:t>2、项目质量保证措施较为齐全、可行性一般，实施方法和流程较为科学合理，措施较能保证项目顺利实施，得</w:t>
            </w:r>
            <w:r>
              <w:rPr>
                <w:rFonts w:hint="eastAsia" w:ascii="宋体" w:hAnsi="宋体" w:cs="宋体"/>
                <w:color w:val="auto"/>
                <w:szCs w:val="21"/>
                <w:lang w:val="en-US" w:eastAsia="zh-CN"/>
              </w:rPr>
              <w:t>10</w:t>
            </w:r>
            <w:r>
              <w:rPr>
                <w:rFonts w:hint="eastAsia" w:ascii="宋体" w:hAnsi="宋体" w:cs="宋体"/>
                <w:color w:val="auto"/>
                <w:szCs w:val="21"/>
              </w:rPr>
              <w:t xml:space="preserve">分； </w:t>
            </w:r>
          </w:p>
          <w:p w14:paraId="72CEB3BC">
            <w:pPr>
              <w:snapToGrid w:val="0"/>
              <w:spacing w:line="360" w:lineRule="auto"/>
              <w:rPr>
                <w:rFonts w:hint="eastAsia" w:ascii="宋体" w:hAnsi="宋体" w:cs="宋体"/>
                <w:color w:val="auto"/>
                <w:szCs w:val="21"/>
              </w:rPr>
            </w:pPr>
            <w:r>
              <w:rPr>
                <w:rFonts w:hint="eastAsia" w:ascii="宋体" w:hAnsi="宋体" w:cs="宋体"/>
                <w:color w:val="auto"/>
                <w:szCs w:val="21"/>
              </w:rPr>
              <w:t>3、项目质量保证措施基本齐全，可行性一般，措施基本能保证项目顺利实施，得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12992AE6">
            <w:pPr>
              <w:snapToGrid w:val="0"/>
              <w:spacing w:line="360" w:lineRule="auto"/>
              <w:rPr>
                <w:rFonts w:hint="eastAsia" w:ascii="宋体" w:hAnsi="宋体" w:cs="宋体"/>
                <w:color w:val="auto"/>
                <w:szCs w:val="21"/>
              </w:rPr>
            </w:pPr>
            <w:r>
              <w:rPr>
                <w:rFonts w:hint="eastAsia" w:ascii="宋体" w:hAnsi="宋体" w:cs="宋体"/>
                <w:color w:val="auto"/>
                <w:szCs w:val="21"/>
              </w:rPr>
              <w:t>4、项目质量保证措施不齐全、可行性差，实施方法和流程不科学、不合理，措施能部分保证项目顺利实施，得1分；</w:t>
            </w:r>
          </w:p>
          <w:p w14:paraId="32743ECF">
            <w:pPr>
              <w:pStyle w:val="9"/>
              <w:spacing w:line="240" w:lineRule="auto"/>
              <w:ind w:firstLine="0" w:firstLineChars="0"/>
              <w:rPr>
                <w:rFonts w:hint="eastAsia" w:ascii="宋体" w:hAnsi="宋体" w:cs="宋体"/>
                <w:color w:val="auto"/>
                <w:szCs w:val="21"/>
              </w:rPr>
            </w:pPr>
            <w:r>
              <w:rPr>
                <w:rFonts w:hint="eastAsia" w:ascii="宋体" w:hAnsi="宋体" w:cs="宋体"/>
                <w:color w:val="auto"/>
                <w:szCs w:val="21"/>
              </w:rPr>
              <w:t>5、没有提供不得分。</w:t>
            </w:r>
          </w:p>
        </w:tc>
        <w:tc>
          <w:tcPr>
            <w:tcW w:w="688" w:type="dxa"/>
            <w:noWrap w:val="0"/>
            <w:vAlign w:val="center"/>
          </w:tcPr>
          <w:p w14:paraId="6D5E1DB5">
            <w:pPr>
              <w:spacing w:line="240" w:lineRule="auto"/>
              <w:jc w:val="center"/>
              <w:rPr>
                <w:rFonts w:hint="eastAsia" w:ascii="宋体" w:hAnsi="宋体" w:cs="宋体"/>
                <w:color w:val="auto"/>
                <w:szCs w:val="21"/>
                <w:lang w:val="en-US" w:eastAsia="zh-CN"/>
              </w:rPr>
            </w:pPr>
            <w:r>
              <w:rPr>
                <w:rFonts w:hint="eastAsia" w:ascii="宋体" w:hAnsi="宋体" w:cs="宋体"/>
                <w:color w:val="auto"/>
                <w:szCs w:val="21"/>
                <w:lang w:val="en-US" w:eastAsia="zh-CN"/>
              </w:rPr>
              <w:t>15</w:t>
            </w:r>
          </w:p>
        </w:tc>
      </w:tr>
      <w:tr w14:paraId="0DBC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312" w:type="pct"/>
            <w:noWrap w:val="0"/>
            <w:vAlign w:val="center"/>
          </w:tcPr>
          <w:p w14:paraId="7D3C2C2B">
            <w:pPr>
              <w:spacing w:line="240" w:lineRule="auto"/>
              <w:jc w:val="center"/>
              <w:rPr>
                <w:rFonts w:hint="eastAsia" w:ascii="宋体" w:hAnsi="宋体" w:eastAsia="宋体"/>
                <w:color w:val="auto"/>
                <w:szCs w:val="21"/>
                <w:lang w:eastAsia="zh-CN"/>
              </w:rPr>
            </w:pPr>
            <w:r>
              <w:rPr>
                <w:rFonts w:hint="eastAsia" w:ascii="宋体" w:hAnsi="宋体" w:cs="宋体"/>
                <w:color w:val="auto"/>
                <w:szCs w:val="21"/>
                <w:lang w:val="en-US" w:eastAsia="zh-CN"/>
              </w:rPr>
              <w:t>4</w:t>
            </w:r>
          </w:p>
        </w:tc>
        <w:tc>
          <w:tcPr>
            <w:tcW w:w="1014" w:type="dxa"/>
            <w:noWrap w:val="0"/>
            <w:vAlign w:val="center"/>
          </w:tcPr>
          <w:p w14:paraId="72D0BD0D">
            <w:pPr>
              <w:snapToGrid w:val="0"/>
              <w:spacing w:line="360" w:lineRule="auto"/>
              <w:jc w:val="center"/>
              <w:rPr>
                <w:rFonts w:hint="eastAsia" w:ascii="宋体" w:hAnsi="宋体" w:cs="宋体"/>
                <w:color w:val="auto"/>
                <w:szCs w:val="21"/>
              </w:rPr>
            </w:pPr>
            <w:r>
              <w:rPr>
                <w:rFonts w:hint="eastAsia" w:ascii="宋体" w:hAnsi="宋体" w:cs="宋体"/>
                <w:color w:val="auto"/>
                <w:szCs w:val="21"/>
              </w:rPr>
              <w:t>应急保障措施</w:t>
            </w:r>
          </w:p>
        </w:tc>
        <w:tc>
          <w:tcPr>
            <w:tcW w:w="7066" w:type="dxa"/>
            <w:noWrap w:val="0"/>
            <w:vAlign w:val="center"/>
          </w:tcPr>
          <w:p w14:paraId="028BD7C4">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根据投标人对本项目的应急保障措施进行评审： </w:t>
            </w:r>
          </w:p>
          <w:p w14:paraId="6687D978">
            <w:pPr>
              <w:snapToGrid w:val="0"/>
              <w:spacing w:line="360" w:lineRule="auto"/>
              <w:rPr>
                <w:rFonts w:hint="eastAsia" w:ascii="宋体" w:hAnsi="宋体" w:cs="宋体"/>
                <w:color w:val="auto"/>
                <w:szCs w:val="21"/>
              </w:rPr>
            </w:pPr>
            <w:r>
              <w:rPr>
                <w:rFonts w:hint="eastAsia" w:ascii="宋体" w:hAnsi="宋体" w:cs="宋体"/>
                <w:color w:val="auto"/>
                <w:szCs w:val="21"/>
              </w:rPr>
              <w:t>1、应急处理措施完善合理，应急保障措施有效可行，对项目的应急响应强，得1</w:t>
            </w:r>
            <w:r>
              <w:rPr>
                <w:rFonts w:hint="eastAsia" w:ascii="宋体" w:hAnsi="宋体" w:cs="宋体"/>
                <w:color w:val="auto"/>
                <w:szCs w:val="21"/>
                <w:lang w:val="en-US" w:eastAsia="zh-CN"/>
              </w:rPr>
              <w:t>5</w:t>
            </w:r>
            <w:r>
              <w:rPr>
                <w:rFonts w:hint="eastAsia" w:ascii="宋体" w:hAnsi="宋体" w:cs="宋体"/>
                <w:color w:val="auto"/>
                <w:szCs w:val="21"/>
              </w:rPr>
              <w:t>分；</w:t>
            </w:r>
          </w:p>
          <w:p w14:paraId="7884A3D7">
            <w:pPr>
              <w:snapToGrid w:val="0"/>
              <w:spacing w:line="360" w:lineRule="auto"/>
              <w:rPr>
                <w:rFonts w:ascii="宋体" w:hAnsi="宋体" w:cs="宋体"/>
                <w:color w:val="auto"/>
                <w:szCs w:val="21"/>
              </w:rPr>
            </w:pPr>
            <w:r>
              <w:rPr>
                <w:rFonts w:hint="eastAsia" w:ascii="宋体" w:hAnsi="宋体" w:cs="宋体"/>
                <w:color w:val="auto"/>
                <w:szCs w:val="21"/>
              </w:rPr>
              <w:t>2、应急处理措施较完善合理，应急保障措施较有效可行，对项目的应急响应较强，得</w:t>
            </w:r>
            <w:r>
              <w:rPr>
                <w:rFonts w:hint="eastAsia" w:ascii="宋体" w:hAnsi="宋体" w:cs="宋体"/>
                <w:color w:val="auto"/>
                <w:szCs w:val="21"/>
                <w:lang w:val="en-US" w:eastAsia="zh-CN"/>
              </w:rPr>
              <w:t>10</w:t>
            </w:r>
            <w:r>
              <w:rPr>
                <w:rFonts w:hint="eastAsia" w:ascii="宋体" w:hAnsi="宋体" w:cs="宋体"/>
                <w:color w:val="auto"/>
                <w:szCs w:val="21"/>
              </w:rPr>
              <w:t>分；</w:t>
            </w:r>
          </w:p>
          <w:p w14:paraId="6322A10A">
            <w:pPr>
              <w:snapToGrid w:val="0"/>
              <w:spacing w:line="360" w:lineRule="auto"/>
              <w:rPr>
                <w:rFonts w:hint="eastAsia" w:ascii="宋体" w:hAnsi="宋体" w:cs="宋体"/>
                <w:color w:val="auto"/>
                <w:szCs w:val="21"/>
              </w:rPr>
            </w:pPr>
            <w:r>
              <w:rPr>
                <w:rFonts w:hint="eastAsia" w:ascii="宋体" w:hAnsi="宋体" w:cs="宋体"/>
                <w:color w:val="auto"/>
                <w:szCs w:val="21"/>
              </w:rPr>
              <w:t>3、应急处理措施基本完善合理，应急保障措施基本有效可行，对项目的应急响应一般，得</w:t>
            </w:r>
            <w:r>
              <w:rPr>
                <w:rFonts w:hint="eastAsia" w:ascii="宋体" w:hAnsi="宋体" w:cs="宋体"/>
                <w:color w:val="auto"/>
                <w:szCs w:val="21"/>
                <w:lang w:val="en-US" w:eastAsia="zh-CN"/>
              </w:rPr>
              <w:t>5</w:t>
            </w:r>
            <w:r>
              <w:rPr>
                <w:rFonts w:hint="eastAsia" w:ascii="宋体" w:hAnsi="宋体" w:cs="宋体"/>
                <w:color w:val="auto"/>
                <w:szCs w:val="21"/>
              </w:rPr>
              <w:t xml:space="preserve">分； </w:t>
            </w:r>
          </w:p>
          <w:p w14:paraId="16323C64">
            <w:pPr>
              <w:snapToGrid w:val="0"/>
              <w:spacing w:line="360" w:lineRule="auto"/>
              <w:rPr>
                <w:rFonts w:hint="eastAsia" w:ascii="宋体" w:hAnsi="宋体" w:cs="宋体"/>
                <w:color w:val="auto"/>
                <w:szCs w:val="21"/>
              </w:rPr>
            </w:pPr>
            <w:r>
              <w:rPr>
                <w:rFonts w:hint="eastAsia" w:ascii="宋体" w:hAnsi="宋体" w:cs="宋体"/>
                <w:color w:val="auto"/>
                <w:szCs w:val="21"/>
              </w:rPr>
              <w:t xml:space="preserve">4、应急处理措施不完善、不合理，应急保障措施有效性、可行性较差，对项目的应急响应较差，得1分； </w:t>
            </w:r>
          </w:p>
          <w:p w14:paraId="689BFA74">
            <w:pPr>
              <w:snapToGrid w:val="0"/>
              <w:spacing w:line="360" w:lineRule="auto"/>
              <w:rPr>
                <w:rFonts w:hint="eastAsia" w:ascii="宋体" w:hAnsi="宋体" w:cs="宋体"/>
                <w:color w:val="auto"/>
                <w:szCs w:val="21"/>
              </w:rPr>
            </w:pPr>
            <w:r>
              <w:rPr>
                <w:rFonts w:hint="eastAsia" w:ascii="宋体" w:hAnsi="宋体" w:cs="宋体"/>
                <w:color w:val="auto"/>
                <w:szCs w:val="21"/>
              </w:rPr>
              <w:t>5、没有提供不得分。</w:t>
            </w:r>
          </w:p>
        </w:tc>
        <w:tc>
          <w:tcPr>
            <w:tcW w:w="688" w:type="dxa"/>
            <w:noWrap w:val="0"/>
            <w:vAlign w:val="center"/>
          </w:tcPr>
          <w:p w14:paraId="4304B49D">
            <w:pPr>
              <w:snapToGrid w:val="0"/>
              <w:spacing w:line="360" w:lineRule="auto"/>
              <w:jc w:val="center"/>
              <w:rPr>
                <w:rFonts w:hint="eastAsia" w:ascii="宋体" w:hAnsi="宋体" w:eastAsia="宋体" w:cs="宋体"/>
                <w:color w:val="auto"/>
                <w:szCs w:val="21"/>
                <w:lang w:eastAsia="zh-CN"/>
              </w:rPr>
            </w:pPr>
            <w:r>
              <w:rPr>
                <w:rFonts w:hint="eastAsia" w:ascii="宋体" w:hAnsi="宋体" w:cs="宋体"/>
                <w:color w:val="auto"/>
                <w:szCs w:val="21"/>
              </w:rPr>
              <w:t>1</w:t>
            </w:r>
            <w:r>
              <w:rPr>
                <w:rFonts w:hint="eastAsia" w:ascii="宋体" w:hAnsi="宋体" w:cs="宋体"/>
                <w:color w:val="auto"/>
                <w:szCs w:val="21"/>
                <w:lang w:val="en-US" w:eastAsia="zh-CN"/>
              </w:rPr>
              <w:t>5</w:t>
            </w:r>
          </w:p>
        </w:tc>
      </w:tr>
      <w:tr w14:paraId="0CDE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36" w:hRule="atLeast"/>
        </w:trPr>
        <w:tc>
          <w:tcPr>
            <w:tcW w:w="4632" w:type="pct"/>
            <w:gridSpan w:val="3"/>
            <w:noWrap w:val="0"/>
            <w:vAlign w:val="center"/>
          </w:tcPr>
          <w:p w14:paraId="2E7C24F1">
            <w:pPr>
              <w:spacing w:line="240" w:lineRule="auto"/>
              <w:jc w:val="center"/>
              <w:rPr>
                <w:rFonts w:hint="eastAsia" w:ascii="宋体" w:hAnsi="宋体" w:cs="宋体"/>
                <w:color w:val="auto"/>
                <w:szCs w:val="21"/>
              </w:rPr>
            </w:pPr>
            <w:r>
              <w:rPr>
                <w:rFonts w:hint="eastAsia" w:ascii="宋体" w:hAnsi="宋体" w:cs="宋体"/>
                <w:color w:val="auto"/>
                <w:szCs w:val="21"/>
              </w:rPr>
              <w:t>合计</w:t>
            </w:r>
          </w:p>
        </w:tc>
        <w:tc>
          <w:tcPr>
            <w:tcW w:w="367" w:type="pct"/>
            <w:noWrap w:val="0"/>
            <w:vAlign w:val="center"/>
          </w:tcPr>
          <w:p w14:paraId="61C046B7">
            <w:pPr>
              <w:spacing w:line="240" w:lineRule="auto"/>
              <w:jc w:val="center"/>
              <w:rPr>
                <w:rFonts w:hint="eastAsia" w:ascii="宋体" w:hAnsi="宋体" w:cs="宋体"/>
                <w:color w:val="auto"/>
                <w:szCs w:val="21"/>
              </w:rPr>
            </w:pPr>
            <w:r>
              <w:rPr>
                <w:rFonts w:hint="eastAsia" w:ascii="宋体" w:hAnsi="宋体" w:cs="宋体"/>
                <w:color w:val="auto"/>
                <w:szCs w:val="21"/>
                <w:lang w:val="en-US" w:eastAsia="zh-CN"/>
              </w:rPr>
              <w:t>60</w:t>
            </w:r>
            <w:r>
              <w:rPr>
                <w:rFonts w:hint="eastAsia" w:ascii="宋体" w:hAnsi="宋体" w:cs="宋体"/>
                <w:color w:val="auto"/>
                <w:szCs w:val="21"/>
              </w:rPr>
              <w:t>分</w:t>
            </w:r>
          </w:p>
        </w:tc>
      </w:tr>
    </w:tbl>
    <w:p w14:paraId="7AA8FEA0">
      <w:pPr>
        <w:pStyle w:val="7"/>
        <w:rPr>
          <w:rFonts w:hint="eastAsia" w:ascii="宋体" w:hAnsi="宋体" w:cs="宋体"/>
          <w:color w:val="auto"/>
          <w:highlight w:val="none"/>
        </w:rPr>
      </w:pPr>
    </w:p>
    <w:p w14:paraId="6C7D7913">
      <w:pPr>
        <w:tabs>
          <w:tab w:val="left" w:pos="10035"/>
        </w:tabs>
        <w:snapToGrid w:val="0"/>
        <w:spacing w:line="360" w:lineRule="auto"/>
        <w:rPr>
          <w:rFonts w:hint="eastAsia" w:ascii="宋体" w:hAnsi="宋体" w:cs="宋体"/>
          <w:b/>
          <w:bCs/>
          <w:color w:val="auto"/>
          <w:highlight w:val="none"/>
        </w:rPr>
      </w:pPr>
      <w:r>
        <w:rPr>
          <w:rFonts w:hint="eastAsia" w:ascii="宋体" w:hAnsi="宋体" w:cs="宋体"/>
          <w:b/>
          <w:bCs/>
          <w:color w:val="auto"/>
          <w:highlight w:val="none"/>
        </w:rPr>
        <w:t>注：评委对各投标文件进行评审，分数精确至小数点后2位。</w:t>
      </w:r>
    </w:p>
    <w:p w14:paraId="0D92EB4C">
      <w:pP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6EFC7090">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商务评分表</w:t>
      </w:r>
      <w:bookmarkEnd w:id="201"/>
      <w:bookmarkEnd w:id="202"/>
      <w:bookmarkEnd w:id="203"/>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1243"/>
        <w:gridCol w:w="6846"/>
        <w:gridCol w:w="749"/>
      </w:tblGrid>
      <w:tr w14:paraId="018B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3" w:type="pct"/>
            <w:noWrap w:val="0"/>
            <w:vAlign w:val="center"/>
          </w:tcPr>
          <w:p w14:paraId="518FDE4B">
            <w:pPr>
              <w:spacing w:after="120" w:line="360" w:lineRule="auto"/>
              <w:jc w:val="center"/>
              <w:rPr>
                <w:rFonts w:ascii="宋体" w:hAnsi="宋体"/>
                <w:color w:val="auto"/>
                <w:szCs w:val="21"/>
              </w:rPr>
            </w:pPr>
            <w:r>
              <w:rPr>
                <w:rFonts w:hint="eastAsia" w:ascii="宋体" w:hAnsi="宋体"/>
                <w:color w:val="auto"/>
                <w:szCs w:val="21"/>
              </w:rPr>
              <w:t>序号</w:t>
            </w:r>
          </w:p>
        </w:tc>
        <w:tc>
          <w:tcPr>
            <w:tcW w:w="611" w:type="pct"/>
            <w:noWrap w:val="0"/>
            <w:vAlign w:val="center"/>
          </w:tcPr>
          <w:p w14:paraId="21E6A6A2">
            <w:pPr>
              <w:spacing w:after="120" w:line="360" w:lineRule="auto"/>
              <w:jc w:val="center"/>
              <w:rPr>
                <w:rFonts w:ascii="宋体" w:hAnsi="宋体"/>
                <w:color w:val="auto"/>
                <w:szCs w:val="21"/>
              </w:rPr>
            </w:pPr>
            <w:r>
              <w:rPr>
                <w:rFonts w:hint="eastAsia" w:ascii="宋体" w:hAnsi="宋体"/>
                <w:color w:val="auto"/>
                <w:szCs w:val="21"/>
              </w:rPr>
              <w:t>评审项目</w:t>
            </w:r>
          </w:p>
        </w:tc>
        <w:tc>
          <w:tcPr>
            <w:tcW w:w="3364" w:type="pct"/>
            <w:tcBorders>
              <w:bottom w:val="single" w:color="auto" w:sz="4" w:space="0"/>
            </w:tcBorders>
            <w:noWrap w:val="0"/>
            <w:vAlign w:val="center"/>
          </w:tcPr>
          <w:p w14:paraId="164243F5">
            <w:pPr>
              <w:spacing w:after="120" w:line="360" w:lineRule="auto"/>
              <w:jc w:val="center"/>
              <w:rPr>
                <w:rFonts w:ascii="宋体" w:hAnsi="宋体"/>
                <w:color w:val="auto"/>
                <w:szCs w:val="21"/>
              </w:rPr>
            </w:pPr>
            <w:r>
              <w:rPr>
                <w:rFonts w:hint="eastAsia" w:ascii="宋体" w:hAnsi="宋体"/>
                <w:color w:val="auto"/>
                <w:szCs w:val="21"/>
              </w:rPr>
              <w:t>评分细则</w:t>
            </w:r>
          </w:p>
        </w:tc>
        <w:tc>
          <w:tcPr>
            <w:tcW w:w="368" w:type="pct"/>
            <w:noWrap w:val="0"/>
            <w:vAlign w:val="center"/>
          </w:tcPr>
          <w:p w14:paraId="10340566">
            <w:pPr>
              <w:spacing w:after="120" w:line="360" w:lineRule="auto"/>
              <w:jc w:val="center"/>
              <w:rPr>
                <w:rFonts w:ascii="宋体" w:hAnsi="宋体"/>
                <w:color w:val="auto"/>
                <w:szCs w:val="21"/>
              </w:rPr>
            </w:pPr>
            <w:r>
              <w:rPr>
                <w:rFonts w:hint="eastAsia" w:ascii="宋体" w:hAnsi="宋体"/>
                <w:color w:val="auto"/>
                <w:szCs w:val="21"/>
              </w:rPr>
              <w:t>单项分数</w:t>
            </w:r>
          </w:p>
        </w:tc>
      </w:tr>
      <w:tr w14:paraId="657B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49DC5F2B">
            <w:pPr>
              <w:adjustRightInd w:val="0"/>
              <w:spacing w:after="120" w:line="360" w:lineRule="auto"/>
              <w:jc w:val="center"/>
              <w:rPr>
                <w:rFonts w:ascii="宋体" w:hAnsi="宋体"/>
                <w:color w:val="auto"/>
                <w:szCs w:val="21"/>
              </w:rPr>
            </w:pPr>
            <w:r>
              <w:rPr>
                <w:rFonts w:hint="eastAsia" w:ascii="宋体" w:hAnsi="宋体"/>
                <w:color w:val="auto"/>
                <w:szCs w:val="21"/>
              </w:rPr>
              <w:t>1</w:t>
            </w:r>
          </w:p>
        </w:tc>
        <w:tc>
          <w:tcPr>
            <w:tcW w:w="611" w:type="pct"/>
            <w:noWrap w:val="0"/>
            <w:vAlign w:val="center"/>
          </w:tcPr>
          <w:p w14:paraId="1C00D322">
            <w:pPr>
              <w:spacing w:line="360" w:lineRule="auto"/>
              <w:jc w:val="center"/>
              <w:rPr>
                <w:rFonts w:hint="eastAsia" w:ascii="宋体" w:hAnsi="宋体" w:cs="宋体"/>
                <w:color w:val="auto"/>
                <w:szCs w:val="21"/>
              </w:rPr>
            </w:pPr>
            <w:r>
              <w:rPr>
                <w:rFonts w:hint="eastAsia"/>
                <w:color w:val="auto"/>
              </w:rPr>
              <w:t>体系认证</w:t>
            </w:r>
          </w:p>
        </w:tc>
        <w:tc>
          <w:tcPr>
            <w:tcW w:w="3364" w:type="pct"/>
            <w:tcBorders>
              <w:bottom w:val="single" w:color="auto" w:sz="4" w:space="0"/>
            </w:tcBorders>
            <w:noWrap w:val="0"/>
            <w:vAlign w:val="center"/>
          </w:tcPr>
          <w:p w14:paraId="1EBF98D0">
            <w:pPr>
              <w:spacing w:line="360" w:lineRule="auto"/>
              <w:rPr>
                <w:rFonts w:hint="eastAsia" w:eastAsia="宋体"/>
                <w:color w:val="auto"/>
                <w:lang w:eastAsia="zh-CN"/>
              </w:rPr>
            </w:pPr>
            <w:r>
              <w:rPr>
                <w:rFonts w:hint="eastAsia"/>
                <w:color w:val="auto"/>
              </w:rPr>
              <w:t>投标人</w:t>
            </w:r>
            <w:r>
              <w:rPr>
                <w:rFonts w:hint="eastAsia"/>
                <w:color w:val="auto"/>
                <w:lang w:val="en-US" w:eastAsia="zh-CN"/>
              </w:rPr>
              <w:t>具有</w:t>
            </w:r>
            <w:r>
              <w:rPr>
                <w:rFonts w:hint="eastAsia"/>
                <w:color w:val="auto"/>
              </w:rPr>
              <w:t>质量管理体系认证</w:t>
            </w:r>
            <w:r>
              <w:rPr>
                <w:rFonts w:hint="eastAsia"/>
                <w:color w:val="auto"/>
                <w:lang w:eastAsia="zh-CN"/>
              </w:rPr>
              <w:t>，</w:t>
            </w:r>
            <w:r>
              <w:rPr>
                <w:rFonts w:hint="eastAsia"/>
                <w:color w:val="auto"/>
              </w:rPr>
              <w:t>环境管理体系认证</w:t>
            </w:r>
            <w:r>
              <w:rPr>
                <w:rFonts w:hint="eastAsia"/>
                <w:color w:val="auto"/>
                <w:lang w:eastAsia="zh-CN"/>
              </w:rPr>
              <w:t>，</w:t>
            </w:r>
            <w:r>
              <w:rPr>
                <w:rFonts w:hint="eastAsia"/>
                <w:color w:val="auto"/>
              </w:rPr>
              <w:t>职业健康安全管理体系认证</w:t>
            </w:r>
            <w:r>
              <w:rPr>
                <w:rFonts w:hint="eastAsia"/>
                <w:color w:val="auto"/>
                <w:lang w:val="en-US" w:eastAsia="zh-CN"/>
              </w:rPr>
              <w:t>的，每提供一项得1分，</w:t>
            </w:r>
            <w:r>
              <w:rPr>
                <w:rFonts w:hint="eastAsia"/>
                <w:color w:val="auto"/>
                <w:lang w:eastAsia="zh-Hans"/>
              </w:rPr>
              <w:t>最高</w:t>
            </w:r>
            <w:r>
              <w:rPr>
                <w:rFonts w:hint="eastAsia"/>
                <w:color w:val="auto"/>
              </w:rPr>
              <w:t>得</w:t>
            </w:r>
            <w:r>
              <w:rPr>
                <w:rFonts w:hint="eastAsia"/>
                <w:color w:val="auto"/>
                <w:lang w:val="en-US" w:eastAsia="zh-CN"/>
              </w:rPr>
              <w:t>3分</w:t>
            </w:r>
            <w:r>
              <w:rPr>
                <w:rFonts w:hint="eastAsia"/>
                <w:color w:val="auto"/>
                <w:lang w:eastAsia="zh-CN"/>
              </w:rPr>
              <w:t>。</w:t>
            </w:r>
          </w:p>
          <w:p w14:paraId="68F4260D">
            <w:pPr>
              <w:spacing w:line="360" w:lineRule="auto"/>
              <w:rPr>
                <w:rFonts w:hint="eastAsia" w:ascii="宋体" w:hAnsi="宋体" w:eastAsia="宋体" w:cs="宋体"/>
                <w:color w:val="auto"/>
                <w:kern w:val="0"/>
                <w:szCs w:val="21"/>
                <w:lang w:eastAsia="zh-CN" w:bidi="ar"/>
              </w:rPr>
            </w:pPr>
            <w:r>
              <w:rPr>
                <w:rFonts w:hint="eastAsia"/>
                <w:color w:val="auto"/>
                <w:lang w:val="en-US" w:eastAsia="zh-CN"/>
              </w:rPr>
              <w:t>注：</w:t>
            </w:r>
            <w:r>
              <w:rPr>
                <w:rFonts w:hint="eastAsia"/>
                <w:color w:val="auto"/>
              </w:rPr>
              <w:t>投标人须提供有效证书的复印件，不提供不得分</w:t>
            </w:r>
            <w:r>
              <w:rPr>
                <w:rFonts w:hint="eastAsia"/>
                <w:color w:val="auto"/>
                <w:lang w:eastAsia="zh-CN"/>
              </w:rPr>
              <w:t>。</w:t>
            </w:r>
          </w:p>
        </w:tc>
        <w:tc>
          <w:tcPr>
            <w:tcW w:w="368" w:type="pct"/>
            <w:noWrap w:val="0"/>
            <w:vAlign w:val="center"/>
          </w:tcPr>
          <w:p w14:paraId="02F99B40">
            <w:pPr>
              <w:spacing w:line="360" w:lineRule="auto"/>
              <w:jc w:val="center"/>
              <w:rPr>
                <w:rFonts w:ascii="宋体" w:hAnsi="宋体"/>
                <w:color w:val="auto"/>
                <w:kern w:val="0"/>
                <w:szCs w:val="21"/>
              </w:rPr>
            </w:pPr>
            <w:r>
              <w:rPr>
                <w:rFonts w:hint="eastAsia" w:ascii="宋体" w:hAnsi="宋体" w:cs="宋体"/>
                <w:color w:val="auto"/>
                <w:szCs w:val="21"/>
              </w:rPr>
              <w:t>3</w:t>
            </w:r>
          </w:p>
        </w:tc>
      </w:tr>
      <w:tr w14:paraId="07F3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2253CC65">
            <w:pPr>
              <w:widowControl/>
              <w:adjustRightInd w:val="0"/>
              <w:snapToGrid w:val="0"/>
              <w:spacing w:after="120" w:line="360" w:lineRule="auto"/>
              <w:jc w:val="center"/>
              <w:rPr>
                <w:rFonts w:hint="eastAsia" w:ascii="宋体" w:hAnsi="宋体"/>
                <w:color w:val="auto"/>
                <w:szCs w:val="21"/>
              </w:rPr>
            </w:pPr>
            <w:r>
              <w:rPr>
                <w:rFonts w:hint="eastAsia" w:ascii="宋体" w:hAnsi="宋体"/>
                <w:color w:val="auto"/>
                <w:szCs w:val="21"/>
              </w:rPr>
              <w:t>2</w:t>
            </w:r>
          </w:p>
        </w:tc>
        <w:tc>
          <w:tcPr>
            <w:tcW w:w="611" w:type="pct"/>
            <w:noWrap w:val="0"/>
            <w:vAlign w:val="center"/>
          </w:tcPr>
          <w:p w14:paraId="317F5D30">
            <w:pPr>
              <w:spacing w:line="360" w:lineRule="auto"/>
              <w:jc w:val="center"/>
              <w:rPr>
                <w:rFonts w:ascii="宋体" w:hAnsi="宋体" w:cs="宋体"/>
                <w:color w:val="auto"/>
                <w:szCs w:val="21"/>
              </w:rPr>
            </w:pPr>
            <w:r>
              <w:rPr>
                <w:rFonts w:hint="eastAsia" w:ascii="宋体" w:hAnsi="宋体" w:cs="宋体"/>
                <w:color w:val="auto"/>
                <w:szCs w:val="21"/>
              </w:rPr>
              <w:t>同类项目经验</w:t>
            </w:r>
          </w:p>
        </w:tc>
        <w:tc>
          <w:tcPr>
            <w:tcW w:w="3364" w:type="pct"/>
            <w:tcBorders>
              <w:bottom w:val="single" w:color="auto" w:sz="4" w:space="0"/>
            </w:tcBorders>
            <w:noWrap w:val="0"/>
            <w:vAlign w:val="center"/>
          </w:tcPr>
          <w:p w14:paraId="17068BDD">
            <w:pPr>
              <w:spacing w:line="360" w:lineRule="auto"/>
              <w:rPr>
                <w:rFonts w:hint="eastAsia" w:ascii="宋体" w:hAnsi="宋体" w:eastAsia="宋体" w:cs="宋体"/>
                <w:color w:val="auto"/>
                <w:szCs w:val="21"/>
                <w:lang w:eastAsia="zh-CN"/>
              </w:rPr>
            </w:pPr>
            <w:r>
              <w:rPr>
                <w:rFonts w:hint="eastAsia"/>
                <w:color w:val="auto"/>
              </w:rPr>
              <w:t>投标人20</w:t>
            </w:r>
            <w:r>
              <w:rPr>
                <w:rFonts w:hint="eastAsia"/>
                <w:color w:val="auto"/>
                <w:lang w:val="en-US" w:eastAsia="zh-CN"/>
              </w:rPr>
              <w:t>23</w:t>
            </w:r>
            <w:r>
              <w:rPr>
                <w:rFonts w:hint="eastAsia"/>
                <w:color w:val="auto"/>
              </w:rPr>
              <w:t>年1月1日</w:t>
            </w:r>
            <w:r>
              <w:rPr>
                <w:rFonts w:hint="eastAsia"/>
                <w:color w:val="auto"/>
                <w:lang w:val="en-US" w:eastAsia="zh-CN"/>
              </w:rPr>
              <w:t>至投标截止日</w:t>
            </w:r>
            <w:r>
              <w:rPr>
                <w:rFonts w:hint="eastAsia"/>
                <w:color w:val="auto"/>
              </w:rPr>
              <w:t>具备</w:t>
            </w:r>
            <w:r>
              <w:rPr>
                <w:rFonts w:hint="eastAsia"/>
                <w:color w:val="auto"/>
                <w:lang w:val="en-US" w:eastAsia="zh-CN"/>
              </w:rPr>
              <w:t>对应子包的同类项目业绩，每提供</w:t>
            </w:r>
            <w:r>
              <w:rPr>
                <w:rFonts w:hint="eastAsia"/>
                <w:color w:val="auto"/>
              </w:rPr>
              <w:t>1个业绩得</w:t>
            </w:r>
            <w:r>
              <w:rPr>
                <w:rFonts w:hint="eastAsia"/>
                <w:color w:val="auto"/>
                <w:lang w:val="en-US" w:eastAsia="zh-CN"/>
              </w:rPr>
              <w:t>3</w:t>
            </w:r>
            <w:r>
              <w:rPr>
                <w:rFonts w:hint="eastAsia"/>
                <w:color w:val="auto"/>
              </w:rPr>
              <w:t>分，</w:t>
            </w:r>
            <w:r>
              <w:rPr>
                <w:rFonts w:hint="eastAsia"/>
                <w:color w:val="auto"/>
                <w:lang w:eastAsia="zh-Hans"/>
              </w:rPr>
              <w:t>最高</w:t>
            </w:r>
            <w:r>
              <w:rPr>
                <w:rFonts w:hint="eastAsia"/>
                <w:color w:val="auto"/>
              </w:rPr>
              <w:t>得</w:t>
            </w:r>
            <w:r>
              <w:rPr>
                <w:rFonts w:hint="eastAsia"/>
                <w:color w:val="auto"/>
                <w:lang w:val="en-US" w:eastAsia="zh-CN"/>
              </w:rPr>
              <w:t>12</w:t>
            </w:r>
            <w:r>
              <w:rPr>
                <w:rFonts w:hint="eastAsia"/>
                <w:color w:val="auto"/>
                <w:lang w:eastAsia="zh-Hans"/>
              </w:rPr>
              <w:t>分</w:t>
            </w:r>
            <w:r>
              <w:rPr>
                <w:rFonts w:hint="eastAsia"/>
                <w:color w:val="auto"/>
                <w:lang w:eastAsia="zh-CN"/>
              </w:rPr>
              <w:t>。</w:t>
            </w:r>
          </w:p>
          <w:p w14:paraId="4B8E5F70">
            <w:pPr>
              <w:spacing w:line="360" w:lineRule="auto"/>
              <w:rPr>
                <w:rFonts w:hint="eastAsia" w:ascii="宋体" w:hAnsi="宋体" w:cs="宋体"/>
                <w:color w:val="auto"/>
                <w:szCs w:val="21"/>
              </w:rPr>
            </w:pPr>
            <w:r>
              <w:rPr>
                <w:rFonts w:hint="eastAsia" w:ascii="宋体" w:hAnsi="宋体" w:cs="宋体"/>
                <w:color w:val="auto"/>
                <w:szCs w:val="21"/>
              </w:rPr>
              <w:t>注：</w:t>
            </w:r>
            <w:r>
              <w:rPr>
                <w:rFonts w:hint="eastAsia" w:ascii="宋体" w:hAnsi="宋体" w:eastAsia="宋体" w:cs="宋体"/>
                <w:color w:val="auto"/>
                <w:szCs w:val="21"/>
              </w:rPr>
              <w:t>注：</w:t>
            </w:r>
            <w:r>
              <w:rPr>
                <w:rFonts w:hint="eastAsia" w:ascii="宋体" w:hAnsi="宋体" w:eastAsia="宋体" w:cs="宋体"/>
                <w:color w:val="auto"/>
                <w:szCs w:val="21"/>
                <w:lang w:val="en-US" w:eastAsia="zh-CN"/>
              </w:rPr>
              <w:t>①</w:t>
            </w:r>
            <w:r>
              <w:rPr>
                <w:rFonts w:hint="eastAsia" w:ascii="宋体" w:hAnsi="宋体" w:eastAsia="宋体" w:cs="宋体"/>
                <w:color w:val="auto"/>
                <w:szCs w:val="21"/>
              </w:rPr>
              <w:t>须提供合同关键页复印件，证明材料须体现合同时间、合同内容、双方盖章</w:t>
            </w:r>
            <w:r>
              <w:rPr>
                <w:rFonts w:hint="eastAsia" w:ascii="宋体" w:hAnsi="宋体" w:eastAsia="宋体" w:cs="宋体"/>
                <w:color w:val="auto"/>
                <w:szCs w:val="21"/>
                <w:lang w:eastAsia="zh-CN"/>
              </w:rPr>
              <w:t>。</w:t>
            </w:r>
            <w:r>
              <w:rPr>
                <w:rFonts w:hint="eastAsia" w:ascii="宋体" w:hAnsi="宋体" w:eastAsia="宋体" w:cs="宋体"/>
                <w:bCs w:val="0"/>
                <w:color w:val="auto"/>
                <w:sz w:val="21"/>
                <w:szCs w:val="21"/>
              </w:rPr>
              <w:t>②若合同无法说明项目内容符合上述同类项目经验范围，可提供</w:t>
            </w:r>
            <w:r>
              <w:rPr>
                <w:rFonts w:hint="eastAsia" w:ascii="宋体" w:hAnsi="宋体" w:eastAsia="宋体" w:cs="宋体"/>
                <w:bCs w:val="0"/>
                <w:color w:val="auto"/>
                <w:sz w:val="21"/>
                <w:szCs w:val="21"/>
                <w:lang w:val="en-US" w:eastAsia="zh-CN"/>
              </w:rPr>
              <w:t>合同</w:t>
            </w:r>
            <w:r>
              <w:rPr>
                <w:rFonts w:hint="eastAsia" w:ascii="宋体" w:hAnsi="宋体" w:eastAsia="宋体" w:cs="宋体"/>
                <w:bCs w:val="0"/>
                <w:color w:val="auto"/>
                <w:sz w:val="21"/>
                <w:szCs w:val="21"/>
              </w:rPr>
              <w:t>甲方出具的相应证明文件作依据（证明文件须加盖合同甲方公司章或合同章，或甲方项目使用部门章）。③若合同无相关签订时间，则以合同中能够体现的服务起始时间进行认定。</w:t>
            </w:r>
            <w:r>
              <w:rPr>
                <w:rFonts w:hint="eastAsia" w:ascii="宋体" w:hAnsi="宋体" w:eastAsia="宋体" w:cs="宋体"/>
                <w:color w:val="auto"/>
                <w:szCs w:val="21"/>
              </w:rPr>
              <w:t>如提供的材料内容欠缺、不符合要求的不得分。</w:t>
            </w:r>
          </w:p>
        </w:tc>
        <w:tc>
          <w:tcPr>
            <w:tcW w:w="368" w:type="pct"/>
            <w:noWrap w:val="0"/>
            <w:vAlign w:val="center"/>
          </w:tcPr>
          <w:p w14:paraId="56E47026">
            <w:pPr>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12</w:t>
            </w:r>
          </w:p>
        </w:tc>
      </w:tr>
      <w:tr w14:paraId="1B2D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303" w:type="pct"/>
            <w:noWrap w:val="0"/>
            <w:vAlign w:val="center"/>
          </w:tcPr>
          <w:p w14:paraId="23B26871">
            <w:pPr>
              <w:widowControl/>
              <w:adjustRightInd w:val="0"/>
              <w:snapToGrid w:val="0"/>
              <w:spacing w:after="120" w:line="360" w:lineRule="auto"/>
              <w:jc w:val="center"/>
              <w:rPr>
                <w:rFonts w:hint="eastAsia" w:ascii="宋体" w:hAnsi="宋体"/>
                <w:color w:val="auto"/>
                <w:szCs w:val="21"/>
              </w:rPr>
            </w:pPr>
            <w:r>
              <w:rPr>
                <w:rFonts w:hint="eastAsia" w:ascii="宋体" w:hAnsi="宋体"/>
                <w:color w:val="auto"/>
                <w:szCs w:val="21"/>
              </w:rPr>
              <w:t>3</w:t>
            </w:r>
          </w:p>
        </w:tc>
        <w:tc>
          <w:tcPr>
            <w:tcW w:w="611" w:type="pct"/>
            <w:noWrap w:val="0"/>
            <w:vAlign w:val="center"/>
          </w:tcPr>
          <w:p w14:paraId="33348149">
            <w:pPr>
              <w:spacing w:line="360" w:lineRule="auto"/>
              <w:jc w:val="center"/>
              <w:rPr>
                <w:rFonts w:ascii="宋体" w:hAnsi="宋体" w:cs="宋体"/>
                <w:color w:val="auto"/>
                <w:szCs w:val="21"/>
              </w:rPr>
            </w:pPr>
            <w:r>
              <w:rPr>
                <w:rFonts w:hint="eastAsia" w:ascii="宋体" w:hAnsi="宋体" w:cs="宋体"/>
                <w:color w:val="auto"/>
                <w:szCs w:val="21"/>
              </w:rPr>
              <w:t>团队人员情况</w:t>
            </w:r>
          </w:p>
        </w:tc>
        <w:tc>
          <w:tcPr>
            <w:tcW w:w="3364" w:type="pct"/>
            <w:tcBorders>
              <w:bottom w:val="single" w:color="auto" w:sz="4" w:space="0"/>
            </w:tcBorders>
            <w:noWrap w:val="0"/>
            <w:vAlign w:val="top"/>
          </w:tcPr>
          <w:p w14:paraId="128FADE3">
            <w:pPr>
              <w:spacing w:line="360" w:lineRule="auto"/>
              <w:rPr>
                <w:rFonts w:hint="eastAsia" w:ascii="宋体" w:hAnsi="宋体" w:cs="宋体"/>
                <w:color w:val="auto"/>
                <w:szCs w:val="21"/>
              </w:rPr>
            </w:pPr>
            <w:r>
              <w:rPr>
                <w:rFonts w:hint="eastAsia" w:ascii="宋体" w:hAnsi="宋体" w:cs="宋体"/>
                <w:color w:val="auto"/>
                <w:szCs w:val="21"/>
              </w:rPr>
              <w:t>投标人拟投入本项目的服务团队人员</w:t>
            </w:r>
            <w:r>
              <w:rPr>
                <w:rFonts w:hint="eastAsia" w:ascii="宋体" w:hAnsi="宋体" w:cs="宋体"/>
                <w:color w:val="auto"/>
                <w:szCs w:val="21"/>
                <w:lang w:val="en-US" w:eastAsia="zh-CN"/>
              </w:rPr>
              <w:t>情况</w:t>
            </w:r>
            <w:r>
              <w:rPr>
                <w:rFonts w:hint="eastAsia" w:ascii="宋体" w:hAnsi="宋体" w:cs="宋体"/>
                <w:color w:val="auto"/>
                <w:szCs w:val="21"/>
              </w:rPr>
              <w:t>：</w:t>
            </w:r>
          </w:p>
          <w:p w14:paraId="33353062">
            <w:pPr>
              <w:spacing w:line="360" w:lineRule="auto"/>
              <w:rPr>
                <w:rFonts w:ascii="宋体" w:hAnsi="宋体" w:cs="宋体"/>
                <w:color w:val="auto"/>
                <w:szCs w:val="21"/>
              </w:rPr>
            </w:pPr>
            <w:r>
              <w:rPr>
                <w:rFonts w:hint="eastAsia" w:ascii="宋体" w:hAnsi="宋体" w:cs="宋体"/>
                <w:color w:val="auto"/>
                <w:szCs w:val="21"/>
                <w:lang w:val="en-US" w:eastAsia="zh-CN"/>
              </w:rPr>
              <w:t>（1）每投入一位</w:t>
            </w:r>
            <w:r>
              <w:rPr>
                <w:rFonts w:hint="eastAsia" w:ascii="宋体" w:hAnsi="宋体" w:cs="宋体"/>
                <w:color w:val="auto"/>
                <w:szCs w:val="21"/>
              </w:rPr>
              <w:t>团队</w:t>
            </w:r>
            <w:r>
              <w:rPr>
                <w:rFonts w:hint="eastAsia" w:ascii="宋体" w:hAnsi="宋体" w:cs="宋体"/>
                <w:color w:val="auto"/>
                <w:szCs w:val="21"/>
                <w:lang w:val="en-US" w:eastAsia="zh-CN"/>
              </w:rPr>
              <w:t>人员</w:t>
            </w:r>
            <w:r>
              <w:rPr>
                <w:rFonts w:hint="eastAsia" w:ascii="宋体" w:hAnsi="宋体" w:cs="宋体"/>
                <w:color w:val="auto"/>
                <w:szCs w:val="21"/>
              </w:rPr>
              <w:t>得</w:t>
            </w:r>
            <w:r>
              <w:rPr>
                <w:rFonts w:hint="eastAsia" w:ascii="宋体" w:hAnsi="宋体" w:cs="宋体"/>
                <w:color w:val="auto"/>
                <w:szCs w:val="21"/>
                <w:lang w:val="en-US" w:eastAsia="zh-CN"/>
              </w:rPr>
              <w:t>1</w:t>
            </w:r>
            <w:r>
              <w:rPr>
                <w:rFonts w:hint="eastAsia" w:ascii="宋体" w:hAnsi="宋体" w:cs="宋体"/>
                <w:color w:val="auto"/>
                <w:szCs w:val="21"/>
              </w:rPr>
              <w:t>分</w:t>
            </w:r>
            <w:r>
              <w:rPr>
                <w:rFonts w:hint="eastAsia" w:ascii="宋体" w:hAnsi="宋体" w:cs="宋体"/>
                <w:color w:val="auto"/>
                <w:szCs w:val="21"/>
                <w:lang w:eastAsia="zh-CN"/>
              </w:rPr>
              <w:t>，</w:t>
            </w:r>
            <w:r>
              <w:rPr>
                <w:rFonts w:hint="eastAsia" w:ascii="宋体" w:hAnsi="宋体" w:cs="宋体"/>
                <w:color w:val="auto"/>
                <w:szCs w:val="21"/>
                <w:lang w:val="en-US" w:eastAsia="zh-CN"/>
              </w:rPr>
              <w:t>满分5分</w:t>
            </w:r>
            <w:r>
              <w:rPr>
                <w:rFonts w:hint="eastAsia" w:ascii="宋体" w:hAnsi="宋体" w:cs="宋体"/>
                <w:color w:val="auto"/>
                <w:szCs w:val="21"/>
              </w:rPr>
              <w:t>；不提供不得分</w:t>
            </w:r>
          </w:p>
          <w:p w14:paraId="22B83E76">
            <w:pPr>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本项满分5分。</w:t>
            </w:r>
          </w:p>
          <w:p w14:paraId="48F0614D">
            <w:pPr>
              <w:spacing w:line="360" w:lineRule="auto"/>
              <w:rPr>
                <w:color w:val="auto"/>
              </w:rPr>
            </w:pPr>
            <w:r>
              <w:rPr>
                <w:rFonts w:hint="eastAsia" w:ascii="宋体" w:hAnsi="宋体" w:cs="宋体"/>
                <w:color w:val="auto"/>
                <w:szCs w:val="21"/>
              </w:rPr>
              <w:t>注：</w:t>
            </w:r>
            <w:r>
              <w:rPr>
                <w:rFonts w:hint="eastAsia"/>
                <w:color w:val="auto"/>
                <w:lang w:val="en-US" w:eastAsia="zh-CN"/>
              </w:rPr>
              <w:t>①</w:t>
            </w:r>
            <w:r>
              <w:rPr>
                <w:color w:val="auto"/>
              </w:rPr>
              <w:t>同时提供</w:t>
            </w:r>
            <w:r>
              <w:rPr>
                <w:rFonts w:hint="eastAsia"/>
                <w:color w:val="auto"/>
                <w:lang w:val="en-US" w:eastAsia="zh-CN"/>
              </w:rPr>
              <w:t>服务团队</w:t>
            </w:r>
            <w:r>
              <w:rPr>
                <w:color w:val="auto"/>
              </w:rPr>
              <w:t>人员名单</w:t>
            </w:r>
            <w:r>
              <w:rPr>
                <w:rFonts w:hint="eastAsia"/>
                <w:color w:val="auto"/>
                <w:lang w:eastAsia="zh-CN"/>
              </w:rPr>
              <w:t>，</w:t>
            </w:r>
            <w:r>
              <w:rPr>
                <w:rFonts w:hint="eastAsia"/>
                <w:color w:val="auto"/>
              </w:rPr>
              <w:t>以及</w:t>
            </w:r>
            <w:r>
              <w:rPr>
                <w:rFonts w:hint="eastAsia" w:ascii="宋体" w:hAnsi="宋体" w:cs="宋体"/>
                <w:color w:val="auto"/>
                <w:szCs w:val="21"/>
              </w:rPr>
              <w:t>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w:t>
            </w:r>
            <w:r>
              <w:rPr>
                <w:rFonts w:hint="eastAsia" w:ascii="宋体" w:hAnsi="宋体" w:cs="宋体"/>
                <w:color w:val="auto"/>
                <w:szCs w:val="21"/>
              </w:rPr>
              <w:t>月至今</w:t>
            </w:r>
            <w:r>
              <w:rPr>
                <w:rFonts w:hint="eastAsia" w:ascii="宋体" w:hAnsi="宋体" w:cs="宋体"/>
                <w:color w:val="auto"/>
                <w:szCs w:val="21"/>
                <w:lang w:val="en-US" w:eastAsia="zh-CN"/>
              </w:rPr>
              <w:t>任意</w:t>
            </w:r>
            <w:r>
              <w:rPr>
                <w:rFonts w:hint="eastAsia" w:ascii="宋体" w:hAnsi="宋体" w:cs="宋体"/>
                <w:color w:val="auto"/>
                <w:szCs w:val="21"/>
              </w:rPr>
              <w:t>1个月的</w:t>
            </w:r>
            <w:r>
              <w:rPr>
                <w:rFonts w:hint="eastAsia" w:ascii="宋体" w:hAnsi="宋体" w:cs="宋体"/>
                <w:color w:val="auto"/>
                <w:szCs w:val="21"/>
                <w:lang w:val="en-US" w:eastAsia="zh-CN"/>
              </w:rPr>
              <w:t>在投标人</w:t>
            </w:r>
            <w:r>
              <w:rPr>
                <w:rFonts w:hint="eastAsia" w:ascii="宋体" w:hAnsi="宋体" w:cs="宋体"/>
                <w:color w:val="auto"/>
                <w:szCs w:val="21"/>
              </w:rPr>
              <w:t>本单位缴纳社保的证明材料</w:t>
            </w:r>
            <w:r>
              <w:rPr>
                <w:rFonts w:hint="eastAsia" w:ascii="宋体" w:hAnsi="宋体" w:cs="宋体"/>
                <w:color w:val="auto"/>
                <w:szCs w:val="21"/>
                <w:lang w:val="en-US" w:eastAsia="zh-CN"/>
              </w:rPr>
              <w:t>或有效的劳动合同</w:t>
            </w:r>
            <w:r>
              <w:rPr>
                <w:color w:val="auto"/>
              </w:rPr>
              <w:t>；</w:t>
            </w:r>
          </w:p>
          <w:p w14:paraId="5DD5CF28">
            <w:pPr>
              <w:spacing w:line="360" w:lineRule="auto"/>
              <w:rPr>
                <w:rFonts w:hint="eastAsia" w:ascii="宋体" w:hAnsi="宋体" w:cs="宋体"/>
                <w:color w:val="auto"/>
                <w:szCs w:val="21"/>
              </w:rPr>
            </w:pPr>
            <w:r>
              <w:rPr>
                <w:rFonts w:hint="eastAsia" w:ascii="宋体" w:hAnsi="宋体" w:cs="宋体"/>
                <w:color w:val="auto"/>
                <w:szCs w:val="21"/>
                <w:lang w:val="en-US" w:eastAsia="zh-CN"/>
              </w:rPr>
              <w:t>②</w:t>
            </w:r>
            <w:r>
              <w:rPr>
                <w:rFonts w:hint="eastAsia" w:ascii="宋体" w:hAnsi="宋体" w:cs="宋体"/>
                <w:color w:val="auto"/>
                <w:szCs w:val="21"/>
              </w:rPr>
              <w:t>证明材料提供不齐的，不得分。</w:t>
            </w:r>
          </w:p>
        </w:tc>
        <w:tc>
          <w:tcPr>
            <w:tcW w:w="368" w:type="pct"/>
            <w:noWrap w:val="0"/>
            <w:vAlign w:val="center"/>
          </w:tcPr>
          <w:p w14:paraId="592C2AD6">
            <w:pPr>
              <w:spacing w:line="360" w:lineRule="auto"/>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5</w:t>
            </w:r>
          </w:p>
        </w:tc>
      </w:tr>
      <w:tr w14:paraId="1009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279" w:type="pct"/>
            <w:gridSpan w:val="3"/>
            <w:noWrap w:val="0"/>
            <w:vAlign w:val="center"/>
          </w:tcPr>
          <w:p w14:paraId="46CD0915">
            <w:pPr>
              <w:spacing w:after="120" w:line="360" w:lineRule="auto"/>
              <w:jc w:val="center"/>
              <w:rPr>
                <w:rFonts w:ascii="宋体" w:hAnsi="宋体"/>
                <w:color w:val="auto"/>
                <w:szCs w:val="21"/>
              </w:rPr>
            </w:pPr>
            <w:r>
              <w:rPr>
                <w:rFonts w:hint="eastAsia" w:ascii="宋体" w:hAnsi="宋体"/>
                <w:color w:val="auto"/>
                <w:szCs w:val="21"/>
              </w:rPr>
              <w:t>合计</w:t>
            </w:r>
          </w:p>
        </w:tc>
        <w:tc>
          <w:tcPr>
            <w:tcW w:w="368" w:type="pct"/>
            <w:noWrap w:val="0"/>
            <w:vAlign w:val="center"/>
          </w:tcPr>
          <w:p w14:paraId="659729A1">
            <w:pPr>
              <w:widowControl/>
              <w:adjustRightInd w:val="0"/>
              <w:spacing w:after="120" w:line="360" w:lineRule="auto"/>
              <w:jc w:val="center"/>
              <w:rPr>
                <w:rFonts w:ascii="宋体" w:hAnsi="宋体"/>
                <w:color w:val="auto"/>
                <w:szCs w:val="21"/>
              </w:rPr>
            </w:pPr>
            <w:r>
              <w:rPr>
                <w:rFonts w:hint="eastAsia" w:ascii="宋体" w:hAnsi="宋体"/>
                <w:color w:val="auto"/>
                <w:szCs w:val="21"/>
                <w:lang w:val="en-US" w:eastAsia="zh-CN"/>
              </w:rPr>
              <w:t>20</w:t>
            </w:r>
            <w:r>
              <w:rPr>
                <w:rFonts w:hint="eastAsia" w:ascii="宋体" w:hAnsi="宋体"/>
                <w:color w:val="auto"/>
                <w:szCs w:val="21"/>
              </w:rPr>
              <w:t>分</w:t>
            </w:r>
          </w:p>
        </w:tc>
      </w:tr>
    </w:tbl>
    <w:p w14:paraId="58328101">
      <w:pPr>
        <w:pStyle w:val="17"/>
        <w:rPr>
          <w:rFonts w:hint="eastAsia" w:hAnsi="宋体"/>
          <w:b/>
          <w:bCs/>
          <w:color w:val="auto"/>
          <w:highlight w:val="none"/>
        </w:rPr>
      </w:pPr>
      <w:r>
        <w:rPr>
          <w:rFonts w:hint="eastAsia" w:hAnsi="宋体"/>
          <w:b/>
          <w:bCs/>
          <w:color w:val="auto"/>
          <w:highlight w:val="none"/>
        </w:rPr>
        <w:t>注：1、评委对各投标文件进行评审，分数精确至小数点后2位。</w:t>
      </w:r>
    </w:p>
    <w:p w14:paraId="6DBFABB7">
      <w:pPr>
        <w:pStyle w:val="17"/>
        <w:rPr>
          <w:rFonts w:hint="eastAsia" w:hAnsi="宋体" w:cs="宋体"/>
          <w:b/>
          <w:bCs/>
          <w:color w:val="auto"/>
          <w:highlight w:val="none"/>
        </w:rPr>
      </w:pPr>
      <w:r>
        <w:rPr>
          <w:rFonts w:hint="eastAsia" w:hAnsi="宋体"/>
          <w:b/>
          <w:bCs/>
          <w:color w:val="auto"/>
          <w:highlight w:val="none"/>
        </w:rPr>
        <w:t>2、若投标人出现商务评分低于商务得分的60%，评标委员会将否决该投标人的所有投标文件，该投标人也不再进入价格详细评审环节</w:t>
      </w:r>
      <w:r>
        <w:rPr>
          <w:rFonts w:hint="eastAsia" w:hAnsi="宋体" w:cs="宋体"/>
          <w:b/>
          <w:bCs/>
          <w:color w:val="auto"/>
          <w:highlight w:val="none"/>
        </w:rPr>
        <w:t>。</w:t>
      </w:r>
    </w:p>
    <w:p w14:paraId="23DF401D">
      <w:pPr>
        <w:pStyle w:val="13"/>
        <w:rPr>
          <w:rFonts w:hint="eastAsia" w:ascii="宋体" w:hAnsi="宋体"/>
          <w:b/>
          <w:color w:val="auto"/>
          <w:highlight w:val="none"/>
        </w:rPr>
      </w:pPr>
      <w:r>
        <w:rPr>
          <w:rFonts w:hint="eastAsia" w:ascii="宋体" w:hAnsi="宋体" w:cs="宋体"/>
          <w:b/>
          <w:bCs/>
          <w:color w:val="auto"/>
          <w:highlight w:val="none"/>
        </w:rPr>
        <w:br w:type="page"/>
      </w:r>
      <w:r>
        <w:rPr>
          <w:rFonts w:hint="eastAsia" w:ascii="宋体" w:hAnsi="宋体"/>
          <w:b/>
          <w:color w:val="auto"/>
          <w:highlight w:val="none"/>
        </w:rPr>
        <w:t>附表4：符合性审查表（阶段二）</w:t>
      </w:r>
    </w:p>
    <w:p w14:paraId="255A8C7A">
      <w:pPr>
        <w:jc w:val="center"/>
        <w:rPr>
          <w:rFonts w:hint="eastAsia" w:ascii="宋体" w:hAnsi="宋体"/>
          <w:b/>
          <w:color w:val="auto"/>
          <w:sz w:val="28"/>
          <w:szCs w:val="28"/>
          <w:highlight w:val="none"/>
        </w:rPr>
      </w:pPr>
      <w:r>
        <w:rPr>
          <w:rFonts w:hint="eastAsia" w:ascii="宋体" w:hAnsi="宋体"/>
          <w:b/>
          <w:color w:val="auto"/>
          <w:sz w:val="28"/>
          <w:szCs w:val="28"/>
          <w:highlight w:val="none"/>
        </w:rPr>
        <w:t>符合性审查表（阶段二）</w:t>
      </w:r>
    </w:p>
    <w:tbl>
      <w:tblPr>
        <w:tblStyle w:val="27"/>
        <w:tblW w:w="0" w:type="auto"/>
        <w:tblInd w:w="0" w:type="dxa"/>
        <w:tblLayout w:type="fixed"/>
        <w:tblCellMar>
          <w:top w:w="0" w:type="dxa"/>
          <w:left w:w="0" w:type="dxa"/>
          <w:bottom w:w="0" w:type="dxa"/>
          <w:right w:w="0" w:type="dxa"/>
        </w:tblCellMar>
      </w:tblPr>
      <w:tblGrid>
        <w:gridCol w:w="561"/>
        <w:gridCol w:w="4225"/>
        <w:gridCol w:w="746"/>
        <w:gridCol w:w="744"/>
        <w:gridCol w:w="744"/>
        <w:gridCol w:w="744"/>
        <w:gridCol w:w="744"/>
        <w:gridCol w:w="764"/>
      </w:tblGrid>
      <w:tr w14:paraId="11D12130">
        <w:tblPrEx>
          <w:tblCellMar>
            <w:top w:w="0" w:type="dxa"/>
            <w:left w:w="0" w:type="dxa"/>
            <w:bottom w:w="0" w:type="dxa"/>
            <w:right w:w="0" w:type="dxa"/>
          </w:tblCellMar>
        </w:tblPrEx>
        <w:trPr>
          <w:trHeight w:val="90" w:hRule="atLeast"/>
        </w:trPr>
        <w:tc>
          <w:tcPr>
            <w:tcW w:w="561"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14:paraId="496E0A74">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noWrap w:val="0"/>
            <w:tcMar>
              <w:top w:w="15" w:type="dxa"/>
              <w:left w:w="15" w:type="dxa"/>
              <w:bottom w:w="0" w:type="dxa"/>
              <w:right w:w="15" w:type="dxa"/>
            </w:tcMar>
            <w:vAlign w:val="center"/>
          </w:tcPr>
          <w:p w14:paraId="34620897">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6" w:type="dxa"/>
            <w:gridSpan w:val="6"/>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B7DB6BB">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02E7CF12">
        <w:tblPrEx>
          <w:tblCellMar>
            <w:top w:w="0" w:type="dxa"/>
            <w:left w:w="0" w:type="dxa"/>
            <w:bottom w:w="0" w:type="dxa"/>
            <w:right w:w="0" w:type="dxa"/>
          </w:tblCellMar>
        </w:tblPrEx>
        <w:trPr>
          <w:trHeight w:val="211" w:hRule="atLeast"/>
        </w:trPr>
        <w:tc>
          <w:tcPr>
            <w:tcW w:w="561" w:type="dxa"/>
            <w:vMerge w:val="continue"/>
            <w:tcBorders>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44B69F1">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noWrap w:val="0"/>
            <w:tcMar>
              <w:top w:w="15" w:type="dxa"/>
              <w:left w:w="15" w:type="dxa"/>
              <w:bottom w:w="0" w:type="dxa"/>
              <w:right w:w="15" w:type="dxa"/>
            </w:tcMar>
            <w:vAlign w:val="center"/>
          </w:tcPr>
          <w:p w14:paraId="0BD3A04F">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DBC4680">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8257FE9">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361F707">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8ADFEA5">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noWrap w:val="0"/>
            <w:vAlign w:val="center"/>
          </w:tcPr>
          <w:p w14:paraId="1F13C01C">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4" w:type="dxa"/>
            <w:tcBorders>
              <w:top w:val="single" w:color="auto" w:sz="4" w:space="0"/>
              <w:left w:val="nil"/>
              <w:bottom w:val="single" w:color="auto" w:sz="4" w:space="0"/>
              <w:right w:val="single" w:color="auto" w:sz="4" w:space="0"/>
            </w:tcBorders>
            <w:noWrap w:val="0"/>
            <w:vAlign w:val="center"/>
          </w:tcPr>
          <w:p w14:paraId="40EFB73F">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43F87285">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6DFF7B4">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1A062CD">
            <w:pPr>
              <w:rPr>
                <w:rFonts w:hint="eastAsia" w:ascii="宋体" w:hAnsi="宋体" w:cs="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0FDF9E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AABF86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E91701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D4A4514">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176609F6">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63762AE7">
            <w:pPr>
              <w:jc w:val="center"/>
              <w:rPr>
                <w:rFonts w:hint="eastAsia" w:ascii="宋体" w:hAnsi="宋体" w:cs="宋体"/>
                <w:color w:val="auto"/>
                <w:szCs w:val="21"/>
                <w:highlight w:val="none"/>
              </w:rPr>
            </w:pPr>
          </w:p>
        </w:tc>
      </w:tr>
      <w:tr w14:paraId="29CA0E13">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AB6469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650FE42">
            <w:pPr>
              <w:rPr>
                <w:rFonts w:hint="eastAsia" w:ascii="宋体" w:hAnsi="宋体" w:cs="宋体"/>
                <w:color w:val="auto"/>
                <w:szCs w:val="21"/>
                <w:highlight w:val="none"/>
              </w:rPr>
            </w:pPr>
            <w:r>
              <w:rPr>
                <w:rFonts w:hint="eastAsia" w:ascii="宋体" w:hAnsi="宋体" w:cs="宋体"/>
                <w:color w:val="auto"/>
                <w:szCs w:val="21"/>
                <w:highlight w:val="none"/>
              </w:rPr>
              <w:t>投标人的投标报价没有超过本项目的最高限价；</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EC51C4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6E53BF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E2EFB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E0005E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012303E3">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05060D26">
            <w:pPr>
              <w:jc w:val="center"/>
              <w:rPr>
                <w:rFonts w:hint="eastAsia" w:ascii="宋体" w:hAnsi="宋体" w:cs="宋体"/>
                <w:color w:val="auto"/>
                <w:szCs w:val="21"/>
                <w:highlight w:val="none"/>
              </w:rPr>
            </w:pPr>
          </w:p>
        </w:tc>
      </w:tr>
      <w:tr w14:paraId="1A8EFD58">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FF88622">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A6CAEE8">
            <w:pPr>
              <w:rPr>
                <w:rFonts w:hint="eastAsia" w:ascii="宋体" w:hAnsi="宋体" w:cs="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D810E9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891B26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EBD12C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4A54A4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7E5CB740">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48EFE5E0">
            <w:pPr>
              <w:jc w:val="center"/>
              <w:rPr>
                <w:rFonts w:hint="eastAsia" w:ascii="宋体" w:hAnsi="宋体" w:cs="宋体"/>
                <w:color w:val="auto"/>
                <w:szCs w:val="21"/>
                <w:highlight w:val="none"/>
              </w:rPr>
            </w:pPr>
          </w:p>
        </w:tc>
      </w:tr>
      <w:tr w14:paraId="1DB0F3E6">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776DEC3">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0D4C7B4">
            <w:pPr>
              <w:rPr>
                <w:rFonts w:hint="eastAsia" w:ascii="宋体" w:hAnsi="宋体" w:cs="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746"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B08ED6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7261F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43A418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52BA22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noWrap w:val="0"/>
            <w:vAlign w:val="center"/>
          </w:tcPr>
          <w:p w14:paraId="1794B3C2">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noWrap w:val="0"/>
            <w:vAlign w:val="center"/>
          </w:tcPr>
          <w:p w14:paraId="0F4B1692">
            <w:pPr>
              <w:jc w:val="center"/>
              <w:rPr>
                <w:rFonts w:hint="eastAsia" w:ascii="宋体" w:hAnsi="宋体" w:cs="宋体"/>
                <w:color w:val="auto"/>
                <w:szCs w:val="21"/>
                <w:highlight w:val="none"/>
              </w:rPr>
            </w:pPr>
          </w:p>
        </w:tc>
      </w:tr>
      <w:tr w14:paraId="786D8B83">
        <w:tblPrEx>
          <w:tblCellMar>
            <w:top w:w="0" w:type="dxa"/>
            <w:left w:w="0" w:type="dxa"/>
            <w:bottom w:w="0" w:type="dxa"/>
            <w:right w:w="0" w:type="dxa"/>
          </w:tblCellMar>
        </w:tblPrEx>
        <w:trPr>
          <w:trHeight w:val="356" w:hRule="atLeast"/>
        </w:trPr>
        <w:tc>
          <w:tcPr>
            <w:tcW w:w="4786"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B57CE39">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279FC84">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EAA7C33">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957872D">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A4B1771">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noWrap w:val="0"/>
            <w:vAlign w:val="center"/>
          </w:tcPr>
          <w:p w14:paraId="302C5B36">
            <w:pPr>
              <w:jc w:val="center"/>
              <w:rPr>
                <w:rFonts w:hint="eastAsia" w:ascii="宋体" w:hAnsi="宋体" w:cs="宋体"/>
                <w:b/>
                <w:bCs/>
                <w:color w:val="auto"/>
                <w:szCs w:val="21"/>
                <w:highlight w:val="none"/>
              </w:rPr>
            </w:pPr>
          </w:p>
        </w:tc>
        <w:tc>
          <w:tcPr>
            <w:tcW w:w="764" w:type="dxa"/>
            <w:tcBorders>
              <w:top w:val="single" w:color="auto" w:sz="4" w:space="0"/>
              <w:left w:val="nil"/>
              <w:bottom w:val="single" w:color="auto" w:sz="4" w:space="0"/>
              <w:right w:val="single" w:color="auto" w:sz="4" w:space="0"/>
            </w:tcBorders>
            <w:noWrap w:val="0"/>
            <w:vAlign w:val="center"/>
          </w:tcPr>
          <w:p w14:paraId="6678F59E">
            <w:pPr>
              <w:jc w:val="center"/>
              <w:rPr>
                <w:rFonts w:hint="eastAsia" w:ascii="宋体" w:hAnsi="宋体" w:cs="宋体"/>
                <w:b/>
                <w:bCs/>
                <w:color w:val="auto"/>
                <w:szCs w:val="21"/>
                <w:highlight w:val="none"/>
              </w:rPr>
            </w:pPr>
          </w:p>
        </w:tc>
      </w:tr>
    </w:tbl>
    <w:p w14:paraId="38E940D7">
      <w:pPr>
        <w:spacing w:line="360" w:lineRule="auto"/>
        <w:rPr>
          <w:rFonts w:hint="eastAsia" w:ascii="宋体" w:hAnsi="宋体"/>
          <w:color w:val="auto"/>
          <w:highlight w:val="none"/>
        </w:rPr>
      </w:pPr>
    </w:p>
    <w:p w14:paraId="30E67AC9">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4A20E029">
      <w:pPr>
        <w:spacing w:line="360" w:lineRule="auto"/>
        <w:rPr>
          <w:rFonts w:hint="eastAsia"/>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p>
    <w:p w14:paraId="67AF8F92">
      <w:pPr>
        <w:rPr>
          <w:color w:val="auto"/>
        </w:rPr>
      </w:pPr>
    </w:p>
    <w:sectPr>
      <w:pgSz w:w="11907" w:h="16840"/>
      <w:pgMar w:top="1418" w:right="1304" w:bottom="1361"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C997B">
    <w:pPr>
      <w:pStyle w:val="19"/>
      <w:jc w:val="center"/>
    </w:pPr>
  </w:p>
  <w:p w14:paraId="1F5B141E">
    <w:pPr>
      <w:pStyle w:val="1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FD8C7">
    <w:pPr>
      <w:pStyle w:val="19"/>
      <w:jc w:val="center"/>
    </w:pPr>
  </w:p>
  <w:p w14:paraId="7E3EE91A">
    <w:pPr>
      <w:pStyle w:val="19"/>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771E4">
    <w:pPr>
      <w:pStyle w:val="19"/>
      <w:jc w:val="center"/>
    </w:pPr>
  </w:p>
  <w:p w14:paraId="6F3F0B20">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78C11">
    <w:pPr>
      <w:pStyle w:val="1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87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8700" cy="1828800"/>
                      </a:xfrm>
                      <a:prstGeom prst="rect">
                        <a:avLst/>
                      </a:prstGeom>
                      <a:noFill/>
                      <a:ln w="15875">
                        <a:noFill/>
                      </a:ln>
                    </wps:spPr>
                    <wps:txbx>
                      <w:txbxContent>
                        <w:p w14:paraId="418B8966">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81pt;mso-position-horizontal:center;mso-position-horizontal-relative:margin;z-index:251661312;mso-width-relative:page;mso-height-relative:page;" filled="f" stroked="f" coordsize="21600,21600" o:gfxdata="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NLxYh1AAAAAUBAAAPAAAAAAAAAAEAIAAAACIAAABkcnMv&#10;ZG93bnJldi54bWxQSwECFAAUAAAACACHTuJAiV4e9c4BAACXAwAADgAAAAAAAAABACAAAAAjAQAA&#10;ZHJzL2Uyb0RvYy54bWxQSwUGAAAAAAYABgBZAQAAYwUAAAAA&#10;">
              <v:fill on="f" focussize="0,0"/>
              <v:stroke on="f" weight="1.25pt"/>
              <v:imagedata o:title=""/>
              <o:lock v:ext="edit" aspectratio="f"/>
              <v:textbox inset="0mm,0mm,0mm,0mm" style="mso-fit-shape-to-text:t;">
                <w:txbxContent>
                  <w:p w14:paraId="418B8966">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p w14:paraId="374909D4">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FD5BB">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04E84B8">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104E84B8">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v:textbox>
            </v:shape>
          </w:pict>
        </mc:Fallback>
      </mc:AlternateContent>
    </w:r>
  </w:p>
  <w:p w14:paraId="37933F1E">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43F0D">
    <w:pPr>
      <w:pStyle w:val="1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1B4FDAC">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41B4FDAC">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v:textbox>
            </v:shape>
          </w:pict>
        </mc:Fallback>
      </mc:AlternateContent>
    </w:r>
  </w:p>
  <w:p w14:paraId="56690437">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8EDC5">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C8445">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06E04">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AFCF3"/>
    <w:multiLevelType w:val="singleLevel"/>
    <w:tmpl w:val="E95AFCF3"/>
    <w:lvl w:ilvl="0" w:tentative="0">
      <w:start w:val="3"/>
      <w:numFmt w:val="chineseCounting"/>
      <w:suff w:val="space"/>
      <w:lvlText w:val="第%1章"/>
      <w:lvlJc w:val="left"/>
      <w:rPr>
        <w:rFonts w:hint="eastAsia"/>
      </w:rPr>
    </w:lvl>
  </w:abstractNum>
  <w:abstractNum w:abstractNumId="1">
    <w:nsid w:val="00000005"/>
    <w:multiLevelType w:val="multilevel"/>
    <w:tmpl w:val="00000005"/>
    <w:lvl w:ilvl="0" w:tentative="0">
      <w:start w:val="1"/>
      <w:numFmt w:val="decimal"/>
      <w:lvlText w:val="%1."/>
      <w:lvlJc w:val="left"/>
      <w:pPr>
        <w:tabs>
          <w:tab w:val="left" w:pos="851"/>
        </w:tabs>
        <w:ind w:left="851" w:hanging="851"/>
      </w:pPr>
      <w:rPr>
        <w:rFonts w:hint="default" w:ascii="宋体" w:hAnsi="宋体" w:eastAsia="宋体" w:cs="宋体"/>
        <w:b w:val="0"/>
        <w:bCs/>
        <w:i w:val="0"/>
        <w:sz w:val="21"/>
        <w:szCs w:val="21"/>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0000000A"/>
    <w:multiLevelType w:val="multilevel"/>
    <w:tmpl w:val="0000000A"/>
    <w:lvl w:ilvl="0" w:tentative="0">
      <w:start w:val="1"/>
      <w:numFmt w:val="japaneseCounting"/>
      <w:pStyle w:val="4"/>
      <w:lvlText w:val="%1、"/>
      <w:lvlJc w:val="left"/>
      <w:pPr>
        <w:tabs>
          <w:tab w:val="left" w:pos="842"/>
        </w:tabs>
        <w:ind w:left="1412" w:hanging="420"/>
      </w:pPr>
      <w:rPr>
        <w:rFonts w:hint="default"/>
      </w:rPr>
    </w:lvl>
    <w:lvl w:ilvl="1" w:tentative="0">
      <w:start w:val="1"/>
      <w:numFmt w:val="decimal"/>
      <w:lvlText w:val="（%2）"/>
      <w:lvlJc w:val="left"/>
      <w:pPr>
        <w:tabs>
          <w:tab w:val="left" w:pos="1787"/>
        </w:tabs>
        <w:ind w:left="1787" w:hanging="945"/>
      </w:pPr>
      <w:rPr>
        <w:rFonts w:hint="eastAsia" w:cs="Times New Roman"/>
      </w:rPr>
    </w:lvl>
    <w:lvl w:ilvl="2" w:tentative="0">
      <w:start w:val="1"/>
      <w:numFmt w:val="decimal"/>
      <w:lvlText w:val="%3、"/>
      <w:lvlJc w:val="left"/>
      <w:pPr>
        <w:tabs>
          <w:tab w:val="left" w:pos="1622"/>
        </w:tabs>
        <w:ind w:left="1622" w:hanging="360"/>
      </w:pPr>
      <w:rPr>
        <w:rFonts w:hint="eastAsia"/>
      </w:r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3">
    <w:nsid w:val="0000000C"/>
    <w:multiLevelType w:val="multilevel"/>
    <w:tmpl w:val="0000000C"/>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
    <w:nsid w:val="0000000F"/>
    <w:multiLevelType w:val="multilevel"/>
    <w:tmpl w:val="0000000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FD20AFE"/>
    <w:multiLevelType w:val="singleLevel"/>
    <w:tmpl w:val="0FD20AFE"/>
    <w:lvl w:ilvl="0" w:tentative="0">
      <w:start w:val="1"/>
      <w:numFmt w:val="decimal"/>
      <w:suff w:val="space"/>
      <w:lvlText w:val="（%1）"/>
      <w:lvlJc w:val="left"/>
    </w:lvl>
  </w:abstractNum>
  <w:abstractNum w:abstractNumId="6">
    <w:nsid w:val="4AE613DF"/>
    <w:multiLevelType w:val="multilevel"/>
    <w:tmpl w:val="4AE613DF"/>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5B4C1D"/>
    <w:multiLevelType w:val="multilevel"/>
    <w:tmpl w:val="5C5B4C1D"/>
    <w:lvl w:ilvl="0" w:tentative="0">
      <w:start w:val="1"/>
      <w:numFmt w:val="decimal"/>
      <w:lvlText w:val="（%1）"/>
      <w:lvlJc w:val="left"/>
      <w:pPr>
        <w:tabs>
          <w:tab w:val="left" w:pos="1365"/>
        </w:tabs>
        <w:ind w:left="1365" w:hanging="720"/>
      </w:pPr>
      <w:rPr>
        <w:rFonts w:hint="eastAsia"/>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2"/>
  </w:num>
  <w:num w:numId="2">
    <w:abstractNumId w:val="7"/>
  </w:num>
  <w:num w:numId="3">
    <w:abstractNumId w:val="0"/>
  </w:num>
  <w:num w:numId="4">
    <w:abstractNumId w:val="1"/>
  </w:num>
  <w:num w:numId="5">
    <w:abstractNumId w:val="6"/>
  </w:num>
  <w:num w:numId="6">
    <w:abstractNumId w:val="3"/>
  </w:num>
  <w:num w:numId="7">
    <w:abstractNumId w:val="4"/>
  </w:num>
  <w:num w:numId="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美欢">
    <w15:presenceInfo w15:providerId="WPS Office" w15:userId="6836504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NmU4ZTA0YjI0Zjg3NjA5OWQ4ZDUyMWVkYjZkNzIifQ=="/>
  </w:docVars>
  <w:rsids>
    <w:rsidRoot w:val="00172A27"/>
    <w:rsid w:val="00066EBC"/>
    <w:rsid w:val="0048507E"/>
    <w:rsid w:val="004D08BB"/>
    <w:rsid w:val="008322BB"/>
    <w:rsid w:val="00BD3A25"/>
    <w:rsid w:val="01174C50"/>
    <w:rsid w:val="012A2737"/>
    <w:rsid w:val="014D1ED3"/>
    <w:rsid w:val="014E7D2C"/>
    <w:rsid w:val="015A46DD"/>
    <w:rsid w:val="01A204E9"/>
    <w:rsid w:val="01CA216C"/>
    <w:rsid w:val="01E7160A"/>
    <w:rsid w:val="02012FF8"/>
    <w:rsid w:val="024356B4"/>
    <w:rsid w:val="025A0994"/>
    <w:rsid w:val="02856759"/>
    <w:rsid w:val="02B67D9C"/>
    <w:rsid w:val="02EB7FA4"/>
    <w:rsid w:val="0347360C"/>
    <w:rsid w:val="03AE0B18"/>
    <w:rsid w:val="03DA21C8"/>
    <w:rsid w:val="03E07A24"/>
    <w:rsid w:val="03F438B9"/>
    <w:rsid w:val="04441AFA"/>
    <w:rsid w:val="047D5273"/>
    <w:rsid w:val="048A44A4"/>
    <w:rsid w:val="049525BD"/>
    <w:rsid w:val="05080FE1"/>
    <w:rsid w:val="0526615A"/>
    <w:rsid w:val="054F789A"/>
    <w:rsid w:val="056132C7"/>
    <w:rsid w:val="05656433"/>
    <w:rsid w:val="0584521B"/>
    <w:rsid w:val="05877F27"/>
    <w:rsid w:val="0591547A"/>
    <w:rsid w:val="05EA4BBF"/>
    <w:rsid w:val="062D6971"/>
    <w:rsid w:val="06500E91"/>
    <w:rsid w:val="06647BA4"/>
    <w:rsid w:val="07126147"/>
    <w:rsid w:val="07653683"/>
    <w:rsid w:val="07BF2AEF"/>
    <w:rsid w:val="07FA765C"/>
    <w:rsid w:val="0817503B"/>
    <w:rsid w:val="08693639"/>
    <w:rsid w:val="08992E93"/>
    <w:rsid w:val="08D343CC"/>
    <w:rsid w:val="08F37412"/>
    <w:rsid w:val="09523C57"/>
    <w:rsid w:val="099557CE"/>
    <w:rsid w:val="09A60578"/>
    <w:rsid w:val="09CF383D"/>
    <w:rsid w:val="09E475B4"/>
    <w:rsid w:val="0A1B45C1"/>
    <w:rsid w:val="0A1C20F4"/>
    <w:rsid w:val="0A4A158E"/>
    <w:rsid w:val="0A5071C3"/>
    <w:rsid w:val="0ADC375E"/>
    <w:rsid w:val="0B403CB2"/>
    <w:rsid w:val="0B5C5252"/>
    <w:rsid w:val="0B7E470D"/>
    <w:rsid w:val="0BF77EA7"/>
    <w:rsid w:val="0C007176"/>
    <w:rsid w:val="0C033174"/>
    <w:rsid w:val="0C225E10"/>
    <w:rsid w:val="0C665ADE"/>
    <w:rsid w:val="0C7927C4"/>
    <w:rsid w:val="0C803B53"/>
    <w:rsid w:val="0CB47CA0"/>
    <w:rsid w:val="0CB525FA"/>
    <w:rsid w:val="0CF34325"/>
    <w:rsid w:val="0D1150F2"/>
    <w:rsid w:val="0D681B8E"/>
    <w:rsid w:val="0D8F4BF0"/>
    <w:rsid w:val="0E14327B"/>
    <w:rsid w:val="0E156526"/>
    <w:rsid w:val="0E1E7D1A"/>
    <w:rsid w:val="0E5E4D4A"/>
    <w:rsid w:val="0E7A343D"/>
    <w:rsid w:val="0E7B1CF4"/>
    <w:rsid w:val="0EA227C1"/>
    <w:rsid w:val="0EB6726A"/>
    <w:rsid w:val="0F3232B1"/>
    <w:rsid w:val="0F351DDF"/>
    <w:rsid w:val="0F625791"/>
    <w:rsid w:val="0F6645DB"/>
    <w:rsid w:val="0F8A1B45"/>
    <w:rsid w:val="0FC41FA8"/>
    <w:rsid w:val="102E02F4"/>
    <w:rsid w:val="106D1EC1"/>
    <w:rsid w:val="106F600E"/>
    <w:rsid w:val="10774185"/>
    <w:rsid w:val="10781FE1"/>
    <w:rsid w:val="10795B84"/>
    <w:rsid w:val="10AF4A06"/>
    <w:rsid w:val="10BE3F13"/>
    <w:rsid w:val="10E723F2"/>
    <w:rsid w:val="11654CCB"/>
    <w:rsid w:val="116616FE"/>
    <w:rsid w:val="118718C1"/>
    <w:rsid w:val="11B70B83"/>
    <w:rsid w:val="11BB443A"/>
    <w:rsid w:val="11BF336F"/>
    <w:rsid w:val="11E37B55"/>
    <w:rsid w:val="11E9219A"/>
    <w:rsid w:val="11FA79F6"/>
    <w:rsid w:val="12086AC4"/>
    <w:rsid w:val="12617F82"/>
    <w:rsid w:val="126749BD"/>
    <w:rsid w:val="12905384"/>
    <w:rsid w:val="12AA26F9"/>
    <w:rsid w:val="12B136AC"/>
    <w:rsid w:val="12B61985"/>
    <w:rsid w:val="12DB6BAC"/>
    <w:rsid w:val="130A02C7"/>
    <w:rsid w:val="132972A0"/>
    <w:rsid w:val="13392CAD"/>
    <w:rsid w:val="13F864F7"/>
    <w:rsid w:val="14006431"/>
    <w:rsid w:val="143C2A65"/>
    <w:rsid w:val="144C07BE"/>
    <w:rsid w:val="14694189"/>
    <w:rsid w:val="14B940A6"/>
    <w:rsid w:val="15087411"/>
    <w:rsid w:val="15567940"/>
    <w:rsid w:val="155D3CB6"/>
    <w:rsid w:val="15636126"/>
    <w:rsid w:val="15CB1311"/>
    <w:rsid w:val="164E15A7"/>
    <w:rsid w:val="166E072E"/>
    <w:rsid w:val="16943F59"/>
    <w:rsid w:val="16AD6350"/>
    <w:rsid w:val="16BC6358"/>
    <w:rsid w:val="16DD5631"/>
    <w:rsid w:val="16F01BF5"/>
    <w:rsid w:val="1739528A"/>
    <w:rsid w:val="176E7480"/>
    <w:rsid w:val="17716EB9"/>
    <w:rsid w:val="17726A4F"/>
    <w:rsid w:val="17C50FB3"/>
    <w:rsid w:val="17DB3114"/>
    <w:rsid w:val="18224844"/>
    <w:rsid w:val="18294330"/>
    <w:rsid w:val="18B90B18"/>
    <w:rsid w:val="18D22C8A"/>
    <w:rsid w:val="18E513C0"/>
    <w:rsid w:val="18F02060"/>
    <w:rsid w:val="19133241"/>
    <w:rsid w:val="19725B5A"/>
    <w:rsid w:val="19E949FC"/>
    <w:rsid w:val="1A110B6E"/>
    <w:rsid w:val="1A310042"/>
    <w:rsid w:val="1A424B3D"/>
    <w:rsid w:val="1AAF4C78"/>
    <w:rsid w:val="1ACD364F"/>
    <w:rsid w:val="1AEF299D"/>
    <w:rsid w:val="1B0659E2"/>
    <w:rsid w:val="1B0B3577"/>
    <w:rsid w:val="1B236D56"/>
    <w:rsid w:val="1B537BF0"/>
    <w:rsid w:val="1B6D1746"/>
    <w:rsid w:val="1B79458F"/>
    <w:rsid w:val="1B8D11E9"/>
    <w:rsid w:val="1B9C202B"/>
    <w:rsid w:val="1BB116FE"/>
    <w:rsid w:val="1BDD4B1E"/>
    <w:rsid w:val="1BEB6F5A"/>
    <w:rsid w:val="1C71170A"/>
    <w:rsid w:val="1C9363E7"/>
    <w:rsid w:val="1C9551F4"/>
    <w:rsid w:val="1CA53161"/>
    <w:rsid w:val="1CD31E9A"/>
    <w:rsid w:val="1CE26164"/>
    <w:rsid w:val="1CE27103"/>
    <w:rsid w:val="1D206F87"/>
    <w:rsid w:val="1D2B6460"/>
    <w:rsid w:val="1D323788"/>
    <w:rsid w:val="1D5A1311"/>
    <w:rsid w:val="1D7D6213"/>
    <w:rsid w:val="1D9A4FDF"/>
    <w:rsid w:val="1DC1499F"/>
    <w:rsid w:val="1E1F39CC"/>
    <w:rsid w:val="1E29717E"/>
    <w:rsid w:val="1E477EED"/>
    <w:rsid w:val="1E8D532F"/>
    <w:rsid w:val="1EA32C7E"/>
    <w:rsid w:val="1ED66A28"/>
    <w:rsid w:val="1EE2244B"/>
    <w:rsid w:val="1EE67BBF"/>
    <w:rsid w:val="1F091A51"/>
    <w:rsid w:val="1F2D1F08"/>
    <w:rsid w:val="1F826F3D"/>
    <w:rsid w:val="1F8620C6"/>
    <w:rsid w:val="1F8B276E"/>
    <w:rsid w:val="1F932320"/>
    <w:rsid w:val="1FF300F9"/>
    <w:rsid w:val="208F7C5A"/>
    <w:rsid w:val="20B55C45"/>
    <w:rsid w:val="20CA48D9"/>
    <w:rsid w:val="20D10E40"/>
    <w:rsid w:val="20D87472"/>
    <w:rsid w:val="213E1570"/>
    <w:rsid w:val="21435075"/>
    <w:rsid w:val="214E3DC8"/>
    <w:rsid w:val="21967F75"/>
    <w:rsid w:val="22367F30"/>
    <w:rsid w:val="22884B40"/>
    <w:rsid w:val="22BB5089"/>
    <w:rsid w:val="22E845A7"/>
    <w:rsid w:val="22F1744A"/>
    <w:rsid w:val="236B42EA"/>
    <w:rsid w:val="23733D77"/>
    <w:rsid w:val="23A14C42"/>
    <w:rsid w:val="23A654D1"/>
    <w:rsid w:val="23F61C2B"/>
    <w:rsid w:val="24131E7A"/>
    <w:rsid w:val="24206DB7"/>
    <w:rsid w:val="242520DD"/>
    <w:rsid w:val="24E862E1"/>
    <w:rsid w:val="25221EA3"/>
    <w:rsid w:val="252C586D"/>
    <w:rsid w:val="25415D2D"/>
    <w:rsid w:val="25421646"/>
    <w:rsid w:val="25503DD1"/>
    <w:rsid w:val="25707047"/>
    <w:rsid w:val="257E3FD4"/>
    <w:rsid w:val="25A26260"/>
    <w:rsid w:val="25AA5305"/>
    <w:rsid w:val="25C65F86"/>
    <w:rsid w:val="25C755E4"/>
    <w:rsid w:val="26143B06"/>
    <w:rsid w:val="262F72F6"/>
    <w:rsid w:val="26434DFA"/>
    <w:rsid w:val="26461511"/>
    <w:rsid w:val="26597CBA"/>
    <w:rsid w:val="26600703"/>
    <w:rsid w:val="26C41652"/>
    <w:rsid w:val="26CA6C37"/>
    <w:rsid w:val="26E17141"/>
    <w:rsid w:val="270F4005"/>
    <w:rsid w:val="27127B50"/>
    <w:rsid w:val="2734580E"/>
    <w:rsid w:val="273A2E1E"/>
    <w:rsid w:val="27402648"/>
    <w:rsid w:val="274E3356"/>
    <w:rsid w:val="27742124"/>
    <w:rsid w:val="279F1B2D"/>
    <w:rsid w:val="27AF471F"/>
    <w:rsid w:val="27AF712B"/>
    <w:rsid w:val="27F558DC"/>
    <w:rsid w:val="28445539"/>
    <w:rsid w:val="284B1061"/>
    <w:rsid w:val="286A0D1D"/>
    <w:rsid w:val="28742E0A"/>
    <w:rsid w:val="28B97BD6"/>
    <w:rsid w:val="28C042EE"/>
    <w:rsid w:val="28D97BEA"/>
    <w:rsid w:val="28E53263"/>
    <w:rsid w:val="296323DA"/>
    <w:rsid w:val="29674797"/>
    <w:rsid w:val="2970223B"/>
    <w:rsid w:val="298E3AB4"/>
    <w:rsid w:val="29A179EA"/>
    <w:rsid w:val="29C45341"/>
    <w:rsid w:val="29CD646E"/>
    <w:rsid w:val="29F959EB"/>
    <w:rsid w:val="2A920A90"/>
    <w:rsid w:val="2A954815"/>
    <w:rsid w:val="2A994305"/>
    <w:rsid w:val="2ACF2B31"/>
    <w:rsid w:val="2AF77E8C"/>
    <w:rsid w:val="2B297AE6"/>
    <w:rsid w:val="2B2E1F52"/>
    <w:rsid w:val="2B46347F"/>
    <w:rsid w:val="2B572BC5"/>
    <w:rsid w:val="2BE12008"/>
    <w:rsid w:val="2BF30D6C"/>
    <w:rsid w:val="2C0F2BDD"/>
    <w:rsid w:val="2C14020A"/>
    <w:rsid w:val="2C1F0C72"/>
    <w:rsid w:val="2C371CA4"/>
    <w:rsid w:val="2C8C6E09"/>
    <w:rsid w:val="2CAC78E7"/>
    <w:rsid w:val="2CC55886"/>
    <w:rsid w:val="2D4F034D"/>
    <w:rsid w:val="2D595FCE"/>
    <w:rsid w:val="2D83221A"/>
    <w:rsid w:val="2DBF3619"/>
    <w:rsid w:val="2E262354"/>
    <w:rsid w:val="2E2C36E3"/>
    <w:rsid w:val="2E2C5AA8"/>
    <w:rsid w:val="2E3B41A4"/>
    <w:rsid w:val="2E5D3029"/>
    <w:rsid w:val="2E6E6670"/>
    <w:rsid w:val="2E7C7DAA"/>
    <w:rsid w:val="2E824CF2"/>
    <w:rsid w:val="2EEC679E"/>
    <w:rsid w:val="2F260132"/>
    <w:rsid w:val="2F2E6F5D"/>
    <w:rsid w:val="2F5032C2"/>
    <w:rsid w:val="2F7A7928"/>
    <w:rsid w:val="2F866E22"/>
    <w:rsid w:val="2F974875"/>
    <w:rsid w:val="2FEF0BC4"/>
    <w:rsid w:val="2FF13BF2"/>
    <w:rsid w:val="2FF23B8E"/>
    <w:rsid w:val="30042FD4"/>
    <w:rsid w:val="3026520B"/>
    <w:rsid w:val="304C202D"/>
    <w:rsid w:val="305118D2"/>
    <w:rsid w:val="3069734D"/>
    <w:rsid w:val="30700374"/>
    <w:rsid w:val="30847806"/>
    <w:rsid w:val="30A7078B"/>
    <w:rsid w:val="30FA3624"/>
    <w:rsid w:val="313F7193"/>
    <w:rsid w:val="321929A9"/>
    <w:rsid w:val="322C32A2"/>
    <w:rsid w:val="325839DA"/>
    <w:rsid w:val="32591B29"/>
    <w:rsid w:val="326D41CB"/>
    <w:rsid w:val="3284056D"/>
    <w:rsid w:val="32A07AE9"/>
    <w:rsid w:val="32A73FA5"/>
    <w:rsid w:val="32FA113D"/>
    <w:rsid w:val="32FE6CEC"/>
    <w:rsid w:val="33452AD7"/>
    <w:rsid w:val="33662CF8"/>
    <w:rsid w:val="33685E6B"/>
    <w:rsid w:val="33726C38"/>
    <w:rsid w:val="338A589D"/>
    <w:rsid w:val="33A665D2"/>
    <w:rsid w:val="33B26438"/>
    <w:rsid w:val="33C06DA7"/>
    <w:rsid w:val="34334D07"/>
    <w:rsid w:val="34413162"/>
    <w:rsid w:val="344D51E1"/>
    <w:rsid w:val="345F655C"/>
    <w:rsid w:val="347100A1"/>
    <w:rsid w:val="34755553"/>
    <w:rsid w:val="34AC367E"/>
    <w:rsid w:val="34F76B17"/>
    <w:rsid w:val="34F82570"/>
    <w:rsid w:val="352C7961"/>
    <w:rsid w:val="35670448"/>
    <w:rsid w:val="358D4A67"/>
    <w:rsid w:val="35901C78"/>
    <w:rsid w:val="35A11AEB"/>
    <w:rsid w:val="35C02683"/>
    <w:rsid w:val="35C054BC"/>
    <w:rsid w:val="35C733B4"/>
    <w:rsid w:val="35C85B71"/>
    <w:rsid w:val="35D05B7D"/>
    <w:rsid w:val="35D17C92"/>
    <w:rsid w:val="35DA3A24"/>
    <w:rsid w:val="35E41FC2"/>
    <w:rsid w:val="36160F00"/>
    <w:rsid w:val="364315C9"/>
    <w:rsid w:val="3651018A"/>
    <w:rsid w:val="365657A0"/>
    <w:rsid w:val="365F02A2"/>
    <w:rsid w:val="3665478E"/>
    <w:rsid w:val="36797337"/>
    <w:rsid w:val="36B0788C"/>
    <w:rsid w:val="36D75879"/>
    <w:rsid w:val="370451FC"/>
    <w:rsid w:val="37081E0E"/>
    <w:rsid w:val="37357A0B"/>
    <w:rsid w:val="37427AD3"/>
    <w:rsid w:val="374606AE"/>
    <w:rsid w:val="37DC3A83"/>
    <w:rsid w:val="37F9418D"/>
    <w:rsid w:val="382D55B6"/>
    <w:rsid w:val="3834062E"/>
    <w:rsid w:val="385A5863"/>
    <w:rsid w:val="386F7475"/>
    <w:rsid w:val="3934707A"/>
    <w:rsid w:val="394E29A9"/>
    <w:rsid w:val="39680FE3"/>
    <w:rsid w:val="398C3287"/>
    <w:rsid w:val="39AD2129"/>
    <w:rsid w:val="39B57A09"/>
    <w:rsid w:val="39CD7229"/>
    <w:rsid w:val="3A0610E4"/>
    <w:rsid w:val="3A1E1155"/>
    <w:rsid w:val="3A3A4072"/>
    <w:rsid w:val="3A63223A"/>
    <w:rsid w:val="3A730957"/>
    <w:rsid w:val="3A996059"/>
    <w:rsid w:val="3AA63234"/>
    <w:rsid w:val="3ADC4E88"/>
    <w:rsid w:val="3B297DB3"/>
    <w:rsid w:val="3B571756"/>
    <w:rsid w:val="3BA810F0"/>
    <w:rsid w:val="3C09240E"/>
    <w:rsid w:val="3C395948"/>
    <w:rsid w:val="3C8F2BC2"/>
    <w:rsid w:val="3CAF0DC4"/>
    <w:rsid w:val="3CB80424"/>
    <w:rsid w:val="3CB82139"/>
    <w:rsid w:val="3CC268F0"/>
    <w:rsid w:val="3CDE36EB"/>
    <w:rsid w:val="3CF30C33"/>
    <w:rsid w:val="3D0574BB"/>
    <w:rsid w:val="3D0657A9"/>
    <w:rsid w:val="3D5C5741"/>
    <w:rsid w:val="3D605157"/>
    <w:rsid w:val="3D622C7D"/>
    <w:rsid w:val="3D6E1622"/>
    <w:rsid w:val="3DB7224D"/>
    <w:rsid w:val="3DBF1E7D"/>
    <w:rsid w:val="3DF45431"/>
    <w:rsid w:val="3E0C635B"/>
    <w:rsid w:val="3E1378B2"/>
    <w:rsid w:val="3E3875B1"/>
    <w:rsid w:val="3E4A630D"/>
    <w:rsid w:val="3E6D3687"/>
    <w:rsid w:val="3E7C1E93"/>
    <w:rsid w:val="3EBD697E"/>
    <w:rsid w:val="3EC22607"/>
    <w:rsid w:val="3EC3599D"/>
    <w:rsid w:val="3EE726CF"/>
    <w:rsid w:val="3EF156F9"/>
    <w:rsid w:val="3EFE0799"/>
    <w:rsid w:val="3F5612C1"/>
    <w:rsid w:val="3F6C7503"/>
    <w:rsid w:val="3FD51C48"/>
    <w:rsid w:val="3FE70C9D"/>
    <w:rsid w:val="3FF738EF"/>
    <w:rsid w:val="40521222"/>
    <w:rsid w:val="407F58F4"/>
    <w:rsid w:val="40961593"/>
    <w:rsid w:val="40D06DD0"/>
    <w:rsid w:val="413A0F0E"/>
    <w:rsid w:val="41B52949"/>
    <w:rsid w:val="41B76DED"/>
    <w:rsid w:val="41BF6404"/>
    <w:rsid w:val="42276C87"/>
    <w:rsid w:val="423F2AA9"/>
    <w:rsid w:val="4241094F"/>
    <w:rsid w:val="42426B80"/>
    <w:rsid w:val="42595D9D"/>
    <w:rsid w:val="425F5AB9"/>
    <w:rsid w:val="42F51E2A"/>
    <w:rsid w:val="42F6354A"/>
    <w:rsid w:val="435D5564"/>
    <w:rsid w:val="43993ABC"/>
    <w:rsid w:val="43A0677F"/>
    <w:rsid w:val="43B34232"/>
    <w:rsid w:val="43E066A9"/>
    <w:rsid w:val="43E2516D"/>
    <w:rsid w:val="44230A1E"/>
    <w:rsid w:val="4435582D"/>
    <w:rsid w:val="446F4A5E"/>
    <w:rsid w:val="449706A5"/>
    <w:rsid w:val="449A71A0"/>
    <w:rsid w:val="44B15AC5"/>
    <w:rsid w:val="44C24C07"/>
    <w:rsid w:val="44F67804"/>
    <w:rsid w:val="45366CA5"/>
    <w:rsid w:val="45617CBE"/>
    <w:rsid w:val="45AE7C7D"/>
    <w:rsid w:val="45B4254C"/>
    <w:rsid w:val="462F0E76"/>
    <w:rsid w:val="4689127A"/>
    <w:rsid w:val="46BD3083"/>
    <w:rsid w:val="46F0406D"/>
    <w:rsid w:val="46F81F5C"/>
    <w:rsid w:val="47080B16"/>
    <w:rsid w:val="471C47F9"/>
    <w:rsid w:val="472473B6"/>
    <w:rsid w:val="474B05E0"/>
    <w:rsid w:val="4794031B"/>
    <w:rsid w:val="48050DD4"/>
    <w:rsid w:val="483D59B2"/>
    <w:rsid w:val="484C0BE3"/>
    <w:rsid w:val="48720BB5"/>
    <w:rsid w:val="48AE216E"/>
    <w:rsid w:val="48C0506B"/>
    <w:rsid w:val="48DC20D1"/>
    <w:rsid w:val="49386C7F"/>
    <w:rsid w:val="49426EFB"/>
    <w:rsid w:val="49486249"/>
    <w:rsid w:val="494920D5"/>
    <w:rsid w:val="498A77E3"/>
    <w:rsid w:val="49934318"/>
    <w:rsid w:val="49951D54"/>
    <w:rsid w:val="49B40B24"/>
    <w:rsid w:val="49F0403A"/>
    <w:rsid w:val="49FA4868"/>
    <w:rsid w:val="4A1C2405"/>
    <w:rsid w:val="4A1C41B3"/>
    <w:rsid w:val="4A2D0ACC"/>
    <w:rsid w:val="4A3F4FB3"/>
    <w:rsid w:val="4A672648"/>
    <w:rsid w:val="4A7E0A21"/>
    <w:rsid w:val="4A802994"/>
    <w:rsid w:val="4A9F2BE8"/>
    <w:rsid w:val="4AB40569"/>
    <w:rsid w:val="4AE2174F"/>
    <w:rsid w:val="4B1A3189"/>
    <w:rsid w:val="4B257098"/>
    <w:rsid w:val="4B73621F"/>
    <w:rsid w:val="4BC166C5"/>
    <w:rsid w:val="4BD33374"/>
    <w:rsid w:val="4C0473C6"/>
    <w:rsid w:val="4C3052FD"/>
    <w:rsid w:val="4C36697B"/>
    <w:rsid w:val="4C4530EA"/>
    <w:rsid w:val="4C4D5DEC"/>
    <w:rsid w:val="4C555883"/>
    <w:rsid w:val="4CCE6A8F"/>
    <w:rsid w:val="4CD1623A"/>
    <w:rsid w:val="4D106251"/>
    <w:rsid w:val="4D2030F4"/>
    <w:rsid w:val="4D7F6F33"/>
    <w:rsid w:val="4DC61225"/>
    <w:rsid w:val="4DCA372B"/>
    <w:rsid w:val="4DD20DD8"/>
    <w:rsid w:val="4DD74D43"/>
    <w:rsid w:val="4E2E44B5"/>
    <w:rsid w:val="4E626B9C"/>
    <w:rsid w:val="4E7D4B5E"/>
    <w:rsid w:val="4EB37882"/>
    <w:rsid w:val="4EE47996"/>
    <w:rsid w:val="4EE72FE2"/>
    <w:rsid w:val="4EF34CD1"/>
    <w:rsid w:val="4EF83277"/>
    <w:rsid w:val="4F2272E3"/>
    <w:rsid w:val="4F244E0B"/>
    <w:rsid w:val="4F531A83"/>
    <w:rsid w:val="4F5A1305"/>
    <w:rsid w:val="4F6C3FB3"/>
    <w:rsid w:val="4F8151E4"/>
    <w:rsid w:val="4FC27D66"/>
    <w:rsid w:val="4FEE65F2"/>
    <w:rsid w:val="4FF9472F"/>
    <w:rsid w:val="500C7C90"/>
    <w:rsid w:val="505D64A0"/>
    <w:rsid w:val="506E2ECC"/>
    <w:rsid w:val="50915C38"/>
    <w:rsid w:val="50A3118B"/>
    <w:rsid w:val="50D3036A"/>
    <w:rsid w:val="50D92DFE"/>
    <w:rsid w:val="50EE0EE5"/>
    <w:rsid w:val="5128521C"/>
    <w:rsid w:val="51292C83"/>
    <w:rsid w:val="515D57DD"/>
    <w:rsid w:val="51690ACB"/>
    <w:rsid w:val="51C21E64"/>
    <w:rsid w:val="52546BE0"/>
    <w:rsid w:val="5269606D"/>
    <w:rsid w:val="5298788F"/>
    <w:rsid w:val="52BD116E"/>
    <w:rsid w:val="52BE6462"/>
    <w:rsid w:val="536C0A5B"/>
    <w:rsid w:val="53735E45"/>
    <w:rsid w:val="53D004E8"/>
    <w:rsid w:val="54205D7B"/>
    <w:rsid w:val="54723052"/>
    <w:rsid w:val="5490775B"/>
    <w:rsid w:val="54934045"/>
    <w:rsid w:val="54D122B2"/>
    <w:rsid w:val="55362097"/>
    <w:rsid w:val="55443692"/>
    <w:rsid w:val="557F18A0"/>
    <w:rsid w:val="55B442A9"/>
    <w:rsid w:val="55CC1183"/>
    <w:rsid w:val="55FF5B16"/>
    <w:rsid w:val="560A0856"/>
    <w:rsid w:val="56586573"/>
    <w:rsid w:val="567F0CAF"/>
    <w:rsid w:val="56A2510A"/>
    <w:rsid w:val="56CC4374"/>
    <w:rsid w:val="56CE3DD4"/>
    <w:rsid w:val="57082F52"/>
    <w:rsid w:val="57344EE1"/>
    <w:rsid w:val="57715B3F"/>
    <w:rsid w:val="57E75AEF"/>
    <w:rsid w:val="57FC2EEA"/>
    <w:rsid w:val="57FD7D2F"/>
    <w:rsid w:val="58104134"/>
    <w:rsid w:val="58226E39"/>
    <w:rsid w:val="58920462"/>
    <w:rsid w:val="58AE4B70"/>
    <w:rsid w:val="58B723FB"/>
    <w:rsid w:val="58C44EB1"/>
    <w:rsid w:val="593F50F5"/>
    <w:rsid w:val="594F3C5E"/>
    <w:rsid w:val="598000B4"/>
    <w:rsid w:val="59A4671D"/>
    <w:rsid w:val="59BA4E55"/>
    <w:rsid w:val="59E93904"/>
    <w:rsid w:val="5A27541F"/>
    <w:rsid w:val="5A8F08C2"/>
    <w:rsid w:val="5AA945FA"/>
    <w:rsid w:val="5AB11E44"/>
    <w:rsid w:val="5B0F2610"/>
    <w:rsid w:val="5BBE4E0A"/>
    <w:rsid w:val="5C2F0853"/>
    <w:rsid w:val="5C401859"/>
    <w:rsid w:val="5C450A18"/>
    <w:rsid w:val="5C537F09"/>
    <w:rsid w:val="5C585FF2"/>
    <w:rsid w:val="5C5A4458"/>
    <w:rsid w:val="5C95407D"/>
    <w:rsid w:val="5C966047"/>
    <w:rsid w:val="5CA523ED"/>
    <w:rsid w:val="5D5B25CD"/>
    <w:rsid w:val="5D5F28DD"/>
    <w:rsid w:val="5D8E74DC"/>
    <w:rsid w:val="5DB77E4C"/>
    <w:rsid w:val="5DBC5A98"/>
    <w:rsid w:val="5DCC7E0F"/>
    <w:rsid w:val="5DE84681"/>
    <w:rsid w:val="5E6B571F"/>
    <w:rsid w:val="5E734A84"/>
    <w:rsid w:val="5EA050F4"/>
    <w:rsid w:val="5EBC729F"/>
    <w:rsid w:val="5EDB3E95"/>
    <w:rsid w:val="5EE44E48"/>
    <w:rsid w:val="5F100333"/>
    <w:rsid w:val="5F27742B"/>
    <w:rsid w:val="5F435C24"/>
    <w:rsid w:val="5F444CD0"/>
    <w:rsid w:val="5F485CCB"/>
    <w:rsid w:val="5F653030"/>
    <w:rsid w:val="5F8416C1"/>
    <w:rsid w:val="5F8B79B9"/>
    <w:rsid w:val="5FEB167D"/>
    <w:rsid w:val="60090548"/>
    <w:rsid w:val="60196D73"/>
    <w:rsid w:val="608257F0"/>
    <w:rsid w:val="608A69F1"/>
    <w:rsid w:val="609603C4"/>
    <w:rsid w:val="60A21E56"/>
    <w:rsid w:val="60BE79C5"/>
    <w:rsid w:val="60D63099"/>
    <w:rsid w:val="610069E9"/>
    <w:rsid w:val="610A503C"/>
    <w:rsid w:val="612123E7"/>
    <w:rsid w:val="61277F0A"/>
    <w:rsid w:val="613A68AF"/>
    <w:rsid w:val="617D0461"/>
    <w:rsid w:val="61826B9A"/>
    <w:rsid w:val="61AC36FA"/>
    <w:rsid w:val="61E84C4F"/>
    <w:rsid w:val="61EA2532"/>
    <w:rsid w:val="62417D4B"/>
    <w:rsid w:val="62CA5698"/>
    <w:rsid w:val="62CE1FA0"/>
    <w:rsid w:val="62D91738"/>
    <w:rsid w:val="62F56542"/>
    <w:rsid w:val="6322596E"/>
    <w:rsid w:val="632D1D71"/>
    <w:rsid w:val="63302135"/>
    <w:rsid w:val="63450DD5"/>
    <w:rsid w:val="63A948B2"/>
    <w:rsid w:val="63F25352"/>
    <w:rsid w:val="642443D9"/>
    <w:rsid w:val="642A5BE2"/>
    <w:rsid w:val="645E744B"/>
    <w:rsid w:val="64BE3ED7"/>
    <w:rsid w:val="64CE08EF"/>
    <w:rsid w:val="65060A9E"/>
    <w:rsid w:val="650C430C"/>
    <w:rsid w:val="654F7F01"/>
    <w:rsid w:val="65570574"/>
    <w:rsid w:val="656136E1"/>
    <w:rsid w:val="65F07797"/>
    <w:rsid w:val="66030B7B"/>
    <w:rsid w:val="66FB5425"/>
    <w:rsid w:val="67313CE5"/>
    <w:rsid w:val="67513460"/>
    <w:rsid w:val="675608AD"/>
    <w:rsid w:val="677F7E04"/>
    <w:rsid w:val="67AA2410"/>
    <w:rsid w:val="67C90957"/>
    <w:rsid w:val="67E97887"/>
    <w:rsid w:val="67EA7F28"/>
    <w:rsid w:val="68193361"/>
    <w:rsid w:val="68394457"/>
    <w:rsid w:val="69172997"/>
    <w:rsid w:val="6938470E"/>
    <w:rsid w:val="69590CF4"/>
    <w:rsid w:val="696B56C0"/>
    <w:rsid w:val="69787200"/>
    <w:rsid w:val="69B82444"/>
    <w:rsid w:val="69DC0FD6"/>
    <w:rsid w:val="6A06480C"/>
    <w:rsid w:val="6A1D209B"/>
    <w:rsid w:val="6A3916D5"/>
    <w:rsid w:val="6A5E7736"/>
    <w:rsid w:val="6A9E2208"/>
    <w:rsid w:val="6A9E4A45"/>
    <w:rsid w:val="6AB94E66"/>
    <w:rsid w:val="6AC768F9"/>
    <w:rsid w:val="6B157850"/>
    <w:rsid w:val="6B833C3B"/>
    <w:rsid w:val="6B895A5B"/>
    <w:rsid w:val="6B962407"/>
    <w:rsid w:val="6B9B5D74"/>
    <w:rsid w:val="6B9E2BAE"/>
    <w:rsid w:val="6BC20E96"/>
    <w:rsid w:val="6BD745FA"/>
    <w:rsid w:val="6BFD7676"/>
    <w:rsid w:val="6C1A3A0E"/>
    <w:rsid w:val="6C273703"/>
    <w:rsid w:val="6C31137D"/>
    <w:rsid w:val="6C554A5F"/>
    <w:rsid w:val="6C5630FD"/>
    <w:rsid w:val="6C5775A1"/>
    <w:rsid w:val="6CAE24D6"/>
    <w:rsid w:val="6CB93DB8"/>
    <w:rsid w:val="6D3F734F"/>
    <w:rsid w:val="6D4E0391"/>
    <w:rsid w:val="6D54763D"/>
    <w:rsid w:val="6D9B1706"/>
    <w:rsid w:val="6DA944F5"/>
    <w:rsid w:val="6DE13966"/>
    <w:rsid w:val="6E6B2034"/>
    <w:rsid w:val="6E6C0A7B"/>
    <w:rsid w:val="6E7A4636"/>
    <w:rsid w:val="6E7F0A92"/>
    <w:rsid w:val="6EA2087C"/>
    <w:rsid w:val="6ED15947"/>
    <w:rsid w:val="6F000329"/>
    <w:rsid w:val="6F2C2CF1"/>
    <w:rsid w:val="6F614293"/>
    <w:rsid w:val="6F7E4E45"/>
    <w:rsid w:val="6F95026E"/>
    <w:rsid w:val="6F9938D0"/>
    <w:rsid w:val="6FEF734E"/>
    <w:rsid w:val="6FF50407"/>
    <w:rsid w:val="70032909"/>
    <w:rsid w:val="700B4F57"/>
    <w:rsid w:val="70891C98"/>
    <w:rsid w:val="70B10988"/>
    <w:rsid w:val="70C52C61"/>
    <w:rsid w:val="71014B9D"/>
    <w:rsid w:val="71037F3E"/>
    <w:rsid w:val="717C53B4"/>
    <w:rsid w:val="719A5760"/>
    <w:rsid w:val="719D4BE8"/>
    <w:rsid w:val="71A5591A"/>
    <w:rsid w:val="71B356F8"/>
    <w:rsid w:val="71F17DFB"/>
    <w:rsid w:val="71F3746A"/>
    <w:rsid w:val="72084E9A"/>
    <w:rsid w:val="724845BB"/>
    <w:rsid w:val="7263220D"/>
    <w:rsid w:val="7287235F"/>
    <w:rsid w:val="729E4018"/>
    <w:rsid w:val="72A615BC"/>
    <w:rsid w:val="72AF484D"/>
    <w:rsid w:val="72CB18A3"/>
    <w:rsid w:val="72D31AAD"/>
    <w:rsid w:val="72E41463"/>
    <w:rsid w:val="733D5BF1"/>
    <w:rsid w:val="73523045"/>
    <w:rsid w:val="73B51E86"/>
    <w:rsid w:val="73E453E1"/>
    <w:rsid w:val="73F96853"/>
    <w:rsid w:val="743261FE"/>
    <w:rsid w:val="74566BED"/>
    <w:rsid w:val="74994C9C"/>
    <w:rsid w:val="74C57D5F"/>
    <w:rsid w:val="74DD260E"/>
    <w:rsid w:val="74EF1D3E"/>
    <w:rsid w:val="750B79C3"/>
    <w:rsid w:val="7516167C"/>
    <w:rsid w:val="75983AAC"/>
    <w:rsid w:val="75D57596"/>
    <w:rsid w:val="761405A3"/>
    <w:rsid w:val="761E7D4A"/>
    <w:rsid w:val="76CB0545"/>
    <w:rsid w:val="770519A8"/>
    <w:rsid w:val="77387FCF"/>
    <w:rsid w:val="778F58CA"/>
    <w:rsid w:val="77A86F03"/>
    <w:rsid w:val="77CF011D"/>
    <w:rsid w:val="77E07E30"/>
    <w:rsid w:val="785670FD"/>
    <w:rsid w:val="78753951"/>
    <w:rsid w:val="78986F77"/>
    <w:rsid w:val="789D3984"/>
    <w:rsid w:val="78C7160B"/>
    <w:rsid w:val="78CA1FE3"/>
    <w:rsid w:val="78E13977"/>
    <w:rsid w:val="78E61E46"/>
    <w:rsid w:val="7903490F"/>
    <w:rsid w:val="791365FE"/>
    <w:rsid w:val="7928773F"/>
    <w:rsid w:val="79342EAC"/>
    <w:rsid w:val="795D5A2B"/>
    <w:rsid w:val="799A5FB0"/>
    <w:rsid w:val="79BF0534"/>
    <w:rsid w:val="79E306C6"/>
    <w:rsid w:val="79E77C10"/>
    <w:rsid w:val="79E955B1"/>
    <w:rsid w:val="7A373143"/>
    <w:rsid w:val="7A4D7A4C"/>
    <w:rsid w:val="7A5F753F"/>
    <w:rsid w:val="7A854E78"/>
    <w:rsid w:val="7A966CD3"/>
    <w:rsid w:val="7AB9046F"/>
    <w:rsid w:val="7ADE2C3C"/>
    <w:rsid w:val="7B2745E3"/>
    <w:rsid w:val="7B4F485C"/>
    <w:rsid w:val="7B576357"/>
    <w:rsid w:val="7B953669"/>
    <w:rsid w:val="7BA877FC"/>
    <w:rsid w:val="7BDE7530"/>
    <w:rsid w:val="7BE52D70"/>
    <w:rsid w:val="7BFC2078"/>
    <w:rsid w:val="7C1103AD"/>
    <w:rsid w:val="7C12783E"/>
    <w:rsid w:val="7C232FFC"/>
    <w:rsid w:val="7C347375"/>
    <w:rsid w:val="7C3A17DC"/>
    <w:rsid w:val="7C562EA3"/>
    <w:rsid w:val="7C57733D"/>
    <w:rsid w:val="7C6874EE"/>
    <w:rsid w:val="7C6E5D1D"/>
    <w:rsid w:val="7C874681"/>
    <w:rsid w:val="7C8C4DD2"/>
    <w:rsid w:val="7CA34DCF"/>
    <w:rsid w:val="7D156780"/>
    <w:rsid w:val="7D347692"/>
    <w:rsid w:val="7D5151D6"/>
    <w:rsid w:val="7D7D498E"/>
    <w:rsid w:val="7D867CFE"/>
    <w:rsid w:val="7E437638"/>
    <w:rsid w:val="7E50212F"/>
    <w:rsid w:val="7E805998"/>
    <w:rsid w:val="7E8C6B49"/>
    <w:rsid w:val="7ED83E28"/>
    <w:rsid w:val="7EDE1A63"/>
    <w:rsid w:val="7F3E0D8D"/>
    <w:rsid w:val="7F412A04"/>
    <w:rsid w:val="7F876CCE"/>
    <w:rsid w:val="7FAE082A"/>
    <w:rsid w:val="7FB87A4B"/>
    <w:rsid w:val="7FC32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qFormat="1" w:uiPriority="99"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9"/>
    <w:pPr>
      <w:keepNext/>
      <w:keepLines/>
      <w:spacing w:before="340" w:after="330" w:line="576" w:lineRule="auto"/>
      <w:outlineLvl w:val="0"/>
    </w:pPr>
    <w:rPr>
      <w:b/>
      <w:bCs/>
      <w:kern w:val="44"/>
      <w:sz w:val="44"/>
      <w:szCs w:val="44"/>
    </w:rPr>
  </w:style>
  <w:style w:type="paragraph" w:styleId="4">
    <w:name w:val="heading 2"/>
    <w:basedOn w:val="1"/>
    <w:next w:val="1"/>
    <w:qFormat/>
    <w:uiPriority w:val="0"/>
    <w:pPr>
      <w:keepNext/>
      <w:keepLines/>
      <w:numPr>
        <w:ilvl w:val="0"/>
        <w:numId w:val="1"/>
      </w:numPr>
      <w:tabs>
        <w:tab w:val="left" w:pos="425"/>
      </w:tabs>
      <w:adjustRightInd w:val="0"/>
      <w:snapToGrid w:val="0"/>
      <w:spacing w:line="360" w:lineRule="auto"/>
      <w:outlineLvl w:val="1"/>
    </w:pPr>
    <w:rPr>
      <w:rFonts w:ascii="宋体" w:hAnsi="Arial"/>
      <w:b/>
      <w:sz w:val="28"/>
      <w:szCs w:val="28"/>
    </w:rPr>
  </w:style>
  <w:style w:type="paragraph" w:styleId="2">
    <w:name w:val="heading 3"/>
    <w:basedOn w:val="1"/>
    <w:next w:val="1"/>
    <w:unhideWhenUsed/>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qFormat/>
    <w:uiPriority w:val="0"/>
    <w:pPr>
      <w:keepNext/>
      <w:keepLines/>
      <w:widowControl/>
      <w:tabs>
        <w:tab w:val="left" w:pos="864"/>
        <w:tab w:val="left" w:pos="1680"/>
      </w:tabs>
      <w:spacing w:before="280" w:after="290" w:line="374" w:lineRule="auto"/>
      <w:ind w:left="1680" w:hanging="420"/>
      <w:jc w:val="left"/>
      <w:outlineLvl w:val="3"/>
    </w:pPr>
    <w:rPr>
      <w:rFonts w:ascii="Arial" w:hAnsi="Arial" w:eastAsia="黑体"/>
      <w:b/>
      <w:sz w:val="28"/>
      <w:szCs w:val="24"/>
    </w:rPr>
  </w:style>
  <w:style w:type="paragraph" w:styleId="6">
    <w:name w:val="heading 5"/>
    <w:basedOn w:val="1"/>
    <w:next w:val="1"/>
    <w:qFormat/>
    <w:uiPriority w:val="0"/>
    <w:pPr>
      <w:keepNext/>
      <w:keepLines/>
      <w:widowControl/>
      <w:tabs>
        <w:tab w:val="left" w:pos="1008"/>
        <w:tab w:val="left" w:pos="2100"/>
      </w:tabs>
      <w:spacing w:before="280" w:after="290" w:line="374" w:lineRule="auto"/>
      <w:ind w:left="2100" w:hanging="420"/>
      <w:jc w:val="left"/>
      <w:outlineLvl w:val="4"/>
    </w:pPr>
    <w:rPr>
      <w:b/>
      <w:sz w:val="28"/>
      <w:szCs w:val="24"/>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unhideWhenUsed/>
    <w:qFormat/>
    <w:uiPriority w:val="99"/>
    <w:pPr>
      <w:ind w:left="420" w:leftChars="200"/>
    </w:pPr>
  </w:style>
  <w:style w:type="paragraph" w:styleId="8">
    <w:name w:val="index 8"/>
    <w:basedOn w:val="1"/>
    <w:next w:val="1"/>
    <w:qFormat/>
    <w:uiPriority w:val="0"/>
    <w:pPr>
      <w:widowControl w:val="0"/>
      <w:ind w:left="2940"/>
      <w:jc w:val="both"/>
    </w:pPr>
    <w:rPr>
      <w:rFonts w:ascii="Times New Roman" w:hAnsi="Times New Roman" w:eastAsia="宋体" w:cs="Times New Roman"/>
      <w:kern w:val="2"/>
      <w:sz w:val="21"/>
      <w:lang w:val="en-US" w:eastAsia="zh-CN" w:bidi="ar-SA"/>
    </w:rPr>
  </w:style>
  <w:style w:type="paragraph" w:styleId="9">
    <w:name w:val="Normal Indent"/>
    <w:basedOn w:val="1"/>
    <w:qFormat/>
    <w:uiPriority w:val="0"/>
    <w:pPr>
      <w:ind w:firstLine="420" w:firstLineChars="200"/>
    </w:pPr>
  </w:style>
  <w:style w:type="paragraph" w:styleId="10">
    <w:name w:val="toa heading"/>
    <w:basedOn w:val="1"/>
    <w:next w:val="1"/>
    <w:unhideWhenUsed/>
    <w:qFormat/>
    <w:uiPriority w:val="99"/>
    <w:pPr>
      <w:spacing w:before="120"/>
    </w:pPr>
    <w:rPr>
      <w:rFonts w:ascii="Cambria" w:hAnsi="Cambria" w:cs="Times New Roman"/>
      <w:sz w:val="24"/>
      <w:szCs w:val="24"/>
    </w:rPr>
  </w:style>
  <w:style w:type="paragraph" w:styleId="11">
    <w:name w:val="annotation text"/>
    <w:basedOn w:val="1"/>
    <w:unhideWhenUsed/>
    <w:qFormat/>
    <w:uiPriority w:val="99"/>
    <w:pPr>
      <w:jc w:val="left"/>
    </w:pPr>
    <w:rPr>
      <w:szCs w:val="24"/>
    </w:rPr>
  </w:style>
  <w:style w:type="paragraph" w:styleId="12">
    <w:name w:val="Body Text 3"/>
    <w:basedOn w:val="1"/>
    <w:qFormat/>
    <w:uiPriority w:val="99"/>
    <w:pPr>
      <w:spacing w:after="120"/>
    </w:pPr>
    <w:rPr>
      <w:sz w:val="16"/>
      <w:szCs w:val="16"/>
    </w:rPr>
  </w:style>
  <w:style w:type="paragraph" w:styleId="13">
    <w:name w:val="Body Text"/>
    <w:basedOn w:val="1"/>
    <w:qFormat/>
    <w:uiPriority w:val="99"/>
    <w:pPr>
      <w:spacing w:after="120"/>
    </w:pPr>
    <w:rPr>
      <w:szCs w:val="24"/>
    </w:rPr>
  </w:style>
  <w:style w:type="paragraph" w:styleId="14">
    <w:name w:val="Body Text Indent"/>
    <w:basedOn w:val="1"/>
    <w:next w:val="15"/>
    <w:qFormat/>
    <w:uiPriority w:val="99"/>
    <w:pPr>
      <w:spacing w:after="120"/>
      <w:ind w:left="420" w:leftChars="200"/>
    </w:pPr>
    <w:rPr>
      <w:szCs w:val="24"/>
    </w:rPr>
  </w:style>
  <w:style w:type="paragraph" w:styleId="15">
    <w:name w:val="toc 3"/>
    <w:basedOn w:val="1"/>
    <w:next w:val="1"/>
    <w:semiHidden/>
    <w:qFormat/>
    <w:uiPriority w:val="0"/>
    <w:pPr>
      <w:widowControl/>
      <w:spacing w:line="360" w:lineRule="auto"/>
      <w:ind w:left="840" w:leftChars="400"/>
    </w:pPr>
    <w:rPr>
      <w:rFonts w:ascii="Times New Roman" w:hAnsi="Times New Roman" w:eastAsia="宋体" w:cs="Times New Roman"/>
      <w:sz w:val="24"/>
      <w:szCs w:val="20"/>
    </w:rPr>
  </w:style>
  <w:style w:type="paragraph" w:styleId="16">
    <w:name w:val="List 2"/>
    <w:basedOn w:val="1"/>
    <w:qFormat/>
    <w:uiPriority w:val="0"/>
    <w:pPr>
      <w:ind w:left="100" w:leftChars="200" w:hanging="200" w:hangingChars="200"/>
    </w:pPr>
  </w:style>
  <w:style w:type="paragraph" w:styleId="17">
    <w:name w:val="Plain Text"/>
    <w:basedOn w:val="1"/>
    <w:next w:val="1"/>
    <w:qFormat/>
    <w:uiPriority w:val="0"/>
    <w:rPr>
      <w:rFonts w:ascii="宋体" w:hAnsi="Courier New"/>
      <w:szCs w:val="24"/>
    </w:rPr>
  </w:style>
  <w:style w:type="paragraph" w:styleId="18">
    <w:name w:val="Body Text Indent 2"/>
    <w:basedOn w:val="1"/>
    <w:unhideWhenUsed/>
    <w:qFormat/>
    <w:uiPriority w:val="99"/>
    <w:pPr>
      <w:spacing w:after="120" w:line="480" w:lineRule="auto"/>
      <w:ind w:left="420" w:leftChars="200"/>
    </w:pPr>
    <w:rPr>
      <w:szCs w:val="24"/>
    </w:rPr>
  </w:style>
  <w:style w:type="paragraph" w:styleId="19">
    <w:name w:val="footer"/>
    <w:basedOn w:val="1"/>
    <w:unhideWhenUsed/>
    <w:qFormat/>
    <w:uiPriority w:val="99"/>
    <w:pPr>
      <w:tabs>
        <w:tab w:val="center" w:pos="4153"/>
        <w:tab w:val="right" w:pos="8306"/>
      </w:tabs>
      <w:snapToGrid w:val="0"/>
      <w:jc w:val="left"/>
    </w:pPr>
    <w:rPr>
      <w:sz w:val="18"/>
      <w:szCs w:val="24"/>
    </w:rPr>
  </w:style>
  <w:style w:type="paragraph" w:styleId="2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footnote text"/>
    <w:basedOn w:val="1"/>
    <w:qFormat/>
    <w:uiPriority w:val="99"/>
    <w:pPr>
      <w:snapToGrid w:val="0"/>
    </w:pPr>
    <w:rPr>
      <w:sz w:val="18"/>
      <w:szCs w:val="18"/>
    </w:rPr>
  </w:style>
  <w:style w:type="paragraph" w:styleId="22">
    <w:name w:val="toc 6"/>
    <w:basedOn w:val="1"/>
    <w:next w:val="1"/>
    <w:qFormat/>
    <w:uiPriority w:val="0"/>
    <w:pPr>
      <w:ind w:left="2100" w:leftChars="1000"/>
    </w:pPr>
    <w:rPr>
      <w:rFonts w:ascii="Calibri" w:hAnsi="Calibri" w:eastAsia="宋体" w:cs="Times New Roman"/>
      <w:szCs w:val="22"/>
    </w:rPr>
  </w:style>
  <w:style w:type="paragraph" w:styleId="23">
    <w:name w:val="Body Text Indent 3"/>
    <w:basedOn w:val="1"/>
    <w:unhideWhenUsed/>
    <w:qFormat/>
    <w:uiPriority w:val="0"/>
    <w:pPr>
      <w:spacing w:line="360" w:lineRule="auto"/>
      <w:ind w:firstLine="420"/>
    </w:pPr>
    <w:rPr>
      <w:rFonts w:ascii="宋体"/>
      <w:szCs w:val="24"/>
    </w:rPr>
  </w:style>
  <w:style w:type="paragraph" w:styleId="24">
    <w:name w:val="index 1"/>
    <w:basedOn w:val="1"/>
    <w:next w:val="1"/>
    <w:unhideWhenUsed/>
    <w:qFormat/>
    <w:uiPriority w:val="99"/>
    <w:pPr>
      <w:spacing w:line="200" w:lineRule="atLeast"/>
      <w:jc w:val="center"/>
    </w:pPr>
    <w:rPr>
      <w:rFonts w:ascii="宋体" w:hAnsi="宋体"/>
    </w:rPr>
  </w:style>
  <w:style w:type="paragraph" w:styleId="25">
    <w:name w:val="Body Text First Indent"/>
    <w:basedOn w:val="13"/>
    <w:next w:val="22"/>
    <w:qFormat/>
    <w:uiPriority w:val="0"/>
    <w:pPr>
      <w:ind w:firstLine="420" w:firstLineChars="100"/>
    </w:pPr>
  </w:style>
  <w:style w:type="paragraph" w:styleId="26">
    <w:name w:val="Body Text First Indent 2"/>
    <w:basedOn w:val="14"/>
    <w:next w:val="1"/>
    <w:qFormat/>
    <w:uiPriority w:val="0"/>
    <w:pPr>
      <w:spacing w:line="360" w:lineRule="auto"/>
      <w:ind w:firstLine="420" w:firstLineChars="200"/>
    </w:pPr>
    <w:rPr>
      <w:rFonts w:ascii="Times New Roman" w:hAnsi="Times New Roman" w:eastAsia="宋体" w:cs="Times New Roman"/>
      <w:kern w:val="0"/>
      <w:sz w:val="24"/>
      <w:szCs w:val="20"/>
    </w:rPr>
  </w:style>
  <w:style w:type="table" w:styleId="28">
    <w:name w:val="Table Grid"/>
    <w:basedOn w:val="27"/>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Hyperlink"/>
    <w:basedOn w:val="29"/>
    <w:qFormat/>
    <w:uiPriority w:val="0"/>
    <w:rPr>
      <w:color w:val="0000FF"/>
      <w:u w:val="single"/>
    </w:rPr>
  </w:style>
  <w:style w:type="paragraph" w:customStyle="1" w:styleId="33">
    <w:name w:val="Default"/>
    <w:next w:val="1"/>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4">
    <w:name w:val="正文缩进1"/>
    <w:basedOn w:val="1"/>
    <w:next w:val="1"/>
    <w:qFormat/>
    <w:uiPriority w:val="0"/>
    <w:pPr>
      <w:ind w:firstLine="420"/>
    </w:pPr>
    <w:rPr>
      <w:rFonts w:ascii="Times New Roman" w:hAnsi="Times New Roman" w:eastAsia="宋体" w:cs="Times New Roman"/>
      <w:sz w:val="24"/>
      <w:szCs w:val="20"/>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表正文"/>
    <w:basedOn w:val="1"/>
    <w:next w:val="1"/>
    <w:qFormat/>
    <w:uiPriority w:val="0"/>
    <w:rPr>
      <w:rFonts w:ascii="宋体" w:hAnsi="Courier New"/>
    </w:rPr>
  </w:style>
  <w:style w:type="paragraph" w:customStyle="1" w:styleId="37">
    <w:name w:val="pa-1"/>
    <w:basedOn w:val="1"/>
    <w:qFormat/>
    <w:uiPriority w:val="0"/>
    <w:pPr>
      <w:widowControl/>
      <w:spacing w:before="100" w:beforeAutospacing="1" w:after="100" w:afterAutospacing="1"/>
      <w:jc w:val="left"/>
    </w:pPr>
    <w:rPr>
      <w:rFonts w:ascii="宋体" w:hAnsi="宋体"/>
      <w:kern w:val="0"/>
      <w:sz w:val="24"/>
    </w:rPr>
  </w:style>
  <w:style w:type="character" w:customStyle="1" w:styleId="38">
    <w:name w:val="ca-2"/>
    <w:basedOn w:val="29"/>
    <w:qFormat/>
    <w:uiPriority w:val="0"/>
  </w:style>
  <w:style w:type="character" w:customStyle="1" w:styleId="39">
    <w:name w:val="16"/>
    <w:basedOn w:val="29"/>
    <w:qFormat/>
    <w:uiPriority w:val="0"/>
    <w:rPr>
      <w:rFonts w:hint="default" w:ascii="Times New Roman" w:hAnsi="Times New Roman" w:cs="Times New Roman"/>
    </w:rPr>
  </w:style>
  <w:style w:type="paragraph" w:styleId="40">
    <w:name w:val="List Paragraph"/>
    <w:basedOn w:val="1"/>
    <w:qFormat/>
    <w:uiPriority w:val="34"/>
    <w:pPr>
      <w:ind w:firstLine="420" w:firstLineChars="200"/>
    </w:pPr>
  </w:style>
  <w:style w:type="paragraph" w:customStyle="1" w:styleId="41">
    <w:name w:val="Table Heading"/>
    <w:basedOn w:val="42"/>
    <w:qFormat/>
    <w:uiPriority w:val="0"/>
    <w:pPr>
      <w:jc w:val="center"/>
    </w:pPr>
    <w:rPr>
      <w:b/>
      <w:bCs/>
    </w:rPr>
  </w:style>
  <w:style w:type="paragraph" w:customStyle="1" w:styleId="42">
    <w:name w:val="Table Contents"/>
    <w:basedOn w:val="1"/>
    <w:qFormat/>
    <w:uiPriority w:val="0"/>
    <w:pPr>
      <w:suppressLineNumbers/>
    </w:pPr>
  </w:style>
  <w:style w:type="paragraph" w:customStyle="1" w:styleId="43">
    <w:name w:val="正文 New New New New New New New"/>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44">
    <w:name w:val="Font Style17"/>
    <w:qFormat/>
    <w:uiPriority w:val="0"/>
    <w:rPr>
      <w:rFonts w:ascii="黑体" w:eastAsia="黑体" w:cs="黑体"/>
      <w:sz w:val="28"/>
      <w:szCs w:val="28"/>
    </w:rPr>
  </w:style>
  <w:style w:type="paragraph" w:customStyle="1" w:styleId="45">
    <w:name w:val="Table Text"/>
    <w:basedOn w:val="1"/>
    <w:semiHidden/>
    <w:qFormat/>
    <w:uiPriority w:val="0"/>
    <w:rPr>
      <w:rFonts w:ascii="宋体" w:hAnsi="宋体" w:eastAsia="宋体" w:cs="宋体"/>
      <w:sz w:val="18"/>
      <w:szCs w:val="18"/>
      <w:lang w:val="en-US" w:eastAsia="en-US" w:bidi="ar-SA"/>
    </w:rPr>
  </w:style>
  <w:style w:type="paragraph" w:customStyle="1" w:styleId="4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7">
    <w:name w:val="null3"/>
    <w:hidden/>
    <w:qFormat/>
    <w:uiPriority w:val="0"/>
    <w:rPr>
      <w:rFonts w:hint="eastAsia" w:asciiTheme="minorHAnsi" w:hAnsiTheme="minorHAnsi" w:eastAsiaTheme="minorEastAsia" w:cstheme="minorBidi"/>
      <w:lang w:val="en-US" w:eastAsia="zh-Hans"/>
    </w:rPr>
  </w:style>
  <w:style w:type="paragraph" w:customStyle="1" w:styleId="48">
    <w:name w:val="Table Paragraph"/>
    <w:basedOn w:val="1"/>
    <w:qFormat/>
    <w:uiPriority w:val="1"/>
    <w:pPr>
      <w:widowControl w:val="0"/>
      <w:autoSpaceDE w:val="0"/>
      <w:autoSpaceDN w:val="0"/>
    </w:pPr>
    <w:rPr>
      <w:rFonts w:ascii="宋体" w:hAnsi="宋体" w:cs="宋体"/>
      <w:sz w:val="22"/>
      <w:szCs w:val="22"/>
      <w:lang w:val="zh-CN" w:bidi="zh-CN"/>
    </w:rPr>
  </w:style>
  <w:style w:type="paragraph" w:customStyle="1" w:styleId="49">
    <w:name w:val="_Style 3"/>
    <w:basedOn w:val="1"/>
    <w:qFormat/>
    <w:uiPriority w:val="0"/>
    <w:pPr>
      <w:widowControl/>
      <w:ind w:firstLine="420" w:firstLineChars="200"/>
      <w:jc w:val="left"/>
    </w:pPr>
    <w:rPr>
      <w:kern w:val="0"/>
      <w:sz w:val="20"/>
      <w:szCs w:val="20"/>
    </w:rPr>
  </w:style>
  <w:style w:type="paragraph" w:customStyle="1" w:styleId="50">
    <w:name w:val="正文00"/>
    <w:basedOn w:val="1"/>
    <w:qFormat/>
    <w:uiPriority w:val="0"/>
    <w:pPr>
      <w:topLinePunct/>
      <w:spacing w:line="360" w:lineRule="auto"/>
      <w:ind w:firstLine="200" w:firstLineChars="200"/>
    </w:pPr>
    <w:rPr>
      <w:rFonts w:ascii="Times New Roman" w:hAnsi="Times New Roman" w:eastAsia="宋体" w:cs="Times New Roman"/>
      <w:sz w:val="24"/>
      <w:szCs w:val="21"/>
    </w:rPr>
  </w:style>
  <w:style w:type="character" w:customStyle="1" w:styleId="51">
    <w:name w:val="s21"/>
    <w:qFormat/>
    <w:uiPriority w:val="0"/>
    <w:rPr>
      <w:b/>
      <w:color w:val="000000"/>
    </w:rPr>
  </w:style>
  <w:style w:type="paragraph" w:customStyle="1" w:styleId="52">
    <w:name w:val="Normal_11bccbc2-a549-436c-b7ea-a8a44c7c4f49"/>
    <w:next w:val="3"/>
    <w:qFormat/>
    <w:uiPriority w:val="0"/>
    <w:rPr>
      <w:rFonts w:ascii="Calibri" w:hAnsi="Calibri"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26866</Words>
  <Characters>28366</Characters>
  <Lines>0</Lines>
  <Paragraphs>0</Paragraphs>
  <TotalTime>1</TotalTime>
  <ScaleCrop>false</ScaleCrop>
  <LinksUpToDate>false</LinksUpToDate>
  <CharactersWithSpaces>29425</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2024-12-24T15:02:00Z</dcterms:created>
  <dc:creator>MEEFOND</dc:creator>
  <cp:lastModifiedBy>胡美欢</cp:lastModifiedBy>
  <cp:lastPrinted>2026-06-04T11:46:00Z</cp:lastPrinted>
  <dcterms:modified xsi:type="dcterms:W3CDTF">2026-09-20T08:58:04Z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4FCFA0C287554A9A94FEB56B3FA5AB73_13</vt:lpwstr>
  </property>
  <property fmtid="{D5CDD505-2E9C-101B-9397-08002B2CF9AE}" pid="4" name="KSOTemplateDocerSaveRecord">
    <vt:lpwstr>eyJoZGlkIjoiMjlhN2QxMDg3MWQ5NjNiYTc3Y2QwYzdhNWIwNzdkMGYiLCJ1c2VySWQiOiIzMjUyNjczMDgifQ==</vt:lpwstr>
  </property>
</Properties>
</file>