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szCs w:val="24"/>
        </w:rPr>
        <w:t>线上海选及落地推广执行服务项目（包组二）</w:t>
      </w:r>
      <w:r>
        <w:rPr>
          <w:rFonts w:hint="eastAsia" w:ascii="黑体" w:hAnsi="黑体" w:eastAsia="黑体"/>
          <w:spacing w:val="40"/>
          <w:sz w:val="52"/>
        </w:rPr>
        <w:t xml:space="preserve">  </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hint="eastAsia" w:ascii="黑体" w:hAnsi="黑体" w:eastAsia="黑体"/>
          <w:spacing w:val="40"/>
          <w:sz w:val="44"/>
          <w:szCs w:val="44"/>
          <w:lang w:val="en-US" w:eastAsia="zh-CN"/>
        </w:rPr>
      </w:pPr>
      <w:r>
        <w:rPr>
          <w:rFonts w:hint="eastAsia" w:ascii="黑体" w:hAnsi="黑体" w:eastAsia="黑体"/>
          <w:spacing w:val="40"/>
          <w:sz w:val="44"/>
          <w:szCs w:val="44"/>
        </w:rPr>
        <w:t>项目编号：</w:t>
      </w:r>
      <w:bookmarkStart w:id="1" w:name="OLE_LINK1"/>
      <w:r>
        <w:rPr>
          <w:rFonts w:hint="eastAsia" w:ascii="黑体" w:hAnsi="黑体" w:eastAsia="黑体"/>
          <w:spacing w:val="40"/>
          <w:sz w:val="44"/>
          <w:szCs w:val="44"/>
        </w:rPr>
        <w:t>ND26080090GZ</w:t>
      </w:r>
      <w:bookmarkEnd w:id="1"/>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2" w:name="_Toc1651923"/>
      <w:bookmarkStart w:id="3" w:name="_Toc54357675"/>
      <w:r>
        <w:rPr>
          <w:rFonts w:hint="eastAsia" w:ascii="宋体" w:hAnsi="宋体" w:cs="宋体"/>
          <w:sz w:val="28"/>
          <w:szCs w:val="28"/>
        </w:rPr>
        <w:t>一、报价承诺书</w:t>
      </w:r>
    </w:p>
    <w:p>
      <w:pPr>
        <w:pStyle w:val="29"/>
        <w:spacing w:line="360" w:lineRule="auto"/>
        <w:rPr>
          <w:b/>
          <w:sz w:val="24"/>
        </w:rPr>
      </w:pPr>
      <w:r>
        <w:rPr>
          <w:rFonts w:hint="eastAsia"/>
          <w:b/>
          <w:sz w:val="24"/>
        </w:rPr>
        <w:t>南方都市报社：</w:t>
      </w:r>
    </w:p>
    <w:p>
      <w:pPr>
        <w:pStyle w:val="29"/>
        <w:spacing w:line="360" w:lineRule="auto"/>
        <w:ind w:firstLine="480" w:firstLineChars="200"/>
        <w:rPr>
          <w:bCs/>
          <w:sz w:val="24"/>
        </w:rPr>
      </w:pPr>
      <w:r>
        <w:rPr>
          <w:rFonts w:hint="eastAsia"/>
          <w:bCs/>
          <w:sz w:val="24"/>
        </w:rPr>
        <w:t>经认真阅读</w:t>
      </w:r>
      <w:r>
        <w:rPr>
          <w:rFonts w:hint="eastAsia"/>
          <w:bCs/>
          <w:sz w:val="24"/>
          <w:u w:val="single"/>
        </w:rPr>
        <w:t>线上海选及落地推广执行服务项目（包组二）</w:t>
      </w:r>
      <w:r>
        <w:rPr>
          <w:rFonts w:hint="eastAsia"/>
          <w:bCs/>
          <w:sz w:val="24"/>
        </w:rPr>
        <w:t>采购公告及附件（项目编号：</w:t>
      </w:r>
      <w:r>
        <w:rPr>
          <w:rFonts w:hint="default"/>
          <w:bCs/>
          <w:sz w:val="24"/>
          <w:u w:val="single"/>
          <w:lang w:val="en-US" w:eastAsia="zh-CN"/>
        </w:rPr>
        <w:t>ND26080090GZ</w:t>
      </w:r>
      <w:r>
        <w:rPr>
          <w:rFonts w:hint="eastAsia"/>
          <w:bCs/>
          <w:sz w:val="24"/>
        </w:rPr>
        <w:t>），我方研究决定参加本次采购活动，并承诺如下：</w:t>
      </w:r>
    </w:p>
    <w:p>
      <w:pPr>
        <w:pStyle w:val="29"/>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9"/>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9"/>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9"/>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9"/>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9"/>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9"/>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2"/>
        <w:spacing w:line="360" w:lineRule="auto"/>
        <w:rPr>
          <w:sz w:val="24"/>
        </w:rPr>
      </w:pPr>
    </w:p>
    <w:p>
      <w:pPr>
        <w:pStyle w:val="29"/>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9"/>
        <w:spacing w:line="360" w:lineRule="auto"/>
        <w:ind w:firstLine="480" w:firstLineChars="200"/>
        <w:rPr>
          <w:bCs/>
          <w:sz w:val="24"/>
        </w:rPr>
      </w:pPr>
      <w:r>
        <w:rPr>
          <w:rFonts w:hint="eastAsia"/>
          <w:bCs/>
          <w:sz w:val="24"/>
        </w:rPr>
        <w:t>联系电话：</w:t>
      </w:r>
    </w:p>
    <w:p>
      <w:pPr>
        <w:pStyle w:val="29"/>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color w:val="auto"/>
                <w:sz w:val="24"/>
              </w:rPr>
            </w:pPr>
            <w:r>
              <w:rPr>
                <w:rFonts w:hint="eastAsia" w:ascii="宋体" w:hAnsi="宋体" w:cs="仿宋"/>
                <w:color w:val="auto"/>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color w:val="auto"/>
                <w:sz w:val="24"/>
              </w:rPr>
              <w:t>1.服务期限：</w:t>
            </w:r>
            <w:r>
              <w:rPr>
                <w:rFonts w:hint="eastAsia" w:ascii="宋体" w:hAnsi="宋体" w:cs="仿宋"/>
                <w:color w:val="auto"/>
                <w:sz w:val="24"/>
                <w:lang w:val="en-US" w:eastAsia="zh-CN"/>
              </w:rPr>
              <w:t>于2026年12月底完成</w:t>
            </w:r>
            <w:r>
              <w:rPr>
                <w:rFonts w:hint="eastAsia" w:ascii="宋体" w:hAnsi="宋体" w:cs="仿宋"/>
                <w:color w:val="auto"/>
                <w:sz w:val="24"/>
              </w:rPr>
              <w:t>。</w:t>
            </w:r>
          </w:p>
          <w:p>
            <w:pPr>
              <w:ind w:firstLine="480" w:firstLineChars="200"/>
              <w:rPr>
                <w:rFonts w:hint="eastAsia" w:ascii="宋体" w:hAnsi="宋体" w:cs="仿宋"/>
                <w:color w:val="auto"/>
                <w:sz w:val="24"/>
              </w:rPr>
            </w:pPr>
            <w:r>
              <w:rPr>
                <w:rFonts w:hint="eastAsia" w:ascii="宋体" w:hAnsi="宋体" w:cs="仿宋"/>
                <w:color w:val="auto"/>
                <w:sz w:val="24"/>
              </w:rPr>
              <w:t>2.服务地点：广东省。</w:t>
            </w:r>
          </w:p>
          <w:p>
            <w:pPr>
              <w:ind w:firstLine="480" w:firstLineChars="200"/>
              <w:rPr>
                <w:rFonts w:hint="eastAsia" w:ascii="宋体" w:hAnsi="宋体" w:cs="仿宋"/>
                <w:color w:val="auto"/>
                <w:sz w:val="24"/>
              </w:rPr>
            </w:pPr>
            <w:r>
              <w:rPr>
                <w:rFonts w:hint="eastAsia" w:ascii="宋体" w:hAnsi="宋体" w:cs="仿宋"/>
                <w:color w:val="auto"/>
                <w:sz w:val="24"/>
              </w:rPr>
              <w:t>3.付款方式：</w:t>
            </w:r>
            <w:r>
              <w:rPr>
                <w:rFonts w:hint="eastAsia" w:ascii="宋体" w:hAnsi="宋体" w:eastAsia="宋体" w:cs="仿宋"/>
                <w:color w:val="auto"/>
                <w:sz w:val="24"/>
                <w:szCs w:val="24"/>
              </w:rPr>
              <w:t>执行完成验收合格后，一次性付款</w:t>
            </w:r>
            <w:r>
              <w:rPr>
                <w:rFonts w:hint="eastAsia" w:ascii="宋体" w:hAnsi="宋体" w:cs="仿宋"/>
                <w:color w:val="auto"/>
                <w:sz w:val="24"/>
              </w:rPr>
              <w:t>。</w:t>
            </w:r>
          </w:p>
          <w:p>
            <w:pPr>
              <w:ind w:firstLine="480" w:firstLineChars="200"/>
              <w:rPr>
                <w:rFonts w:ascii="宋体" w:hAnsi="宋体" w:cs="仿宋"/>
                <w:sz w:val="24"/>
              </w:rPr>
            </w:pPr>
            <w:r>
              <w:rPr>
                <w:rFonts w:hint="eastAsia" w:ascii="宋体" w:hAnsi="宋体" w:cs="仿宋"/>
                <w:color w:val="auto"/>
                <w:sz w:val="24"/>
              </w:rPr>
              <w:t>4.甲方的权利和义务:(1)确定本项目中各项服务的具体内容;(2)甲方须向乙方提供相关人员询问的便利，</w:t>
            </w:r>
            <w:r>
              <w:rPr>
                <w:rFonts w:hint="eastAsia" w:ascii="宋体" w:hAnsi="宋体" w:cs="仿宋"/>
                <w:sz w:val="24"/>
              </w:rPr>
              <w:t>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2"/>
      <w:bookmarkEnd w:id="3"/>
      <w:r>
        <w:rPr>
          <w:rFonts w:hint="eastAsia" w:ascii="宋体" w:hAnsi="宋体" w:cs="宋体"/>
          <w:sz w:val="28"/>
          <w:szCs w:val="28"/>
        </w:rPr>
        <w:t>表</w:t>
      </w:r>
    </w:p>
    <w:p>
      <w:pPr>
        <w:pStyle w:val="29"/>
        <w:spacing w:line="360" w:lineRule="auto"/>
        <w:rPr>
          <w:rFonts w:cs="宋体"/>
          <w:b/>
          <w:sz w:val="24"/>
        </w:rPr>
      </w:pPr>
      <w:r>
        <w:rPr>
          <w:rFonts w:hint="eastAsia" w:cs="宋体"/>
          <w:b/>
          <w:sz w:val="24"/>
        </w:rPr>
        <w:t>南方都市报社：</w:t>
      </w:r>
    </w:p>
    <w:p>
      <w:pPr>
        <w:pStyle w:val="29"/>
        <w:spacing w:line="360" w:lineRule="auto"/>
        <w:ind w:firstLine="480" w:firstLineChars="200"/>
        <w:rPr>
          <w:rFonts w:cs="宋体"/>
          <w:bCs/>
          <w:sz w:val="24"/>
        </w:rPr>
      </w:pPr>
      <w:r>
        <w:rPr>
          <w:rFonts w:hint="eastAsia" w:cs="宋体"/>
          <w:bCs/>
          <w:sz w:val="24"/>
        </w:rPr>
        <w:t>经认真阅读</w:t>
      </w:r>
      <w:r>
        <w:rPr>
          <w:rFonts w:hint="eastAsia" w:cs="宋体"/>
          <w:bCs/>
          <w:sz w:val="24"/>
          <w:u w:val="single"/>
        </w:rPr>
        <w:t>线上海选及落地推广执行服务项目（包组二）</w:t>
      </w:r>
      <w:r>
        <w:rPr>
          <w:rFonts w:hint="eastAsia" w:cs="宋体"/>
          <w:bCs/>
          <w:sz w:val="24"/>
        </w:rPr>
        <w:t>采购公告及附件（项目编号：</w:t>
      </w:r>
      <w:r>
        <w:rPr>
          <w:rFonts w:hint="default" w:cs="宋体"/>
          <w:bCs/>
          <w:sz w:val="24"/>
          <w:u w:val="single"/>
          <w:lang w:val="en-US" w:eastAsia="zh-CN"/>
        </w:rPr>
        <w:t>ND26080090GZ</w:t>
      </w:r>
      <w:r>
        <w:rPr>
          <w:rFonts w:hint="eastAsia" w:cs="宋体"/>
          <w:bCs/>
          <w:sz w:val="24"/>
        </w:rPr>
        <w:t>）我方已完全了解本项目的商务与技术要求，承诺按照采购文件的要求提供产品和服务，报价如下。</w:t>
      </w:r>
    </w:p>
    <w:p>
      <w:pPr>
        <w:pStyle w:val="29"/>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9"/>
        <w:numPr>
          <w:ilvl w:val="0"/>
          <w:numId w:val="2"/>
        </w:numPr>
        <w:spacing w:line="360" w:lineRule="auto"/>
        <w:ind w:firstLine="480" w:firstLineChars="200"/>
        <w:rPr>
          <w:rFonts w:cs="宋体"/>
          <w:bCs/>
          <w:sz w:val="24"/>
        </w:rPr>
      </w:pPr>
      <w:r>
        <w:rPr>
          <w:rFonts w:hint="eastAsia" w:cs="宋体"/>
          <w:bCs/>
          <w:sz w:val="24"/>
        </w:rPr>
        <w:t>分项明细报价如下（小计由我司填写，其他与采购公告文件一致）：</w:t>
      </w:r>
    </w:p>
    <w:p/>
    <w:tbl>
      <w:tblPr>
        <w:tblStyle w:val="38"/>
        <w:tblW w:w="8228" w:type="dxa"/>
        <w:tblInd w:w="0" w:type="dxa"/>
        <w:tblLayout w:type="autofit"/>
        <w:tblCellMar>
          <w:top w:w="15" w:type="dxa"/>
          <w:left w:w="15" w:type="dxa"/>
          <w:bottom w:w="15" w:type="dxa"/>
          <w:right w:w="15" w:type="dxa"/>
        </w:tblCellMar>
      </w:tblPr>
      <w:tblGrid>
        <w:gridCol w:w="648"/>
        <w:gridCol w:w="1290"/>
        <w:gridCol w:w="4260"/>
        <w:gridCol w:w="650"/>
        <w:gridCol w:w="1380"/>
      </w:tblGrid>
      <w:tr>
        <w:tblPrEx>
          <w:tblCellMar>
            <w:top w:w="15" w:type="dxa"/>
            <w:left w:w="15" w:type="dxa"/>
            <w:bottom w:w="15" w:type="dxa"/>
            <w:right w:w="15" w:type="dxa"/>
          </w:tblCellMar>
        </w:tblPrEx>
        <w:trPr>
          <w:trHeight w:val="822" w:hRule="atLeast"/>
        </w:trPr>
        <w:tc>
          <w:tcPr>
            <w:tcW w:w="648"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290"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260"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650"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380"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90" w:hRule="atLeast"/>
        </w:trPr>
        <w:tc>
          <w:tcPr>
            <w:tcW w:w="648"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290"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ascii="宋体" w:hAnsi="宋体" w:eastAsia="宋体" w:cs="宋体"/>
                <w:color w:val="000000"/>
                <w:kern w:val="0"/>
                <w:sz w:val="24"/>
                <w:szCs w:val="24"/>
                <w:lang w:val="en-US" w:eastAsia="zh-CN" w:bidi="ar"/>
              </w:rPr>
            </w:pPr>
            <w:r>
              <w:rPr>
                <w:rFonts w:hint="default" w:ascii="宋体" w:hAnsi="宋体" w:eastAsia="宋体" w:cs="宋体"/>
                <w:color w:val="000000"/>
                <w:kern w:val="0"/>
                <w:sz w:val="24"/>
                <w:szCs w:val="24"/>
                <w:u w:val="none"/>
                <w:lang w:bidi="ar"/>
              </w:rPr>
              <w:t>活动全流程配套服务</w:t>
            </w:r>
          </w:p>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default" w:ascii="Times New Roman" w:hAnsi="Times New Roman" w:cs="Times New Roman"/>
                <w:sz w:val="24"/>
                <w:lang w:val="en-US" w:eastAsia="zh-CN"/>
              </w:rPr>
              <w:t>会务配套物料</w:t>
            </w:r>
            <w:r>
              <w:rPr>
                <w:rFonts w:hint="eastAsia" w:cs="Times New Roman"/>
                <w:sz w:val="24"/>
                <w:lang w:val="en-US" w:eastAsia="zh-CN"/>
              </w:rPr>
              <w:t>制作服务：</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负责提供项目全流程会务配套物料；含全流程管理（存档项目所用的相关一切文件）、项目例会（会议纪要整理及存档）、活动项目相关的文件文档排版、纸张印刷、沟通会务、打印、临时会议场地租赁、茶水耗材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342" w:hRule="atLeast"/>
        </w:trPr>
        <w:tc>
          <w:tcPr>
            <w:tcW w:w="648" w:type="dxa"/>
            <w:vMerge w:val="continue"/>
            <w:tcBorders>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ascii="Times New Roman" w:hAnsi="Times New Roman" w:cs="Times New Roman"/>
                <w:sz w:val="24"/>
                <w:lang w:val="en-US" w:eastAsia="zh-CN"/>
              </w:rPr>
            </w:pPr>
            <w:r>
              <w:rPr>
                <w:rFonts w:hint="default" w:ascii="Times New Roman" w:hAnsi="Times New Roman" w:cs="Times New Roman"/>
                <w:sz w:val="24"/>
                <w:lang w:val="en-US" w:eastAsia="zh-CN"/>
              </w:rPr>
              <w:t>数据服务</w:t>
            </w:r>
            <w:r>
              <w:rPr>
                <w:rFonts w:hint="eastAsia" w:ascii="Times New Roman" w:hAnsi="Times New Roman"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为项目提供数据服务</w:t>
            </w:r>
            <w:r>
              <w:rPr>
                <w:rFonts w:hint="eastAsia" w:cs="Times New Roman"/>
                <w:sz w:val="24"/>
                <w:lang w:val="en-US" w:eastAsia="zh-CN"/>
              </w:rPr>
              <w:t>，</w:t>
            </w:r>
            <w:r>
              <w:rPr>
                <w:rFonts w:hint="eastAsia" w:ascii="Times New Roman" w:hAnsi="Times New Roman" w:cs="Times New Roman"/>
                <w:sz w:val="24"/>
                <w:lang w:val="en-US" w:eastAsia="zh-CN"/>
              </w:rPr>
              <w:t>针对本项目相关内容完成数据管理、收集、监测。短视频平台流量投放，总曝光≥1000万。</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625" w:hRule="atLeast"/>
        </w:trPr>
        <w:tc>
          <w:tcPr>
            <w:tcW w:w="648"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290"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ascii="宋体" w:hAnsi="宋体" w:eastAsia="宋体" w:cs="宋体"/>
                <w:color w:val="000000"/>
                <w:kern w:val="0"/>
                <w:sz w:val="24"/>
                <w:szCs w:val="24"/>
                <w:lang w:val="en-US" w:eastAsia="zh-CN" w:bidi="ar"/>
              </w:rPr>
            </w:pPr>
            <w:r>
              <w:rPr>
                <w:rFonts w:hint="default" w:ascii="宋体" w:hAnsi="宋体" w:eastAsia="宋体" w:cs="宋体"/>
                <w:i w:val="0"/>
                <w:iCs w:val="0"/>
                <w:color w:val="000000"/>
                <w:kern w:val="0"/>
                <w:sz w:val="24"/>
                <w:szCs w:val="24"/>
                <w:u w:val="none"/>
                <w:lang w:bidi="ar"/>
              </w:rPr>
              <w:t>线上海选征集活动及相关配套服务</w:t>
            </w:r>
          </w:p>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default" w:ascii="Times New Roman" w:hAnsi="Times New Roman" w:cs="Times New Roman"/>
                <w:sz w:val="24"/>
                <w:lang w:val="en-US" w:eastAsia="zh-CN"/>
              </w:rPr>
              <w:t>云端服务</w:t>
            </w:r>
            <w:r>
              <w:rPr>
                <w:rFonts w:hint="eastAsia"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做好活动内容云端储存</w:t>
            </w:r>
            <w:r>
              <w:rPr>
                <w:rFonts w:hint="eastAsia" w:cs="Times New Roman"/>
                <w:sz w:val="24"/>
                <w:lang w:val="en-US" w:eastAsia="zh-CN"/>
              </w:rPr>
              <w:t>。</w:t>
            </w:r>
            <w:r>
              <w:rPr>
                <w:rFonts w:hint="eastAsia" w:ascii="Times New Roman" w:hAnsi="Times New Roman" w:cs="Times New Roman"/>
                <w:sz w:val="24"/>
                <w:lang w:val="en-US" w:eastAsia="zh-CN"/>
              </w:rPr>
              <w:t>根据项目需求完善赛后6个月的资料云端保存，包括但不限于参赛作品、评选数据等文件，并做好记录、复盘调取使用等。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062" w:hRule="atLeast"/>
        </w:trPr>
        <w:tc>
          <w:tcPr>
            <w:tcW w:w="648" w:type="dxa"/>
            <w:vMerge w:val="continue"/>
            <w:tcBorders>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ascii="Times New Roman" w:hAnsi="Times New Roman" w:cs="Times New Roman"/>
                <w:sz w:val="24"/>
                <w:lang w:val="en-US" w:eastAsia="zh-CN"/>
              </w:rPr>
            </w:pPr>
            <w:r>
              <w:rPr>
                <w:rFonts w:hint="default" w:ascii="Times New Roman" w:hAnsi="Times New Roman" w:cs="Times New Roman"/>
                <w:sz w:val="24"/>
                <w:lang w:val="en-US" w:eastAsia="zh-CN"/>
              </w:rPr>
              <w:t>档案服务</w:t>
            </w:r>
            <w:r>
              <w:rPr>
                <w:rFonts w:hint="eastAsia" w:ascii="Times New Roman" w:hAnsi="Times New Roman"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做好赛事档案工作</w:t>
            </w:r>
            <w:r>
              <w:rPr>
                <w:rFonts w:hint="eastAsia" w:cs="Times New Roman"/>
                <w:sz w:val="24"/>
                <w:lang w:val="en-US" w:eastAsia="zh-CN"/>
              </w:rPr>
              <w:t>，</w:t>
            </w:r>
            <w:r>
              <w:rPr>
                <w:rFonts w:hint="eastAsia" w:ascii="Times New Roman" w:hAnsi="Times New Roman" w:cs="Times New Roman"/>
                <w:sz w:val="24"/>
                <w:lang w:val="en-US" w:eastAsia="zh-CN"/>
              </w:rPr>
              <w:t>包括但不限于对所有项目材料装订归档、全过程纸质/电子档案刻录、装订、封存等。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4024" w:hRule="atLeast"/>
        </w:trPr>
        <w:tc>
          <w:tcPr>
            <w:tcW w:w="648"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3</w:t>
            </w:r>
          </w:p>
        </w:tc>
        <w:tc>
          <w:tcPr>
            <w:tcW w:w="1290"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r>
              <w:rPr>
                <w:rFonts w:hint="eastAsia" w:ascii="宋体" w:hAnsi="宋体" w:eastAsia="宋体" w:cs="宋体"/>
                <w:i w:val="0"/>
                <w:iCs w:val="0"/>
                <w:color w:val="000000"/>
                <w:kern w:val="0"/>
                <w:sz w:val="24"/>
                <w:szCs w:val="24"/>
                <w:u w:val="none"/>
                <w:lang w:eastAsia="zh-Hans" w:bidi="ar"/>
              </w:rPr>
              <w:t>线下</w:t>
            </w:r>
            <w:r>
              <w:rPr>
                <w:rFonts w:hint="eastAsia" w:ascii="宋体" w:hAnsi="宋体" w:cs="宋体"/>
                <w:i w:val="0"/>
                <w:iCs w:val="0"/>
                <w:color w:val="000000"/>
                <w:kern w:val="0"/>
                <w:sz w:val="24"/>
                <w:szCs w:val="24"/>
                <w:u w:val="none"/>
                <w:lang w:val="en-US" w:eastAsia="zh-CN" w:bidi="ar"/>
              </w:rPr>
              <w:t>赛事</w:t>
            </w:r>
            <w:r>
              <w:rPr>
                <w:rFonts w:hint="eastAsia" w:ascii="宋体" w:hAnsi="宋体" w:eastAsia="宋体" w:cs="宋体"/>
                <w:i w:val="0"/>
                <w:iCs w:val="0"/>
                <w:color w:val="000000"/>
                <w:kern w:val="0"/>
                <w:sz w:val="24"/>
                <w:szCs w:val="24"/>
                <w:u w:val="none"/>
                <w:lang w:eastAsia="zh-Hans" w:bidi="ar"/>
              </w:rPr>
              <w:t>服务、展演及颁奖落地活动</w:t>
            </w:r>
            <w:r>
              <w:rPr>
                <w:rFonts w:hint="eastAsia" w:ascii="宋体" w:hAnsi="宋体" w:cs="宋体"/>
                <w:i w:val="0"/>
                <w:iCs w:val="0"/>
                <w:color w:val="000000"/>
                <w:kern w:val="0"/>
                <w:sz w:val="24"/>
                <w:szCs w:val="24"/>
                <w:u w:val="none"/>
                <w:lang w:val="en-US" w:eastAsia="zh-CN" w:bidi="ar"/>
              </w:rPr>
              <w:t>执行</w:t>
            </w:r>
            <w:r>
              <w:rPr>
                <w:rFonts w:hint="eastAsia" w:ascii="宋体" w:hAnsi="宋体" w:eastAsia="宋体" w:cs="宋体"/>
                <w:i w:val="0"/>
                <w:iCs w:val="0"/>
                <w:color w:val="000000"/>
                <w:kern w:val="0"/>
                <w:sz w:val="24"/>
                <w:szCs w:val="24"/>
                <w:u w:val="none"/>
                <w:lang w:eastAsia="zh-Hans" w:bidi="ar"/>
              </w:rPr>
              <w:t>服务</w:t>
            </w: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cs="Times New Roman"/>
                <w:sz w:val="24"/>
                <w:lang w:val="en-US" w:eastAsia="zh-CN"/>
              </w:rPr>
              <w:t>线下赛事</w:t>
            </w:r>
            <w:r>
              <w:rPr>
                <w:rFonts w:hint="default" w:ascii="Times New Roman" w:hAnsi="Times New Roman" w:cs="Times New Roman"/>
                <w:sz w:val="24"/>
                <w:lang w:val="en-US" w:eastAsia="zh-CN"/>
              </w:rPr>
              <w:t>场地</w:t>
            </w:r>
            <w:r>
              <w:rPr>
                <w:rFonts w:hint="eastAsia" w:cs="Times New Roman"/>
                <w:sz w:val="24"/>
                <w:lang w:val="en-US" w:eastAsia="zh-CN"/>
              </w:rPr>
              <w:t>租赁服务：</w:t>
            </w:r>
          </w:p>
          <w:p>
            <w:pPr>
              <w:widowControl/>
              <w:spacing w:line="360" w:lineRule="auto"/>
              <w:ind w:firstLine="480" w:firstLineChars="200"/>
              <w:jc w:val="left"/>
              <w:textAlignment w:val="center"/>
              <w:rPr>
                <w:rFonts w:hint="eastAsia" w:cs="Times New Roman"/>
                <w:sz w:val="24"/>
                <w:lang w:val="en-US" w:eastAsia="zh-CN"/>
              </w:rPr>
            </w:pPr>
            <w:r>
              <w:rPr>
                <w:rFonts w:hint="eastAsia" w:ascii="Times New Roman" w:hAnsi="Times New Roman" w:cs="Times New Roman"/>
                <w:sz w:val="24"/>
                <w:lang w:val="en-US" w:eastAsia="zh-CN"/>
              </w:rPr>
              <w:t>线下场地活动租赁使用费含场地清洁、空调、基础水电使用费</w:t>
            </w:r>
            <w:r>
              <w:rPr>
                <w:rFonts w:hint="eastAsia" w:cs="Times New Roman"/>
                <w:sz w:val="24"/>
                <w:lang w:val="en-US" w:eastAsia="zh-CN"/>
              </w:rPr>
              <w:t>，要求：</w:t>
            </w:r>
          </w:p>
          <w:p>
            <w:pPr>
              <w:widowControl/>
              <w:numPr>
                <w:ilvl w:val="-1"/>
                <w:numId w:val="0"/>
              </w:numPr>
              <w:spacing w:line="360" w:lineRule="auto"/>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①</w:t>
            </w:r>
            <w:r>
              <w:rPr>
                <w:rFonts w:hint="eastAsia" w:cs="Times New Roman"/>
                <w:sz w:val="24"/>
                <w:lang w:val="en-US" w:eastAsia="zh-CN"/>
              </w:rPr>
              <w:t>赛事</w:t>
            </w:r>
            <w:r>
              <w:rPr>
                <w:rFonts w:hint="eastAsia" w:ascii="Times New Roman" w:hAnsi="Times New Roman" w:cs="Times New Roman"/>
                <w:sz w:val="24"/>
                <w:lang w:val="en-US" w:eastAsia="zh-CN"/>
              </w:rPr>
              <w:t>活动场地（满足不少于200人活动场地）使用时长1天；</w:t>
            </w:r>
          </w:p>
          <w:p>
            <w:pPr>
              <w:widowControl/>
              <w:spacing w:line="360" w:lineRule="auto"/>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②落地展演及颁奖活动或场地（面积36m*14.5m的展览场地），使用时长3天，含管理费、水电费</w:t>
            </w:r>
            <w:r>
              <w:rPr>
                <w:rFonts w:hint="eastAsia" w:cs="Times New Roman"/>
                <w:sz w:val="24"/>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212"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cs="宋体"/>
                <w:i w:val="0"/>
                <w:iCs w:val="0"/>
                <w:color w:val="000000"/>
                <w:kern w:val="0"/>
                <w:sz w:val="24"/>
                <w:szCs w:val="24"/>
                <w:u w:val="none"/>
                <w:lang w:eastAsia="zh-Hans" w:bidi="ar"/>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cs="Times New Roman"/>
                <w:sz w:val="24"/>
                <w:lang w:val="en-US" w:eastAsia="zh-CN"/>
              </w:rPr>
              <w:t>线下赛事</w:t>
            </w:r>
            <w:r>
              <w:rPr>
                <w:rFonts w:hint="eastAsia" w:ascii="Times New Roman" w:hAnsi="Times New Roman" w:cs="Times New Roman"/>
                <w:sz w:val="24"/>
                <w:lang w:val="en-US" w:eastAsia="zh-CN"/>
              </w:rPr>
              <w:t>设备租赁</w:t>
            </w:r>
            <w:r>
              <w:rPr>
                <w:rFonts w:hint="eastAsia" w:cs="Times New Roman"/>
                <w:sz w:val="24"/>
                <w:lang w:val="en-US" w:eastAsia="zh-CN"/>
              </w:rPr>
              <w:t>服务：</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两场活动影像直播所需的设备，包括但不限于所使用的摄像机、航拍、收音麦、补光灯、提词器全套租赁。</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800"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cs="宋体"/>
                <w:i w:val="0"/>
                <w:iCs w:val="0"/>
                <w:color w:val="000000"/>
                <w:kern w:val="0"/>
                <w:sz w:val="24"/>
                <w:szCs w:val="24"/>
                <w:u w:val="none"/>
                <w:lang w:eastAsia="zh-Hans" w:bidi="ar"/>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cs="Times New Roman"/>
                <w:sz w:val="24"/>
                <w:lang w:val="en-US" w:eastAsia="zh-CN"/>
              </w:rPr>
              <w:t>线下赛事</w:t>
            </w:r>
            <w:r>
              <w:rPr>
                <w:rFonts w:hint="eastAsia" w:ascii="Times New Roman" w:hAnsi="Times New Roman" w:cs="Times New Roman"/>
                <w:sz w:val="24"/>
                <w:lang w:val="en-US" w:eastAsia="zh-CN"/>
              </w:rPr>
              <w:t>场地配套服务</w:t>
            </w:r>
            <w:r>
              <w:rPr>
                <w:rFonts w:hint="eastAsia"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提供以下应急保障设备：现场急救、防暑、防疫物资；提供场地应急装备含急救箱、消毒用品、雨棚、防滑垫、备用电源等。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5416"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numPr>
                <w:ilvl w:val="-1"/>
                <w:numId w:val="0"/>
              </w:numPr>
              <w:spacing w:line="360" w:lineRule="auto"/>
              <w:jc w:val="left"/>
              <w:textAlignment w:val="center"/>
              <w:rPr>
                <w:rFonts w:hint="eastAsia" w:cs="Times New Roman"/>
                <w:sz w:val="24"/>
                <w:lang w:val="en-US" w:eastAsia="zh-CN"/>
              </w:rPr>
            </w:pPr>
            <w:r>
              <w:rPr>
                <w:rFonts w:hint="eastAsia" w:cs="Times New Roman"/>
                <w:sz w:val="24"/>
                <w:lang w:val="en-US" w:eastAsia="zh-CN"/>
              </w:rPr>
              <w:t>线下赛事</w:t>
            </w:r>
            <w:r>
              <w:rPr>
                <w:rFonts w:hint="eastAsia" w:ascii="Times New Roman" w:hAnsi="Times New Roman" w:cs="Times New Roman"/>
                <w:sz w:val="24"/>
                <w:lang w:val="en-US" w:eastAsia="zh-CN"/>
              </w:rPr>
              <w:t>物料制作</w:t>
            </w:r>
            <w:r>
              <w:rPr>
                <w:rFonts w:hint="eastAsia" w:cs="Times New Roman"/>
                <w:sz w:val="24"/>
                <w:lang w:val="en-US" w:eastAsia="zh-CN"/>
              </w:rPr>
              <w:t>服务：</w:t>
            </w:r>
          </w:p>
          <w:p>
            <w:pPr>
              <w:widowControl/>
              <w:spacing w:line="360" w:lineRule="auto"/>
              <w:jc w:val="left"/>
              <w:textAlignment w:val="center"/>
              <w:rPr>
                <w:rFonts w:hint="eastAsia" w:ascii="Times New Roman" w:hAnsi="Times New Roman" w:cs="Times New Roman"/>
                <w:sz w:val="24"/>
                <w:lang w:val="en-US" w:eastAsia="zh-CN"/>
              </w:rPr>
            </w:pPr>
            <w:r>
              <w:rPr>
                <w:rFonts w:hint="eastAsia" w:cs="Times New Roman"/>
                <w:sz w:val="24"/>
                <w:lang w:val="en-US" w:eastAsia="zh-CN"/>
              </w:rPr>
              <w:t xml:space="preserve">    </w:t>
            </w:r>
            <w:r>
              <w:rPr>
                <w:rFonts w:hint="eastAsia" w:ascii="Times New Roman" w:hAnsi="Times New Roman" w:cs="Times New Roman"/>
                <w:sz w:val="24"/>
                <w:lang w:val="en-US" w:eastAsia="zh-CN"/>
              </w:rPr>
              <w:t>含1个主背景板（长9m*宽2.6m）含行架、1个互动装置背景板（长5m*宽2.5m）含行架、流程手册不少于300份（A5、铜版纸）、选手号牌（圆形贴纸、直径5cm）、签到物料（2个活动签到指引牌（80*200cm）易拉宝、2个签到区竖排、皮套、签到表等）、饮用水（300瓶小支装矿泉水）、现场耗材，现场全套基础印刷（含A4纸、A4粉纸、笔等）、布置小件物料（包装纸、花束等）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132"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ind w:firstLine="0" w:firstLineChars="0"/>
              <w:jc w:val="left"/>
              <w:textAlignment w:val="center"/>
              <w:rPr>
                <w:rFonts w:hint="eastAsia" w:cs="Times New Roman"/>
                <w:sz w:val="24"/>
                <w:lang w:val="en-US" w:eastAsia="zh-CN"/>
              </w:rPr>
            </w:pPr>
            <w:r>
              <w:rPr>
                <w:rFonts w:hint="eastAsia" w:ascii="Times New Roman" w:hAnsi="Times New Roman" w:cs="Times New Roman"/>
                <w:sz w:val="24"/>
                <w:lang w:val="en-US" w:eastAsia="zh-CN"/>
              </w:rPr>
              <w:t>提供</w:t>
            </w:r>
            <w:r>
              <w:rPr>
                <w:rFonts w:hint="eastAsia" w:cs="Times New Roman"/>
                <w:sz w:val="24"/>
                <w:lang w:val="en-US" w:eastAsia="zh-CN"/>
              </w:rPr>
              <w:t>线下赛事</w:t>
            </w:r>
            <w:r>
              <w:rPr>
                <w:rFonts w:hint="eastAsia" w:ascii="Times New Roman" w:hAnsi="Times New Roman" w:cs="Times New Roman"/>
                <w:sz w:val="24"/>
                <w:lang w:val="en-US" w:eastAsia="zh-CN"/>
              </w:rPr>
              <w:t>安保、</w:t>
            </w:r>
            <w:r>
              <w:rPr>
                <w:rFonts w:hint="eastAsia" w:cs="Times New Roman"/>
                <w:sz w:val="24"/>
                <w:lang w:val="en-US" w:eastAsia="zh-CN"/>
              </w:rPr>
              <w:t>人员</w:t>
            </w:r>
            <w:r>
              <w:rPr>
                <w:rFonts w:hint="eastAsia" w:ascii="Times New Roman" w:hAnsi="Times New Roman" w:cs="Times New Roman"/>
                <w:sz w:val="24"/>
                <w:lang w:val="en-US" w:eastAsia="zh-CN"/>
              </w:rPr>
              <w:t>服务</w:t>
            </w:r>
            <w:r>
              <w:rPr>
                <w:rFonts w:hint="eastAsia"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含2名安保人员、4名现场引导志愿者劳务、简易防护物资，全天现场秩序维护、选手引导、物资搬运等。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1196"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cs="Times New Roman"/>
                <w:sz w:val="24"/>
                <w:lang w:val="en-US" w:eastAsia="zh-CN"/>
              </w:rPr>
              <w:t>交通及餐补：</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预估10人，每人</w:t>
            </w:r>
            <w:r>
              <w:rPr>
                <w:rFonts w:hint="eastAsia" w:cs="Times New Roman"/>
                <w:sz w:val="24"/>
                <w:lang w:val="en-US" w:eastAsia="zh-CN"/>
              </w:rPr>
              <w:t>不高于</w:t>
            </w:r>
            <w:r>
              <w:rPr>
                <w:rFonts w:hint="eastAsia" w:ascii="Times New Roman" w:hAnsi="Times New Roman" w:cs="Times New Roman"/>
                <w:sz w:val="24"/>
                <w:lang w:val="en-US" w:eastAsia="zh-CN"/>
              </w:rPr>
              <w:t>800元</w:t>
            </w:r>
            <w:r>
              <w:rPr>
                <w:rFonts w:hint="eastAsia" w:cs="Times New Roman"/>
                <w:sz w:val="24"/>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4950"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展演</w:t>
            </w:r>
            <w:r>
              <w:rPr>
                <w:rFonts w:hint="eastAsia" w:cs="Times New Roman"/>
                <w:sz w:val="24"/>
                <w:lang w:val="en-US" w:eastAsia="zh-CN"/>
              </w:rPr>
              <w:t>舞台设计及搭建服务，要求：</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主舞台（长11m*宽4m）、LED大屏（长7m*高4m）含4个副屏（2个4m*0.5米、2个3m*0.5米）、灯光（舞台射灯32个）、4个大功率音响、2级阶梯（总高度0.6米）、观众坐席（2张单人沙发、1张双人沙发配置茶几1张，150张白色折叠椅、10张长条桌）、舞台区域红毯布置（约11m*4m）、拆装人工，全天搭建、活动结束拆除，含设备</w:t>
            </w:r>
            <w:r>
              <w:rPr>
                <w:rFonts w:hint="eastAsia" w:cs="Times New Roman"/>
                <w:sz w:val="24"/>
                <w:lang w:val="en-US" w:eastAsia="zh-CN"/>
              </w:rPr>
              <w:t>安拆</w:t>
            </w:r>
            <w:r>
              <w:rPr>
                <w:rFonts w:hint="eastAsia" w:ascii="Times New Roman" w:hAnsi="Times New Roman" w:cs="Times New Roman"/>
                <w:sz w:val="24"/>
                <w:lang w:val="en-US" w:eastAsia="zh-CN"/>
              </w:rPr>
              <w:t>工人。</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bookmarkStart w:id="4" w:name="OLE_LINK2"/>
            <w:r>
              <w:rPr>
                <w:rFonts w:hint="eastAsia" w:ascii="Times New Roman" w:hAnsi="Times New Roman" w:cs="Times New Roman"/>
                <w:sz w:val="24"/>
                <w:lang w:val="en-US" w:eastAsia="zh-CN"/>
              </w:rPr>
              <w:t>1项</w:t>
            </w:r>
            <w:bookmarkEnd w:id="4"/>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3174"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ind w:firstLine="0" w:firstLineChars="0"/>
              <w:jc w:val="left"/>
              <w:textAlignment w:val="center"/>
              <w:rPr>
                <w:rFonts w:hint="eastAsia" w:cs="Times New Roman"/>
                <w:sz w:val="24"/>
                <w:lang w:val="en-US" w:eastAsia="zh-CN"/>
              </w:rPr>
            </w:pPr>
            <w:r>
              <w:rPr>
                <w:rFonts w:hint="eastAsia" w:ascii="Times New Roman" w:hAnsi="Times New Roman" w:cs="Times New Roman"/>
                <w:sz w:val="24"/>
                <w:lang w:val="en-US" w:eastAsia="zh-CN"/>
              </w:rPr>
              <w:t>展演颁奖物料制作</w:t>
            </w:r>
            <w:r>
              <w:rPr>
                <w:rFonts w:hint="eastAsia" w:cs="Times New Roman"/>
                <w:sz w:val="24"/>
                <w:lang w:val="en-US" w:eastAsia="zh-CN"/>
              </w:rPr>
              <w:t>服务：</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奖杯100个、荣誉证书100份（A4大小、铜版纸、含外壳）、颁奖背景板（3.5*5米）、流程指引（竖版指引牌2*0.8m、含行架）、媒体采访区物料（含麦牌、手举牌、鲜花、纸巾盒、镜子等），奖杯、定制证书、活动主视觉大型喷绘。</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367"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ascii="Times New Roman" w:hAnsi="Times New Roman" w:cs="Times New Roman"/>
                <w:sz w:val="24"/>
                <w:lang w:val="en-US" w:eastAsia="zh-CN"/>
              </w:rPr>
              <w:t>展演导演团队劳务</w:t>
            </w:r>
            <w:r>
              <w:rPr>
                <w:rFonts w:hint="eastAsia" w:cs="Times New Roman"/>
                <w:sz w:val="24"/>
                <w:lang w:val="en-US" w:eastAsia="zh-CN"/>
              </w:rPr>
              <w:t>服务：</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总导演1名+执行助理1名，全程彩排、流程编排、现场控场，脚本撰写、节目编排、彩排指导、颁奖流程把控。</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367"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ind w:firstLine="0" w:firstLineChars="0"/>
              <w:jc w:val="left"/>
              <w:textAlignment w:val="center"/>
              <w:rPr>
                <w:rFonts w:hint="eastAsia" w:cs="Times New Roman"/>
                <w:sz w:val="24"/>
                <w:lang w:val="en-US" w:eastAsia="zh-CN"/>
              </w:rPr>
            </w:pPr>
            <w:r>
              <w:rPr>
                <w:rFonts w:hint="eastAsia" w:ascii="Times New Roman" w:hAnsi="Times New Roman" w:cs="Times New Roman"/>
                <w:sz w:val="24"/>
                <w:lang w:val="en-US" w:eastAsia="zh-CN"/>
              </w:rPr>
              <w:t>现场配套工作人员</w:t>
            </w:r>
            <w:r>
              <w:rPr>
                <w:rFonts w:hint="eastAsia"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cs="Times New Roman"/>
                <w:sz w:val="24"/>
                <w:lang w:val="en-US" w:eastAsia="zh-CN"/>
              </w:rPr>
              <w:t>提供不少于</w:t>
            </w:r>
            <w:r>
              <w:rPr>
                <w:rFonts w:hint="eastAsia" w:ascii="Times New Roman" w:hAnsi="Times New Roman" w:cs="Times New Roman"/>
                <w:sz w:val="24"/>
                <w:lang w:val="en-US" w:eastAsia="zh-CN"/>
              </w:rPr>
              <w:t>4名安保、6名礼仪、2名摄影、4名机动志愿者，负责活动当天现场礼仪引导工作、现场维持秩序、物资分发、摄影配合等。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367"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ascii="Times New Roman" w:hAnsi="Times New Roman" w:cs="Times New Roman"/>
                <w:sz w:val="24"/>
                <w:lang w:val="en-US" w:eastAsia="zh-CN"/>
              </w:rPr>
              <w:t>全员活动保险</w:t>
            </w:r>
            <w:r>
              <w:rPr>
                <w:rFonts w:hint="eastAsia"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为所有选手、工作人员、专家人身意外险，活动全程人身保障，覆盖彩排+正式展演当日，共</w:t>
            </w:r>
            <w:r>
              <w:rPr>
                <w:rFonts w:hint="eastAsia" w:cs="Times New Roman"/>
                <w:sz w:val="24"/>
                <w:lang w:val="en-US" w:eastAsia="zh-CN"/>
              </w:rPr>
              <w:t>计</w:t>
            </w:r>
            <w:r>
              <w:rPr>
                <w:rFonts w:hint="eastAsia" w:ascii="Times New Roman" w:hAnsi="Times New Roman" w:cs="Times New Roman"/>
                <w:sz w:val="24"/>
                <w:lang w:val="en-US" w:eastAsia="zh-CN"/>
              </w:rPr>
              <w:t>不超150人。</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3576" w:hRule="atLeast"/>
        </w:trPr>
        <w:tc>
          <w:tcPr>
            <w:tcW w:w="648" w:type="dxa"/>
            <w:vMerge w:val="continue"/>
            <w:tcBorders>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ind w:firstLine="0" w:firstLineChars="0"/>
              <w:jc w:val="left"/>
              <w:textAlignment w:val="cente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后勤保障物资采买</w:t>
            </w:r>
            <w:r>
              <w:rPr>
                <w:rFonts w:hint="eastAsia" w:cs="Times New Roman"/>
                <w:sz w:val="24"/>
                <w:lang w:val="en-US" w:eastAsia="zh-CN"/>
              </w:rPr>
              <w:t>服务</w:t>
            </w:r>
            <w:r>
              <w:rPr>
                <w:rFonts w:hint="eastAsia" w:ascii="Times New Roman" w:hAnsi="Times New Roman"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为线下</w:t>
            </w:r>
            <w:r>
              <w:rPr>
                <w:rFonts w:hint="eastAsia" w:cs="Times New Roman"/>
                <w:sz w:val="24"/>
                <w:lang w:val="en-US" w:eastAsia="zh-CN"/>
              </w:rPr>
              <w:t>赛事</w:t>
            </w:r>
            <w:r>
              <w:rPr>
                <w:rFonts w:hint="eastAsia" w:ascii="Times New Roman" w:hAnsi="Times New Roman" w:cs="Times New Roman"/>
                <w:sz w:val="24"/>
                <w:lang w:val="en-US" w:eastAsia="zh-CN"/>
              </w:rPr>
              <w:t>服务、展演及颁奖落地活动提供通信保障服务</w:t>
            </w:r>
            <w:r>
              <w:rPr>
                <w:rFonts w:hint="eastAsia" w:cs="Times New Roman"/>
                <w:sz w:val="24"/>
                <w:lang w:val="en-US" w:eastAsia="zh-CN"/>
              </w:rPr>
              <w:t>，</w:t>
            </w:r>
            <w:r>
              <w:rPr>
                <w:rFonts w:hint="eastAsia" w:ascii="Times New Roman" w:hAnsi="Times New Roman" w:cs="Times New Roman"/>
                <w:sz w:val="24"/>
                <w:lang w:val="en-US" w:eastAsia="zh-CN"/>
              </w:rPr>
              <w:t>含短信、CDN流量充值；活动高峰短信推送、视频上传超额带宽流量等</w:t>
            </w:r>
            <w:r>
              <w:rPr>
                <w:rFonts w:hint="eastAsia" w:cs="Times New Roman"/>
                <w:sz w:val="24"/>
                <w:lang w:val="en-US" w:eastAsia="zh-CN"/>
              </w:rPr>
              <w:t>；</w:t>
            </w:r>
            <w:r>
              <w:rPr>
                <w:rFonts w:hint="eastAsia" w:ascii="Times New Roman" w:hAnsi="Times New Roman" w:cs="Times New Roman"/>
                <w:sz w:val="24"/>
                <w:lang w:val="en-US" w:eastAsia="zh-CN"/>
              </w:rPr>
              <w:t>提供物质耗材</w:t>
            </w:r>
            <w:r>
              <w:rPr>
                <w:rFonts w:hint="eastAsia" w:cs="Times New Roman"/>
                <w:sz w:val="24"/>
                <w:lang w:val="en-US" w:eastAsia="zh-CN"/>
              </w:rPr>
              <w:t>，</w:t>
            </w:r>
            <w:r>
              <w:rPr>
                <w:rFonts w:hint="eastAsia" w:ascii="Times New Roman" w:hAnsi="Times New Roman" w:cs="Times New Roman"/>
                <w:sz w:val="24"/>
                <w:lang w:val="en-US" w:eastAsia="zh-CN"/>
              </w:rPr>
              <w:t>含现场打印/存储耗材</w:t>
            </w:r>
            <w:r>
              <w:rPr>
                <w:rFonts w:hint="eastAsia" w:cs="Times New Roman"/>
                <w:sz w:val="24"/>
                <w:lang w:val="en-US" w:eastAsia="zh-CN"/>
              </w:rPr>
              <w:t>，</w:t>
            </w:r>
            <w:r>
              <w:rPr>
                <w:rFonts w:hint="eastAsia" w:ascii="Times New Roman" w:hAnsi="Times New Roman" w:cs="Times New Roman"/>
                <w:sz w:val="24"/>
                <w:lang w:val="en-US" w:eastAsia="zh-CN"/>
              </w:rPr>
              <w:t>评分表、证件补办、存档移动硬盘、U盘等。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202" w:hRule="atLeast"/>
        </w:trPr>
        <w:tc>
          <w:tcPr>
            <w:tcW w:w="648"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4</w:t>
            </w:r>
          </w:p>
        </w:tc>
        <w:tc>
          <w:tcPr>
            <w:tcW w:w="1290"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cs="宋体"/>
                <w:b/>
                <w:color w:val="000000"/>
                <w:sz w:val="24"/>
                <w:lang w:val="en-US" w:eastAsia="zh-CN"/>
              </w:rPr>
            </w:pPr>
            <w:r>
              <w:rPr>
                <w:rFonts w:hint="eastAsia" w:ascii="宋体" w:hAnsi="宋体" w:eastAsia="宋体" w:cs="宋体"/>
                <w:i w:val="0"/>
                <w:iCs w:val="0"/>
                <w:color w:val="000000"/>
                <w:kern w:val="0"/>
                <w:sz w:val="24"/>
                <w:szCs w:val="24"/>
                <w:u w:val="none"/>
                <w:lang w:eastAsia="zh-Hans" w:bidi="ar"/>
              </w:rPr>
              <w:t>奖品制作及颁发</w:t>
            </w:r>
            <w:r>
              <w:rPr>
                <w:rFonts w:hint="eastAsia" w:ascii="宋体" w:hAnsi="宋体" w:cs="宋体"/>
                <w:i w:val="0"/>
                <w:iCs w:val="0"/>
                <w:color w:val="000000"/>
                <w:kern w:val="0"/>
                <w:sz w:val="24"/>
                <w:szCs w:val="24"/>
                <w:u w:val="none"/>
                <w:lang w:val="en-US" w:eastAsia="zh-CN" w:bidi="ar"/>
              </w:rPr>
              <w:t>服务</w:t>
            </w: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ascii="Times New Roman" w:hAnsi="Times New Roman" w:cs="Times New Roman"/>
                <w:sz w:val="24"/>
                <w:lang w:val="en-US" w:eastAsia="zh-CN"/>
              </w:rPr>
              <w:t>奖品成品采买服务</w:t>
            </w:r>
            <w:r>
              <w:rPr>
                <w:rFonts w:hint="eastAsia"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为活动提供一、二、三等奖、优秀奖共100份实物奖品，如统一规格阅读类文创、书籍套装、电子阅读器等组合礼品等。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1</w:t>
            </w:r>
            <w:r>
              <w:rPr>
                <w:rFonts w:hint="eastAsia" w:cs="Times New Roman"/>
                <w:sz w:val="24"/>
                <w:lang w:val="en-US" w:eastAsia="zh-CN"/>
              </w:rPr>
              <w:t>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122" w:hRule="atLeast"/>
        </w:trPr>
        <w:tc>
          <w:tcPr>
            <w:tcW w:w="648"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cs="宋体"/>
                <w:b/>
                <w:color w:val="000000"/>
                <w:kern w:val="0"/>
                <w:sz w:val="24"/>
                <w:lang w:val="en-US" w:eastAsia="zh-CN" w:bidi="ar"/>
              </w:rPr>
            </w:pPr>
          </w:p>
        </w:tc>
        <w:tc>
          <w:tcPr>
            <w:tcW w:w="1290" w:type="dxa"/>
            <w:vMerge w:val="continue"/>
            <w:tcBorders>
              <w:left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ascii="Times New Roman" w:hAnsi="Times New Roman" w:cs="Times New Roman"/>
                <w:sz w:val="24"/>
                <w:lang w:val="en-US" w:eastAsia="zh-CN"/>
              </w:rPr>
              <w:t>奖品设计制作服务</w:t>
            </w:r>
            <w:r>
              <w:rPr>
                <w:rFonts w:hint="eastAsia"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为以上100份活动奖品提供全套奖品包装、礼盒设计、活动专属图案设计印刷等服务。</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1套</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r>
        <w:tblPrEx>
          <w:tblCellMar>
            <w:top w:w="15" w:type="dxa"/>
            <w:left w:w="15" w:type="dxa"/>
            <w:bottom w:w="15" w:type="dxa"/>
            <w:right w:w="15" w:type="dxa"/>
          </w:tblCellMar>
        </w:tblPrEx>
        <w:trPr>
          <w:trHeight w:val="2342" w:hRule="atLeast"/>
        </w:trPr>
        <w:tc>
          <w:tcPr>
            <w:tcW w:w="648" w:type="dxa"/>
            <w:vMerge w:val="continue"/>
            <w:tcBorders>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kern w:val="0"/>
                <w:sz w:val="24"/>
                <w:lang w:val="en-US" w:eastAsia="zh-CN" w:bidi="ar"/>
              </w:rPr>
            </w:pPr>
          </w:p>
        </w:tc>
        <w:tc>
          <w:tcPr>
            <w:tcW w:w="1290" w:type="dxa"/>
            <w:vMerge w:val="continue"/>
            <w:tcBorders>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cs="宋体"/>
                <w:b/>
                <w:color w:val="000000"/>
                <w:sz w:val="24"/>
                <w:lang w:eastAsia="zh-Hans"/>
              </w:rPr>
            </w:pPr>
          </w:p>
        </w:tc>
        <w:tc>
          <w:tcPr>
            <w:tcW w:w="42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left"/>
              <w:textAlignment w:val="center"/>
              <w:rPr>
                <w:rFonts w:hint="eastAsia" w:cs="Times New Roman"/>
                <w:sz w:val="24"/>
                <w:lang w:val="en-US" w:eastAsia="zh-CN"/>
              </w:rPr>
            </w:pPr>
            <w:r>
              <w:rPr>
                <w:rFonts w:hint="eastAsia" w:ascii="Times New Roman" w:hAnsi="Times New Roman" w:cs="Times New Roman"/>
                <w:sz w:val="24"/>
                <w:lang w:val="en-US" w:eastAsia="zh-CN"/>
              </w:rPr>
              <w:t>活动奖品颁发及管理服务</w:t>
            </w:r>
            <w:r>
              <w:rPr>
                <w:rFonts w:hint="eastAsia" w:cs="Times New Roman"/>
                <w:sz w:val="24"/>
                <w:lang w:val="en-US" w:eastAsia="zh-CN"/>
              </w:rPr>
              <w:t>：</w:t>
            </w:r>
          </w:p>
          <w:p>
            <w:pPr>
              <w:widowControl/>
              <w:spacing w:line="360" w:lineRule="auto"/>
              <w:ind w:firstLine="480" w:firstLineChars="200"/>
              <w:jc w:val="left"/>
              <w:textAlignment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提供奖品仓储登记、线下颁奖分发、未到场选手快递邮寄、物流费，奖品损坏补发、漏发选手二次邮寄费用等。</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1项</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auto"/>
              <w:jc w:val="center"/>
              <w:textAlignment w:val="center"/>
              <w:rPr>
                <w:rFonts w:hint="eastAsia" w:ascii="Times New Roman" w:hAnsi="Times New Roman" w:cs="Times New Roman"/>
                <w:sz w:val="24"/>
                <w:lang w:val="en-US" w:eastAsia="zh-Hans"/>
              </w:rPr>
            </w:pPr>
          </w:p>
        </w:tc>
      </w:tr>
    </w:tbl>
    <w:p>
      <w:pPr>
        <w:pStyle w:val="2"/>
      </w:pPr>
    </w:p>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2"/>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5" w:name="_Toc54357656"/>
      <w:bookmarkStart w:id="6" w:name="_Toc1651899"/>
      <w:bookmarkStart w:id="7" w:name="_Toc475472674"/>
      <w:r>
        <w:rPr>
          <w:rFonts w:hint="eastAsia" w:ascii="宋体" w:hAnsi="宋体" w:cs="宋体"/>
          <w:sz w:val="28"/>
          <w:szCs w:val="28"/>
        </w:rPr>
        <w:t>五、授权代表证明资料</w:t>
      </w:r>
    </w:p>
    <w:p>
      <w:pPr>
        <w:pStyle w:val="4"/>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5"/>
      <w:bookmarkEnd w:id="6"/>
      <w:bookmarkEnd w:id="7"/>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4"/>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4"/>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5"/>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r>
        <w:rPr>
          <w:rFonts w:hint="eastAsia" w:hAnsi="宋体"/>
          <w:b/>
          <w:sz w:val="24"/>
          <w:szCs w:val="24"/>
          <w:u w:val="single"/>
        </w:rPr>
        <w:t>线上海选及落地推广执行服务项目（包组二）</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lang w:val="en-US" w:eastAsia="zh-CN"/>
                        </w:rPr>
                        <w:t xml:space="preserve">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lang w:val="en-US" w:eastAsia="zh-CN"/>
          </w:rPr>
        </w:sdtEndPr>
        <w:sdtContent>
          <w:r>
            <w:rPr>
              <w:rFonts w:hint="eastAsia" w:hAnsi="宋体"/>
              <w:b/>
              <w:sz w:val="24"/>
              <w:szCs w:val="24"/>
              <w:u w:val="single"/>
            </w:rPr>
            <w:t>：</w:t>
          </w:r>
          <w:r>
            <w:rPr>
              <w:rFonts w:hint="default" w:hAnsi="宋体"/>
              <w:b/>
              <w:sz w:val="24"/>
              <w:szCs w:val="24"/>
              <w:u w:val="single"/>
              <w:lang w:val="en-US" w:eastAsia="zh-CN"/>
            </w:rPr>
            <w:t>ND26080090GZ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bookmarkStart w:id="11" w:name="_GoBack"/>
      <w:bookmarkEnd w:id="11"/>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2"/>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2"/>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2"/>
        <w:spacing w:line="360" w:lineRule="auto"/>
        <w:jc w:val="right"/>
        <w:rPr>
          <w:rFonts w:hAnsi="宋体"/>
          <w:sz w:val="24"/>
          <w:szCs w:val="24"/>
        </w:rPr>
      </w:pPr>
    </w:p>
    <w:p>
      <w:pPr>
        <w:pStyle w:val="22"/>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2"/>
        <w:spacing w:line="360" w:lineRule="auto"/>
        <w:jc w:val="right"/>
        <w:rPr>
          <w:rFonts w:hAnsi="宋体"/>
          <w:sz w:val="24"/>
          <w:szCs w:val="24"/>
        </w:rPr>
      </w:pPr>
    </w:p>
    <w:p>
      <w:pPr>
        <w:pStyle w:val="22"/>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2"/>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8" w:name="_Toc475472676"/>
      <w:bookmarkStart w:id="9" w:name="_Toc34146941"/>
      <w:bookmarkStart w:id="10" w:name="_Toc1651903"/>
      <w:r>
        <w:rPr>
          <w:rFonts w:hint="eastAsia" w:ascii="宋体" w:hAnsi="宋体" w:cs="宋体"/>
          <w:kern w:val="0"/>
          <w:sz w:val="28"/>
          <w:szCs w:val="28"/>
        </w:rPr>
        <w:t>六、供应商项目实施能力证明资料</w:t>
      </w:r>
      <w:bookmarkEnd w:id="8"/>
      <w:bookmarkEnd w:id="9"/>
      <w:bookmarkEnd w:id="10"/>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7"/>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ascii="宋体" w:hAnsi="宋体" w:cs="宋体"/>
      </w:rPr>
    </w:pPr>
    <w:r>
      <w:rPr>
        <w:rFonts w:hint="eastAsia" w:ascii="宋体" w:hAnsi="宋体" w:cs="宋体"/>
      </w:rPr>
      <w:t>线上海选及落地推广执行服务项目（包组二）（项目编号：ND26080090GZ）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07A89"/>
    <w:rsid w:val="02A770EE"/>
    <w:rsid w:val="030E4985"/>
    <w:rsid w:val="03134554"/>
    <w:rsid w:val="037E62D4"/>
    <w:rsid w:val="058362D4"/>
    <w:rsid w:val="05D07568"/>
    <w:rsid w:val="06B32422"/>
    <w:rsid w:val="07517424"/>
    <w:rsid w:val="07C17E77"/>
    <w:rsid w:val="07FE3355"/>
    <w:rsid w:val="08527B4E"/>
    <w:rsid w:val="08643E10"/>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087630"/>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327110"/>
    <w:rsid w:val="1D6A328E"/>
    <w:rsid w:val="1D7A1605"/>
    <w:rsid w:val="1D960F37"/>
    <w:rsid w:val="1DE366A8"/>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61F610C"/>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EF17A71"/>
    <w:rsid w:val="2F6865B6"/>
    <w:rsid w:val="2F99196E"/>
    <w:rsid w:val="2FF84ACE"/>
    <w:rsid w:val="30C063C7"/>
    <w:rsid w:val="30E772EF"/>
    <w:rsid w:val="316C5182"/>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8BF0EB6"/>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263D83"/>
    <w:rsid w:val="4A95628F"/>
    <w:rsid w:val="4AEA6C89"/>
    <w:rsid w:val="4B402DCD"/>
    <w:rsid w:val="4B615C35"/>
    <w:rsid w:val="4BBD3412"/>
    <w:rsid w:val="4BC8234F"/>
    <w:rsid w:val="4C8011B4"/>
    <w:rsid w:val="4CBB7E1C"/>
    <w:rsid w:val="4D8F32B7"/>
    <w:rsid w:val="4DBB65F5"/>
    <w:rsid w:val="4ECC2059"/>
    <w:rsid w:val="4F4C2886"/>
    <w:rsid w:val="4F500B2B"/>
    <w:rsid w:val="4F561F28"/>
    <w:rsid w:val="4F600955"/>
    <w:rsid w:val="4F73032A"/>
    <w:rsid w:val="4FB92AA5"/>
    <w:rsid w:val="4FD556F6"/>
    <w:rsid w:val="4FF1626F"/>
    <w:rsid w:val="514F762F"/>
    <w:rsid w:val="52214C56"/>
    <w:rsid w:val="52495CC9"/>
    <w:rsid w:val="524E0549"/>
    <w:rsid w:val="52D05BD0"/>
    <w:rsid w:val="52D6665D"/>
    <w:rsid w:val="533B5338"/>
    <w:rsid w:val="535610E6"/>
    <w:rsid w:val="53C07BE7"/>
    <w:rsid w:val="55FF36BB"/>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FC117B"/>
    <w:rsid w:val="659870B5"/>
    <w:rsid w:val="65A75C0C"/>
    <w:rsid w:val="65CE735E"/>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5F4957"/>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4">
    <w:name w:val="heading 2"/>
    <w:basedOn w:val="1"/>
    <w:next w:val="5"/>
    <w:link w:val="46"/>
    <w:qFormat/>
    <w:uiPriority w:val="9"/>
    <w:pPr>
      <w:keepNext/>
      <w:keepLines/>
      <w:spacing w:before="260" w:after="260" w:line="416" w:lineRule="auto"/>
      <w:outlineLvl w:val="1"/>
    </w:pPr>
    <w:rPr>
      <w:rFonts w:ascii="Arial" w:hAnsi="Arial" w:eastAsia="黑体"/>
      <w:b/>
      <w:bCs/>
      <w:sz w:val="32"/>
      <w:szCs w:val="32"/>
    </w:rPr>
  </w:style>
  <w:style w:type="paragraph" w:styleId="6">
    <w:name w:val="heading 3"/>
    <w:basedOn w:val="1"/>
    <w:next w:val="5"/>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7">
    <w:name w:val="heading 4"/>
    <w:basedOn w:val="1"/>
    <w:next w:val="1"/>
    <w:link w:val="49"/>
    <w:qFormat/>
    <w:uiPriority w:val="0"/>
    <w:pPr>
      <w:keepNext/>
      <w:outlineLvl w:val="3"/>
    </w:pPr>
    <w:rPr>
      <w:sz w:val="28"/>
      <w:szCs w:val="20"/>
    </w:rPr>
  </w:style>
  <w:style w:type="paragraph" w:styleId="8">
    <w:name w:val="heading 5"/>
    <w:basedOn w:val="1"/>
    <w:next w:val="1"/>
    <w:link w:val="50"/>
    <w:qFormat/>
    <w:uiPriority w:val="0"/>
    <w:pPr>
      <w:keepNext/>
      <w:keepLines/>
      <w:spacing w:before="280" w:after="290" w:line="376" w:lineRule="auto"/>
      <w:outlineLvl w:val="4"/>
    </w:pPr>
    <w:rPr>
      <w:b/>
      <w:bCs/>
      <w:sz w:val="28"/>
      <w:szCs w:val="28"/>
    </w:rPr>
  </w:style>
  <w:style w:type="paragraph" w:styleId="9">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10">
    <w:name w:val="heading 7"/>
    <w:basedOn w:val="1"/>
    <w:next w:val="1"/>
    <w:link w:val="52"/>
    <w:qFormat/>
    <w:uiPriority w:val="0"/>
    <w:pPr>
      <w:keepNext/>
      <w:keepLines/>
      <w:spacing w:before="240" w:after="64" w:line="320" w:lineRule="auto"/>
      <w:outlineLvl w:val="6"/>
    </w:pPr>
    <w:rPr>
      <w:b/>
      <w:bCs/>
      <w:sz w:val="24"/>
    </w:rPr>
  </w:style>
  <w:style w:type="paragraph" w:styleId="11">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39"/>
    <w:pPr>
      <w:tabs>
        <w:tab w:val="left" w:pos="567"/>
        <w:tab w:val="right" w:leader="dot" w:pos="8505"/>
        <w:tab w:val="right" w:leader="dot" w:pos="9628"/>
      </w:tabs>
      <w:spacing w:line="440" w:lineRule="exact"/>
    </w:pPr>
  </w:style>
  <w:style w:type="paragraph" w:styleId="5">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3">
    <w:name w:val="toc 7"/>
    <w:basedOn w:val="1"/>
    <w:next w:val="1"/>
    <w:unhideWhenUsed/>
    <w:qFormat/>
    <w:uiPriority w:val="39"/>
    <w:pPr>
      <w:ind w:left="2520" w:leftChars="1200"/>
    </w:pPr>
    <w:rPr>
      <w:rFonts w:ascii="Calibri" w:hAnsi="Calibri"/>
      <w:szCs w:val="22"/>
    </w:rPr>
  </w:style>
  <w:style w:type="paragraph" w:styleId="14">
    <w:name w:val="Document Map"/>
    <w:basedOn w:val="1"/>
    <w:link w:val="57"/>
    <w:semiHidden/>
    <w:qFormat/>
    <w:uiPriority w:val="0"/>
    <w:rPr>
      <w:rFonts w:ascii="宋体"/>
      <w:sz w:val="18"/>
      <w:szCs w:val="18"/>
    </w:rPr>
  </w:style>
  <w:style w:type="paragraph" w:styleId="15">
    <w:name w:val="annotation text"/>
    <w:basedOn w:val="1"/>
    <w:link w:val="55"/>
    <w:unhideWhenUsed/>
    <w:qFormat/>
    <w:uiPriority w:val="99"/>
    <w:pPr>
      <w:jc w:val="left"/>
    </w:pPr>
  </w:style>
  <w:style w:type="paragraph" w:styleId="16">
    <w:name w:val="Body Text 3"/>
    <w:basedOn w:val="1"/>
    <w:link w:val="58"/>
    <w:unhideWhenUsed/>
    <w:qFormat/>
    <w:uiPriority w:val="99"/>
    <w:pPr>
      <w:spacing w:after="120"/>
    </w:pPr>
    <w:rPr>
      <w:sz w:val="16"/>
      <w:szCs w:val="16"/>
    </w:rPr>
  </w:style>
  <w:style w:type="paragraph" w:styleId="17">
    <w:name w:val="Body Text"/>
    <w:basedOn w:val="1"/>
    <w:link w:val="59"/>
    <w:qFormat/>
    <w:uiPriority w:val="99"/>
    <w:rPr>
      <w:sz w:val="28"/>
      <w:szCs w:val="20"/>
    </w:rPr>
  </w:style>
  <w:style w:type="paragraph" w:styleId="18">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9">
    <w:name w:val="List 2"/>
    <w:basedOn w:val="1"/>
    <w:qFormat/>
    <w:uiPriority w:val="0"/>
    <w:pPr>
      <w:ind w:left="100" w:leftChars="200" w:hanging="200" w:hangingChars="200"/>
    </w:pPr>
  </w:style>
  <w:style w:type="paragraph" w:styleId="20">
    <w:name w:val="toc 5"/>
    <w:basedOn w:val="1"/>
    <w:next w:val="1"/>
    <w:unhideWhenUsed/>
    <w:qFormat/>
    <w:uiPriority w:val="39"/>
    <w:pPr>
      <w:ind w:left="1680" w:leftChars="800"/>
    </w:pPr>
    <w:rPr>
      <w:rFonts w:ascii="Calibri" w:hAnsi="Calibri"/>
      <w:szCs w:val="22"/>
    </w:rPr>
  </w:style>
  <w:style w:type="paragraph" w:styleId="21">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2">
    <w:name w:val="Plain Text"/>
    <w:basedOn w:val="1"/>
    <w:link w:val="61"/>
    <w:qFormat/>
    <w:uiPriority w:val="0"/>
    <w:rPr>
      <w:rFonts w:ascii="宋体" w:hAnsi="Courier New"/>
      <w:szCs w:val="20"/>
    </w:rPr>
  </w:style>
  <w:style w:type="paragraph" w:styleId="23">
    <w:name w:val="toc 8"/>
    <w:basedOn w:val="1"/>
    <w:next w:val="1"/>
    <w:unhideWhenUsed/>
    <w:qFormat/>
    <w:uiPriority w:val="39"/>
    <w:pPr>
      <w:ind w:left="2940" w:leftChars="1400"/>
    </w:pPr>
    <w:rPr>
      <w:rFonts w:ascii="Calibri" w:hAnsi="Calibri"/>
      <w:szCs w:val="22"/>
    </w:rPr>
  </w:style>
  <w:style w:type="paragraph" w:styleId="24">
    <w:name w:val="Date"/>
    <w:basedOn w:val="1"/>
    <w:next w:val="1"/>
    <w:link w:val="62"/>
    <w:qFormat/>
    <w:uiPriority w:val="0"/>
    <w:pPr>
      <w:ind w:left="100" w:leftChars="2500"/>
    </w:pPr>
    <w:rPr>
      <w:szCs w:val="20"/>
    </w:rPr>
  </w:style>
  <w:style w:type="paragraph" w:styleId="25">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6">
    <w:name w:val="Balloon Text"/>
    <w:basedOn w:val="1"/>
    <w:link w:val="64"/>
    <w:unhideWhenUsed/>
    <w:qFormat/>
    <w:uiPriority w:val="0"/>
    <w:rPr>
      <w:sz w:val="18"/>
      <w:szCs w:val="18"/>
    </w:rPr>
  </w:style>
  <w:style w:type="paragraph" w:styleId="27">
    <w:name w:val="footer"/>
    <w:basedOn w:val="1"/>
    <w:link w:val="65"/>
    <w:unhideWhenUsed/>
    <w:qFormat/>
    <w:uiPriority w:val="0"/>
    <w:pPr>
      <w:tabs>
        <w:tab w:val="center" w:pos="4153"/>
        <w:tab w:val="right" w:pos="8306"/>
      </w:tabs>
      <w:snapToGrid w:val="0"/>
      <w:jc w:val="left"/>
    </w:pPr>
    <w:rPr>
      <w:sz w:val="18"/>
      <w:szCs w:val="18"/>
    </w:rPr>
  </w:style>
  <w:style w:type="paragraph" w:styleId="28">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30">
    <w:name w:val="toc 4"/>
    <w:basedOn w:val="1"/>
    <w:next w:val="1"/>
    <w:unhideWhenUsed/>
    <w:qFormat/>
    <w:uiPriority w:val="39"/>
    <w:pPr>
      <w:ind w:left="1260" w:leftChars="600"/>
    </w:pPr>
    <w:rPr>
      <w:rFonts w:ascii="Calibri" w:hAnsi="Calibri"/>
      <w:szCs w:val="22"/>
    </w:rPr>
  </w:style>
  <w:style w:type="paragraph" w:styleId="31">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2">
    <w:name w:val="toc 6"/>
    <w:basedOn w:val="1"/>
    <w:next w:val="1"/>
    <w:unhideWhenUsed/>
    <w:qFormat/>
    <w:uiPriority w:val="39"/>
    <w:pPr>
      <w:ind w:left="2100" w:leftChars="1000"/>
    </w:pPr>
    <w:rPr>
      <w:rFonts w:ascii="Calibri" w:hAnsi="Calibri"/>
      <w:szCs w:val="22"/>
    </w:rPr>
  </w:style>
  <w:style w:type="paragraph" w:styleId="33">
    <w:name w:val="Body Text Indent 3"/>
    <w:basedOn w:val="1"/>
    <w:link w:val="68"/>
    <w:qFormat/>
    <w:uiPriority w:val="0"/>
    <w:pPr>
      <w:spacing w:after="120" w:line="360" w:lineRule="atLeast"/>
      <w:ind w:firstLine="720" w:firstLineChars="300"/>
    </w:pPr>
    <w:rPr>
      <w:sz w:val="24"/>
      <w:szCs w:val="20"/>
    </w:r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5"/>
    <w:next w:val="15"/>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3"/>
    <w:qFormat/>
    <w:uiPriority w:val="0"/>
    <w:rPr>
      <w:rFonts w:ascii="Times New Roman" w:hAnsi="Times New Roman" w:eastAsia="宋体" w:cs="Times New Roman"/>
      <w:b/>
      <w:bCs/>
      <w:kern w:val="44"/>
      <w:sz w:val="44"/>
      <w:szCs w:val="44"/>
    </w:rPr>
  </w:style>
  <w:style w:type="character" w:customStyle="1" w:styleId="46">
    <w:name w:val="标题 2 字符"/>
    <w:basedOn w:val="40"/>
    <w:link w:val="4"/>
    <w:qFormat/>
    <w:uiPriority w:val="9"/>
    <w:rPr>
      <w:rFonts w:ascii="Arial" w:hAnsi="Arial" w:eastAsia="黑体" w:cs="Times New Roman"/>
      <w:b/>
      <w:bCs/>
      <w:sz w:val="32"/>
      <w:szCs w:val="32"/>
    </w:rPr>
  </w:style>
  <w:style w:type="character" w:customStyle="1" w:styleId="47">
    <w:name w:val="正文缩进 字符"/>
    <w:link w:val="5"/>
    <w:qFormat/>
    <w:uiPriority w:val="0"/>
    <w:rPr>
      <w:rFonts w:ascii="楷体_GB2312" w:eastAsia="楷体_GB2312"/>
      <w:sz w:val="28"/>
    </w:rPr>
  </w:style>
  <w:style w:type="character" w:customStyle="1" w:styleId="48">
    <w:name w:val="标题 3 字符"/>
    <w:basedOn w:val="40"/>
    <w:link w:val="6"/>
    <w:qFormat/>
    <w:uiPriority w:val="0"/>
    <w:rPr>
      <w:rFonts w:ascii="黑体" w:hAnsi="Times New Roman" w:eastAsia="黑体" w:cs="Times New Roman"/>
      <w:kern w:val="0"/>
      <w:sz w:val="28"/>
      <w:szCs w:val="20"/>
    </w:rPr>
  </w:style>
  <w:style w:type="character" w:customStyle="1" w:styleId="49">
    <w:name w:val="标题 4 字符"/>
    <w:basedOn w:val="40"/>
    <w:link w:val="7"/>
    <w:qFormat/>
    <w:uiPriority w:val="0"/>
    <w:rPr>
      <w:rFonts w:ascii="Times New Roman" w:hAnsi="Times New Roman" w:eastAsia="宋体" w:cs="Times New Roman"/>
      <w:sz w:val="28"/>
      <w:szCs w:val="20"/>
    </w:rPr>
  </w:style>
  <w:style w:type="character" w:customStyle="1" w:styleId="50">
    <w:name w:val="标题 5 字符"/>
    <w:basedOn w:val="40"/>
    <w:link w:val="8"/>
    <w:qFormat/>
    <w:uiPriority w:val="0"/>
    <w:rPr>
      <w:rFonts w:ascii="Times New Roman" w:hAnsi="Times New Roman" w:eastAsia="宋体" w:cs="Times New Roman"/>
      <w:b/>
      <w:bCs/>
      <w:sz w:val="28"/>
      <w:szCs w:val="28"/>
    </w:rPr>
  </w:style>
  <w:style w:type="character" w:customStyle="1" w:styleId="51">
    <w:name w:val="标题 6 字符"/>
    <w:basedOn w:val="40"/>
    <w:link w:val="9"/>
    <w:qFormat/>
    <w:uiPriority w:val="0"/>
    <w:rPr>
      <w:rFonts w:ascii="Arial" w:hAnsi="Arial" w:eastAsia="黑体" w:cs="Times New Roman"/>
      <w:b/>
      <w:bCs/>
      <w:sz w:val="28"/>
      <w:szCs w:val="24"/>
    </w:rPr>
  </w:style>
  <w:style w:type="character" w:customStyle="1" w:styleId="52">
    <w:name w:val="标题 7 字符"/>
    <w:basedOn w:val="40"/>
    <w:link w:val="10"/>
    <w:qFormat/>
    <w:uiPriority w:val="0"/>
    <w:rPr>
      <w:rFonts w:ascii="Times New Roman" w:hAnsi="Times New Roman" w:eastAsia="宋体" w:cs="Times New Roman"/>
      <w:b/>
      <w:bCs/>
      <w:sz w:val="24"/>
      <w:szCs w:val="24"/>
    </w:rPr>
  </w:style>
  <w:style w:type="character" w:customStyle="1" w:styleId="53">
    <w:name w:val="标题 8 字符"/>
    <w:basedOn w:val="40"/>
    <w:link w:val="11"/>
    <w:qFormat/>
    <w:uiPriority w:val="0"/>
    <w:rPr>
      <w:rFonts w:ascii="Arial" w:hAnsi="Arial" w:eastAsia="黑体" w:cs="Times New Roman"/>
      <w:sz w:val="24"/>
      <w:szCs w:val="24"/>
    </w:rPr>
  </w:style>
  <w:style w:type="character" w:customStyle="1" w:styleId="54">
    <w:name w:val="标题 9 字符"/>
    <w:basedOn w:val="40"/>
    <w:link w:val="12"/>
    <w:qFormat/>
    <w:uiPriority w:val="0"/>
    <w:rPr>
      <w:rFonts w:ascii="Arial" w:hAnsi="Arial" w:eastAsia="黑体" w:cs="Times New Roman"/>
      <w:szCs w:val="21"/>
    </w:rPr>
  </w:style>
  <w:style w:type="character" w:customStyle="1" w:styleId="55">
    <w:name w:val="批注文字 字符"/>
    <w:basedOn w:val="40"/>
    <w:link w:val="15"/>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4"/>
    <w:semiHidden/>
    <w:qFormat/>
    <w:uiPriority w:val="0"/>
    <w:rPr>
      <w:rFonts w:ascii="宋体" w:hAnsi="Times New Roman" w:eastAsia="宋体" w:cs="Times New Roman"/>
      <w:sz w:val="18"/>
      <w:szCs w:val="18"/>
    </w:rPr>
  </w:style>
  <w:style w:type="character" w:customStyle="1" w:styleId="58">
    <w:name w:val="正文文本 3 字符"/>
    <w:basedOn w:val="40"/>
    <w:link w:val="16"/>
    <w:semiHidden/>
    <w:qFormat/>
    <w:uiPriority w:val="99"/>
    <w:rPr>
      <w:rFonts w:ascii="Times New Roman" w:hAnsi="Times New Roman" w:eastAsia="宋体" w:cs="Times New Roman"/>
      <w:sz w:val="16"/>
      <w:szCs w:val="16"/>
    </w:rPr>
  </w:style>
  <w:style w:type="character" w:customStyle="1" w:styleId="59">
    <w:name w:val="正文文本 字符"/>
    <w:basedOn w:val="40"/>
    <w:link w:val="17"/>
    <w:qFormat/>
    <w:uiPriority w:val="0"/>
    <w:rPr>
      <w:rFonts w:ascii="Times New Roman" w:hAnsi="Times New Roman" w:eastAsia="宋体" w:cs="Times New Roman"/>
      <w:sz w:val="28"/>
      <w:szCs w:val="20"/>
    </w:rPr>
  </w:style>
  <w:style w:type="character" w:customStyle="1" w:styleId="60">
    <w:name w:val="正文文本缩进 字符"/>
    <w:basedOn w:val="40"/>
    <w:link w:val="18"/>
    <w:qFormat/>
    <w:uiPriority w:val="0"/>
    <w:rPr>
      <w:rFonts w:ascii="楷体_GB2312" w:hAnsi="Times New Roman" w:eastAsia="楷体_GB2312" w:cs="Times New Roman"/>
      <w:kern w:val="0"/>
      <w:sz w:val="28"/>
      <w:szCs w:val="20"/>
    </w:rPr>
  </w:style>
  <w:style w:type="character" w:customStyle="1" w:styleId="61">
    <w:name w:val="纯文本 字符"/>
    <w:basedOn w:val="40"/>
    <w:link w:val="22"/>
    <w:qFormat/>
    <w:uiPriority w:val="0"/>
    <w:rPr>
      <w:rFonts w:ascii="宋体" w:hAnsi="Courier New" w:eastAsia="宋体" w:cs="Times New Roman"/>
      <w:szCs w:val="20"/>
    </w:rPr>
  </w:style>
  <w:style w:type="character" w:customStyle="1" w:styleId="62">
    <w:name w:val="日期 字符"/>
    <w:basedOn w:val="40"/>
    <w:link w:val="24"/>
    <w:qFormat/>
    <w:uiPriority w:val="0"/>
    <w:rPr>
      <w:rFonts w:ascii="Times New Roman" w:hAnsi="Times New Roman" w:eastAsia="宋体" w:cs="Times New Roman"/>
      <w:szCs w:val="20"/>
    </w:rPr>
  </w:style>
  <w:style w:type="character" w:customStyle="1" w:styleId="63">
    <w:name w:val="正文文本缩进 2 字符"/>
    <w:basedOn w:val="40"/>
    <w:link w:val="25"/>
    <w:qFormat/>
    <w:uiPriority w:val="0"/>
    <w:rPr>
      <w:rFonts w:ascii="仿宋_GB2312" w:hAnsi="宋体" w:eastAsia="仿宋_GB2312" w:cs="Times New Roman"/>
      <w:sz w:val="24"/>
      <w:szCs w:val="24"/>
    </w:rPr>
  </w:style>
  <w:style w:type="character" w:customStyle="1" w:styleId="64">
    <w:name w:val="批注框文本 字符"/>
    <w:basedOn w:val="40"/>
    <w:link w:val="26"/>
    <w:semiHidden/>
    <w:qFormat/>
    <w:uiPriority w:val="0"/>
    <w:rPr>
      <w:rFonts w:ascii="Times New Roman" w:hAnsi="Times New Roman" w:eastAsia="宋体" w:cs="Times New Roman"/>
      <w:sz w:val="18"/>
      <w:szCs w:val="18"/>
    </w:rPr>
  </w:style>
  <w:style w:type="character" w:customStyle="1" w:styleId="65">
    <w:name w:val="页脚 字符"/>
    <w:basedOn w:val="40"/>
    <w:link w:val="27"/>
    <w:qFormat/>
    <w:uiPriority w:val="0"/>
    <w:rPr>
      <w:rFonts w:ascii="Times New Roman" w:hAnsi="Times New Roman" w:eastAsia="宋体" w:cs="Times New Roman"/>
      <w:sz w:val="18"/>
      <w:szCs w:val="18"/>
    </w:rPr>
  </w:style>
  <w:style w:type="character" w:customStyle="1" w:styleId="66">
    <w:name w:val="页眉 字符"/>
    <w:basedOn w:val="40"/>
    <w:link w:val="28"/>
    <w:qFormat/>
    <w:uiPriority w:val="0"/>
    <w:rPr>
      <w:rFonts w:ascii="Times New Roman" w:hAnsi="Times New Roman" w:eastAsia="宋体" w:cs="Times New Roman"/>
      <w:sz w:val="18"/>
      <w:szCs w:val="18"/>
    </w:rPr>
  </w:style>
  <w:style w:type="character" w:customStyle="1" w:styleId="67">
    <w:name w:val="副标题 字符"/>
    <w:basedOn w:val="40"/>
    <w:link w:val="31"/>
    <w:qFormat/>
    <w:uiPriority w:val="0"/>
    <w:rPr>
      <w:rFonts w:ascii="Cambria" w:hAnsi="Cambria" w:eastAsia="宋体" w:cs="黑体"/>
      <w:b/>
      <w:bCs/>
      <w:kern w:val="28"/>
      <w:sz w:val="32"/>
      <w:szCs w:val="32"/>
    </w:rPr>
  </w:style>
  <w:style w:type="character" w:customStyle="1" w:styleId="68">
    <w:name w:val="正文文本缩进 3 字符"/>
    <w:basedOn w:val="40"/>
    <w:link w:val="33"/>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3"/>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4"/>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4"/>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6"/>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2"/>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0</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WPS_1725933743</cp:lastModifiedBy>
  <cp:lastPrinted>2021-06-11T08:09:00Z</cp:lastPrinted>
  <dcterms:modified xsi:type="dcterms:W3CDTF">2026-08-19T07:42:13Z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5F68FE108B9F4C27A4D8A6B06701609A</vt:lpwstr>
  </property>
</Properties>
</file>