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D0DBC">
      <w:pPr>
        <w:spacing w:line="276" w:lineRule="auto"/>
        <w:jc w:val="center"/>
        <w:rPr>
          <w:rFonts w:hint="eastAsia" w:ascii="仿宋" w:hAnsi="仿宋" w:eastAsia="仿宋" w:cs="仿宋"/>
          <w:b/>
          <w:bCs/>
          <w:sz w:val="44"/>
          <w:szCs w:val="44"/>
          <w:highlight w:val="none"/>
          <w:shd w:val="clear" w:color="auto" w:fill="FFFFFF"/>
        </w:rPr>
      </w:pPr>
    </w:p>
    <w:p w14:paraId="020BBCF3">
      <w:pPr>
        <w:keepNext w:val="0"/>
        <w:keepLines w:val="0"/>
        <w:widowControl/>
        <w:suppressLineNumbers w:val="0"/>
        <w:jc w:val="center"/>
        <w:rPr>
          <w:rFonts w:hint="eastAsia" w:ascii="仿宋" w:hAnsi="仿宋" w:eastAsia="仿宋" w:cs="仿宋"/>
          <w:b/>
          <w:bCs/>
          <w:sz w:val="44"/>
          <w:szCs w:val="44"/>
          <w:highlight w:val="none"/>
          <w:shd w:val="clear" w:color="auto" w:fill="FFFFFF"/>
          <w:lang w:val="en-US" w:eastAsia="zh-CN"/>
        </w:rPr>
      </w:pPr>
      <w:r>
        <w:rPr>
          <w:rFonts w:hint="eastAsia" w:ascii="仿宋" w:hAnsi="仿宋" w:eastAsia="仿宋" w:cs="仿宋"/>
          <w:b/>
          <w:bCs/>
          <w:sz w:val="44"/>
          <w:szCs w:val="44"/>
          <w:highlight w:val="none"/>
          <w:shd w:val="clear" w:color="auto" w:fill="FFFFFF"/>
          <w:lang w:val="en-US" w:eastAsia="zh-CN"/>
        </w:rPr>
        <w:t>2026年新型肥料品牌宣传项目之视频服务</w:t>
      </w:r>
    </w:p>
    <w:p w14:paraId="46AA2269">
      <w:pPr>
        <w:spacing w:line="276" w:lineRule="auto"/>
        <w:jc w:val="center"/>
        <w:rPr>
          <w:rFonts w:hint="eastAsia" w:ascii="仿宋" w:hAnsi="仿宋" w:eastAsia="仿宋" w:cs="仿宋"/>
          <w:b/>
          <w:bCs/>
          <w:sz w:val="44"/>
          <w:szCs w:val="44"/>
          <w:highlight w:val="none"/>
          <w:shd w:val="clear" w:color="auto" w:fill="FFFFFF"/>
          <w:lang w:val="en-US" w:eastAsia="zh-CN"/>
        </w:rPr>
      </w:pPr>
    </w:p>
    <w:p w14:paraId="172B0D47">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14:paraId="502E6852">
      <w:pPr>
        <w:spacing w:line="276" w:lineRule="auto"/>
        <w:jc w:val="center"/>
        <w:rPr>
          <w:rFonts w:ascii="方正小标宋简体" w:hAnsi="方正小标宋简体" w:eastAsia="方正小标宋简体" w:cs="方正小标宋简体"/>
          <w:color w:val="000000"/>
          <w:spacing w:val="40"/>
          <w:sz w:val="96"/>
          <w:szCs w:val="96"/>
          <w:highlight w:val="none"/>
        </w:rPr>
      </w:pPr>
    </w:p>
    <w:p w14:paraId="6E9FEAAB">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bookmarkStart w:id="5" w:name="_GoBack"/>
      <w:bookmarkEnd w:id="5"/>
    </w:p>
    <w:p w14:paraId="160D1F70">
      <w:pPr>
        <w:spacing w:line="276" w:lineRule="auto"/>
        <w:jc w:val="center"/>
        <w:rPr>
          <w:rFonts w:ascii="方正小标宋简体" w:hAnsi="方正小标宋简体" w:eastAsia="方正小标宋简体" w:cs="方正小标宋简体"/>
          <w:color w:val="000000"/>
          <w:spacing w:val="40"/>
          <w:sz w:val="96"/>
          <w:szCs w:val="96"/>
          <w:highlight w:val="none"/>
        </w:rPr>
      </w:pPr>
    </w:p>
    <w:p w14:paraId="737CB58A">
      <w:pPr>
        <w:spacing w:line="276" w:lineRule="auto"/>
        <w:jc w:val="center"/>
        <w:rPr>
          <w:rFonts w:hint="eastAsia" w:ascii="方正小标宋简体" w:hAnsi="方正小标宋简体" w:eastAsia="方正小标宋简体" w:cs="方正小标宋简体"/>
          <w:color w:val="000000"/>
          <w:spacing w:val="40"/>
          <w:sz w:val="96"/>
          <w:szCs w:val="96"/>
          <w:highlight w:val="none"/>
          <w:lang w:val="en-US" w:eastAsia="zh-CN"/>
        </w:rPr>
      </w:pPr>
      <w:r>
        <w:rPr>
          <w:rFonts w:hint="eastAsia" w:ascii="方正小标宋简体" w:hAnsi="方正小标宋简体" w:eastAsia="方正小标宋简体" w:cs="方正小标宋简体"/>
          <w:color w:val="000000"/>
          <w:spacing w:val="40"/>
          <w:sz w:val="96"/>
          <w:szCs w:val="96"/>
          <w:highlight w:val="none"/>
          <w:lang w:val="en-US" w:eastAsia="zh-CN"/>
        </w:rPr>
        <w:t>函</w:t>
      </w:r>
    </w:p>
    <w:p w14:paraId="087F38EF">
      <w:pPr>
        <w:spacing w:line="400" w:lineRule="exact"/>
        <w:jc w:val="center"/>
        <w:rPr>
          <w:rFonts w:ascii="仿宋" w:hAnsi="仿宋" w:eastAsia="仿宋" w:cs="仿宋"/>
          <w:color w:val="000000"/>
          <w:sz w:val="32"/>
          <w:szCs w:val="32"/>
          <w:highlight w:val="none"/>
        </w:rPr>
      </w:pPr>
    </w:p>
    <w:p w14:paraId="2EEED49A">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14:paraId="6BC466FC">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14:paraId="2D67AB9B">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14:paraId="6A4CF4DF">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14:paraId="6700BDEB">
      <w:pPr>
        <w:spacing w:line="400" w:lineRule="exact"/>
        <w:jc w:val="center"/>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14:paraId="22C0EF3B">
      <w:pPr>
        <w:spacing w:line="480" w:lineRule="exact"/>
        <w:jc w:val="left"/>
        <w:rPr>
          <w:bCs/>
          <w:sz w:val="28"/>
          <w:szCs w:val="28"/>
          <w:highlight w:val="none"/>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bookmarkStart w:id="0" w:name="_Toc54357675"/>
      <w:bookmarkStart w:id="1" w:name="_Toc1651923"/>
    </w:p>
    <w:bookmarkEnd w:id="0"/>
    <w:bookmarkEnd w:id="1"/>
    <w:p w14:paraId="0469173F">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ascii="仿宋" w:hAnsi="仿宋" w:eastAsia="仿宋" w:cs="仿宋"/>
          <w:bCs/>
          <w:color w:val="000000"/>
          <w:kern w:val="0"/>
          <w:sz w:val="24"/>
          <w:szCs w:val="24"/>
          <w:highlight w:val="none"/>
        </w:rPr>
      </w:pPr>
      <w:r>
        <w:rPr>
          <w:rFonts w:hint="eastAsia" w:ascii="仿宋" w:hAnsi="仿宋" w:eastAsia="仿宋" w:cs="仿宋"/>
          <w:color w:val="000000"/>
          <w:sz w:val="28"/>
          <w:szCs w:val="28"/>
          <w:highlight w:val="none"/>
        </w:rPr>
        <w:t>经认真阅读“</w:t>
      </w:r>
      <w:r>
        <w:rPr>
          <w:rFonts w:hint="eastAsia" w:ascii="仿宋" w:hAnsi="仿宋" w:eastAsia="仿宋" w:cs="仿宋"/>
          <w:color w:val="000000"/>
          <w:sz w:val="28"/>
          <w:szCs w:val="28"/>
          <w:highlight w:val="none"/>
          <w:lang w:val="en-US" w:eastAsia="zh-CN"/>
        </w:rPr>
        <w:t>2026年新型肥料品牌宣传项目之视频服务</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14:paraId="17EC18C9">
      <w:pPr>
        <w:keepNext w:val="0"/>
        <w:keepLines w:val="0"/>
        <w:pageBreakBefore w:val="0"/>
        <w:kinsoku/>
        <w:wordWrap/>
        <w:overflowPunct/>
        <w:topLinePunct w:val="0"/>
        <w:bidi w:val="0"/>
        <w:spacing w:line="56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一、报价表</w:t>
      </w:r>
    </w:p>
    <w:tbl>
      <w:tblPr>
        <w:tblStyle w:val="13"/>
        <w:tblW w:w="98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25"/>
        <w:gridCol w:w="1218"/>
        <w:gridCol w:w="3600"/>
        <w:gridCol w:w="769"/>
        <w:gridCol w:w="793"/>
        <w:gridCol w:w="1309"/>
        <w:gridCol w:w="1313"/>
      </w:tblGrid>
      <w:tr w14:paraId="2F824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95811">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C88CC">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项目类别</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9D546">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具体内容</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06CBF">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数量</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E5BE4">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单位</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639D0">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单价（元）</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9FEF1">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总计（元）</w:t>
            </w:r>
          </w:p>
        </w:tc>
      </w:tr>
      <w:tr w14:paraId="64E4B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5" w:hRule="atLeast"/>
          <w:jc w:val="center"/>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5DDED">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18" w:type="dxa"/>
            <w:vMerge w:val="restart"/>
            <w:tcBorders>
              <w:top w:val="single" w:color="000000" w:sz="4" w:space="0"/>
              <w:left w:val="single" w:color="000000" w:sz="4" w:space="0"/>
              <w:right w:val="single" w:color="000000" w:sz="4" w:space="0"/>
            </w:tcBorders>
            <w:shd w:val="clear" w:color="auto" w:fill="auto"/>
            <w:vAlign w:val="center"/>
          </w:tcPr>
          <w:p w14:paraId="0E9715D6">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视频拍摄制作</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2A358">
            <w:pPr>
              <w:keepNext w:val="0"/>
              <w:keepLines w:val="0"/>
              <w:pageBreakBefore w:val="0"/>
              <w:widowControl/>
              <w:suppressLineNumbers w:val="0"/>
              <w:kinsoku/>
              <w:wordWrap/>
              <w:overflowPunct/>
              <w:topLinePunct w:val="0"/>
              <w:autoSpaceDE/>
              <w:autoSpaceDN/>
              <w:bidi w:val="0"/>
              <w:adjustRightInd/>
              <w:snapToGrid/>
              <w:spacing w:line="580" w:lineRule="exact"/>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短视频拍摄剪辑：含人员、设备、后期制作(旁白配音、特效包装、网络素材购买)、省际往返交通、住宿差旅等费用，</w:t>
            </w:r>
            <w:r>
              <w:rPr>
                <w:rStyle w:val="17"/>
                <w:rFonts w:hint="eastAsia" w:ascii="仿宋" w:hAnsi="仿宋" w:eastAsia="仿宋" w:cs="仿宋"/>
                <w:sz w:val="24"/>
                <w:szCs w:val="24"/>
                <w:lang w:val="en-US" w:eastAsia="zh-CN" w:bidi="ar"/>
              </w:rPr>
              <w:t>每期视频服务时间不同、周期约3天，每期</w:t>
            </w:r>
            <w:r>
              <w:rPr>
                <w:rStyle w:val="18"/>
                <w:rFonts w:hint="eastAsia" w:ascii="仿宋" w:hAnsi="仿宋" w:eastAsia="仿宋" w:cs="仿宋"/>
                <w:sz w:val="24"/>
                <w:szCs w:val="24"/>
                <w:lang w:val="en-US" w:eastAsia="zh-CN" w:bidi="ar"/>
              </w:rPr>
              <w:t>成片2-3分钟，共12期。</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89D9A">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12</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1FD72">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期</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B6661">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i w:val="0"/>
                <w:iCs w:val="0"/>
                <w:color w:val="000000"/>
                <w:sz w:val="24"/>
                <w:szCs w:val="24"/>
                <w:u w:val="none"/>
                <w:lang w:val="en-US"/>
              </w:rPr>
            </w:pP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77EB1">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i w:val="0"/>
                <w:iCs w:val="0"/>
                <w:color w:val="000000"/>
                <w:sz w:val="24"/>
                <w:szCs w:val="24"/>
                <w:u w:val="none"/>
              </w:rPr>
            </w:pPr>
          </w:p>
        </w:tc>
      </w:tr>
      <w:tr w14:paraId="4620A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5" w:hRule="atLeast"/>
          <w:jc w:val="center"/>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8B083">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218" w:type="dxa"/>
            <w:vMerge w:val="continue"/>
            <w:tcBorders>
              <w:left w:val="single" w:color="000000" w:sz="4" w:space="0"/>
              <w:bottom w:val="single" w:color="000000" w:sz="4" w:space="0"/>
              <w:right w:val="single" w:color="000000" w:sz="4" w:space="0"/>
            </w:tcBorders>
            <w:shd w:val="clear" w:color="auto" w:fill="auto"/>
            <w:vAlign w:val="center"/>
          </w:tcPr>
          <w:p w14:paraId="766A2113">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i w:val="0"/>
                <w:iCs w:val="0"/>
                <w:color w:val="000000"/>
                <w:kern w:val="0"/>
                <w:sz w:val="24"/>
                <w:szCs w:val="24"/>
                <w:u w:val="none"/>
                <w:lang w:val="en-US" w:eastAsia="zh-CN" w:bidi="ar"/>
              </w:rPr>
            </w:pP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E7FE6">
            <w:pPr>
              <w:keepNext w:val="0"/>
              <w:keepLines w:val="0"/>
              <w:pageBreakBefore w:val="0"/>
              <w:widowControl/>
              <w:suppressLineNumbers w:val="0"/>
              <w:kinsoku/>
              <w:wordWrap/>
              <w:overflowPunct/>
              <w:topLinePunct w:val="0"/>
              <w:autoSpaceDE/>
              <w:autoSpaceDN/>
              <w:bidi w:val="0"/>
              <w:adjustRightInd/>
              <w:snapToGrid/>
              <w:spacing w:line="580" w:lineRule="exact"/>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企业专题片：围绕企业重大事件策划专题片，包括共创内容策划、人员、设备、后期制作(旁白配音、特效包装、网络素材购买)，每期成片4-5分钟，共5期。</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9C7BB">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5</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C3346">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期</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3386C">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i w:val="0"/>
                <w:iCs w:val="0"/>
                <w:color w:val="000000"/>
                <w:sz w:val="24"/>
                <w:szCs w:val="24"/>
                <w:u w:val="none"/>
              </w:rPr>
            </w:pP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136DA">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i w:val="0"/>
                <w:iCs w:val="0"/>
                <w:color w:val="000000"/>
                <w:sz w:val="24"/>
                <w:szCs w:val="24"/>
                <w:u w:val="none"/>
              </w:rPr>
            </w:pPr>
          </w:p>
        </w:tc>
      </w:tr>
      <w:tr w14:paraId="03733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00C72">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2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9CCF61">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color w:val="auto"/>
                <w:kern w:val="0"/>
                <w:sz w:val="24"/>
                <w:szCs w:val="24"/>
                <w:lang w:val="en-US" w:eastAsia="zh-CN"/>
              </w:rPr>
              <w:t>直播</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3BE65">
            <w:pPr>
              <w:keepNext w:val="0"/>
              <w:keepLines w:val="0"/>
              <w:pageBreakBefore w:val="0"/>
              <w:widowControl/>
              <w:suppressLineNumbers w:val="0"/>
              <w:kinsoku/>
              <w:wordWrap/>
              <w:overflowPunct/>
              <w:topLinePunct w:val="0"/>
              <w:autoSpaceDE/>
              <w:autoSpaceDN/>
              <w:bidi w:val="0"/>
              <w:adjustRightInd/>
              <w:snapToGrid/>
              <w:spacing w:line="580" w:lineRule="exact"/>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3场直播：含单机位直播、推流设备、人员、彩排、省际往返交通、住宿差旅等费用。</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FBF25">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0D868">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场</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F2AA6">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i w:val="0"/>
                <w:iCs w:val="0"/>
                <w:color w:val="000000"/>
                <w:sz w:val="24"/>
                <w:szCs w:val="24"/>
                <w:u w:val="none"/>
              </w:rPr>
            </w:pP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00482">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i w:val="0"/>
                <w:iCs w:val="0"/>
                <w:color w:val="000000"/>
                <w:sz w:val="24"/>
                <w:szCs w:val="24"/>
                <w:u w:val="none"/>
              </w:rPr>
            </w:pPr>
          </w:p>
        </w:tc>
      </w:tr>
      <w:tr w14:paraId="1B901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5" w:hRule="atLeast"/>
          <w:jc w:val="center"/>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BC11B">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c>
          <w:tcPr>
            <w:tcW w:w="12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5811FE">
            <w:pPr>
              <w:keepNext w:val="0"/>
              <w:keepLines w:val="0"/>
              <w:pageBreakBefore w:val="0"/>
              <w:widowControl/>
              <w:kinsoku/>
              <w:wordWrap/>
              <w:overflowPunct/>
              <w:topLinePunct w:val="0"/>
              <w:autoSpaceDE/>
              <w:autoSpaceDN/>
              <w:bidi w:val="0"/>
              <w:adjustRightInd/>
              <w:snapToGrid/>
              <w:spacing w:line="580" w:lineRule="exact"/>
              <w:jc w:val="both"/>
              <w:textAlignment w:val="auto"/>
              <w:rPr>
                <w:rFonts w:hint="eastAsia" w:ascii="仿宋" w:hAnsi="仿宋" w:eastAsia="仿宋" w:cs="仿宋"/>
                <w:i w:val="0"/>
                <w:iCs w:val="0"/>
                <w:color w:val="000000"/>
                <w:kern w:val="0"/>
                <w:sz w:val="24"/>
                <w:szCs w:val="24"/>
                <w:u w:val="none"/>
                <w:lang w:val="en-US" w:eastAsia="zh-CN" w:bidi="ar"/>
              </w:rPr>
            </w:pP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2457B">
            <w:pPr>
              <w:keepNext w:val="0"/>
              <w:keepLines w:val="0"/>
              <w:pageBreakBefore w:val="0"/>
              <w:widowControl/>
              <w:suppressLineNumbers w:val="0"/>
              <w:kinsoku/>
              <w:wordWrap/>
              <w:overflowPunct/>
              <w:topLinePunct w:val="0"/>
              <w:autoSpaceDE/>
              <w:autoSpaceDN/>
              <w:bidi w:val="0"/>
              <w:adjustRightInd/>
              <w:snapToGrid/>
              <w:spacing w:line="580" w:lineRule="exact"/>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6个活动短视频剪辑，成片约2-3分钟/条。</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CEAD4">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9797F">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条</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912F6">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i w:val="0"/>
                <w:iCs w:val="0"/>
                <w:color w:val="000000"/>
                <w:kern w:val="0"/>
                <w:sz w:val="24"/>
                <w:szCs w:val="24"/>
                <w:u w:val="none"/>
                <w:lang w:val="en-US" w:eastAsia="zh-CN" w:bidi="ar"/>
              </w:rPr>
            </w:pP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1EC99">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i w:val="0"/>
                <w:iCs w:val="0"/>
                <w:color w:val="000000"/>
                <w:kern w:val="0"/>
                <w:sz w:val="24"/>
                <w:szCs w:val="24"/>
                <w:u w:val="none"/>
                <w:lang w:val="en-US" w:eastAsia="zh-CN" w:bidi="ar"/>
              </w:rPr>
            </w:pPr>
          </w:p>
        </w:tc>
      </w:tr>
      <w:tr w14:paraId="20238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1C1EE">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70A1A">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color w:val="auto"/>
                <w:kern w:val="0"/>
                <w:sz w:val="24"/>
                <w:szCs w:val="24"/>
                <w:lang w:val="en-US" w:eastAsia="zh-CN"/>
              </w:rPr>
              <w:t>专家邀请</w:t>
            </w:r>
          </w:p>
        </w:tc>
        <w:tc>
          <w:tcPr>
            <w:tcW w:w="3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0B930">
            <w:pPr>
              <w:keepNext w:val="0"/>
              <w:keepLines w:val="0"/>
              <w:pageBreakBefore w:val="0"/>
              <w:widowControl/>
              <w:suppressLineNumbers w:val="0"/>
              <w:kinsoku/>
              <w:wordWrap/>
              <w:overflowPunct/>
              <w:topLinePunct w:val="0"/>
              <w:autoSpaceDE/>
              <w:autoSpaceDN/>
              <w:bidi w:val="0"/>
              <w:adjustRightInd/>
              <w:snapToGrid/>
              <w:spacing w:line="580" w:lineRule="exact"/>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邀请授课专家、出镜专家（副教授及以上级别专家/行业领域人员）等配合项目实施（授课不少于5个课时/出镜讲解不少于半天），约15位</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4B067">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15</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BE81A">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位</w:t>
            </w:r>
          </w:p>
        </w:tc>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7E95A">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i w:val="0"/>
                <w:iCs w:val="0"/>
                <w:color w:val="000000"/>
                <w:kern w:val="0"/>
                <w:sz w:val="24"/>
                <w:szCs w:val="24"/>
                <w:u w:val="none"/>
                <w:lang w:val="en-US" w:eastAsia="zh-CN" w:bidi="ar"/>
              </w:rPr>
            </w:pP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D3047">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i w:val="0"/>
                <w:iCs w:val="0"/>
                <w:color w:val="000000"/>
                <w:kern w:val="0"/>
                <w:sz w:val="24"/>
                <w:szCs w:val="24"/>
                <w:u w:val="none"/>
                <w:lang w:val="en-US" w:eastAsia="zh-CN" w:bidi="ar"/>
              </w:rPr>
            </w:pPr>
          </w:p>
        </w:tc>
      </w:tr>
      <w:tr w14:paraId="48328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8514" w:type="dxa"/>
            <w:gridSpan w:val="6"/>
            <w:tcBorders>
              <w:top w:val="single" w:color="000000" w:sz="4" w:space="0"/>
              <w:left w:val="single" w:color="000000" w:sz="4" w:space="0"/>
              <w:bottom w:val="single" w:color="auto" w:sz="4" w:space="0"/>
              <w:right w:val="single" w:color="000000" w:sz="4" w:space="0"/>
            </w:tcBorders>
            <w:shd w:val="clear" w:color="auto" w:fill="auto"/>
            <w:vAlign w:val="center"/>
          </w:tcPr>
          <w:p w14:paraId="550150F6">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合计（元）</w:t>
            </w:r>
          </w:p>
        </w:tc>
        <w:tc>
          <w:tcPr>
            <w:tcW w:w="1313" w:type="dxa"/>
            <w:tcBorders>
              <w:top w:val="single" w:color="000000" w:sz="4" w:space="0"/>
              <w:left w:val="single" w:color="000000" w:sz="4" w:space="0"/>
              <w:bottom w:val="single" w:color="auto" w:sz="4" w:space="0"/>
              <w:right w:val="single" w:color="000000" w:sz="4" w:space="0"/>
            </w:tcBorders>
            <w:shd w:val="clear" w:color="auto" w:fill="auto"/>
            <w:vAlign w:val="center"/>
          </w:tcPr>
          <w:p w14:paraId="3F0E8898">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center"/>
              <w:rPr>
                <w:rFonts w:hint="eastAsia" w:ascii="仿宋" w:hAnsi="仿宋" w:eastAsia="仿宋" w:cs="仿宋"/>
                <w:i w:val="0"/>
                <w:iCs w:val="0"/>
                <w:color w:val="000000"/>
                <w:sz w:val="24"/>
                <w:szCs w:val="24"/>
                <w:u w:val="none"/>
                <w:lang w:val="en-US" w:eastAsia="zh-CN"/>
              </w:rPr>
            </w:pPr>
          </w:p>
        </w:tc>
      </w:tr>
    </w:tbl>
    <w:p w14:paraId="0DA437A7">
      <w:pPr>
        <w:pStyle w:val="8"/>
        <w:keepNext w:val="0"/>
        <w:keepLines w:val="0"/>
        <w:pageBreakBefore w:val="0"/>
        <w:widowControl w:val="0"/>
        <w:kinsoku/>
        <w:wordWrap/>
        <w:overflowPunct/>
        <w:topLinePunct w:val="0"/>
        <w:autoSpaceDE/>
        <w:autoSpaceDN/>
        <w:bidi w:val="0"/>
        <w:adjustRightInd/>
        <w:spacing w:line="560" w:lineRule="exact"/>
        <w:ind w:firstLine="562" w:firstLineChars="200"/>
        <w:jc w:val="left"/>
        <w:textAlignment w:val="auto"/>
        <w:rPr>
          <w:rFonts w:hint="eastAsia" w:ascii="仿宋" w:hAnsi="仿宋" w:eastAsia="仿宋" w:cs="仿宋"/>
          <w:b/>
          <w:color w:val="000000"/>
          <w:kern w:val="0"/>
          <w:sz w:val="28"/>
          <w:szCs w:val="28"/>
          <w:highlight w:val="none"/>
        </w:rPr>
      </w:pPr>
    </w:p>
    <w:p w14:paraId="5F2E29E9">
      <w:pPr>
        <w:pStyle w:val="8"/>
        <w:keepNext w:val="0"/>
        <w:keepLines w:val="0"/>
        <w:pageBreakBefore w:val="0"/>
        <w:widowControl w:val="0"/>
        <w:kinsoku/>
        <w:wordWrap/>
        <w:overflowPunct/>
        <w:topLinePunct w:val="0"/>
        <w:autoSpaceDE/>
        <w:autoSpaceDN/>
        <w:bidi w:val="0"/>
        <w:adjustRightInd/>
        <w:spacing w:line="560" w:lineRule="exact"/>
        <w:ind w:firstLine="562" w:firstLineChars="200"/>
        <w:jc w:val="left"/>
        <w:textAlignment w:val="auto"/>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14:paraId="29593599">
      <w:pPr>
        <w:keepNext w:val="0"/>
        <w:keepLines w:val="0"/>
        <w:pageBreakBefore w:val="0"/>
        <w:widowControl w:val="0"/>
        <w:kinsoku/>
        <w:wordWrap/>
        <w:overflowPunct/>
        <w:topLinePunct w:val="0"/>
        <w:autoSpaceDE/>
        <w:autoSpaceDN/>
        <w:bidi w:val="0"/>
        <w:adjustRightInd/>
        <w:snapToGrid w:val="0"/>
        <w:spacing w:line="560" w:lineRule="exact"/>
        <w:ind w:firstLine="562" w:firstLineChars="200"/>
        <w:jc w:val="left"/>
        <w:textAlignment w:val="auto"/>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w:t>
      </w:r>
      <w:r>
        <w:rPr>
          <w:rFonts w:hint="eastAsia" w:ascii="仿宋" w:hAnsi="仿宋" w:eastAsia="仿宋" w:cs="仿宋"/>
          <w:b/>
          <w:color w:val="000000"/>
          <w:sz w:val="28"/>
          <w:szCs w:val="28"/>
          <w:highlight w:val="none"/>
          <w:u w:val="single"/>
          <w:lang w:val="en-US" w:eastAsia="zh-CN"/>
        </w:rPr>
        <w:t>圆</w:t>
      </w:r>
      <w:r>
        <w:rPr>
          <w:rFonts w:hint="eastAsia" w:ascii="仿宋" w:hAnsi="仿宋" w:eastAsia="仿宋" w:cs="仿宋"/>
          <w:b/>
          <w:color w:val="000000"/>
          <w:sz w:val="28"/>
          <w:szCs w:val="28"/>
          <w:highlight w:val="none"/>
          <w:u w:val="single"/>
        </w:rPr>
        <w:t>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14:paraId="50658596">
      <w:pPr>
        <w:keepNext w:val="0"/>
        <w:keepLines w:val="0"/>
        <w:pageBreakBefore w:val="0"/>
        <w:widowControl w:val="0"/>
        <w:kinsoku/>
        <w:wordWrap/>
        <w:overflowPunct/>
        <w:topLinePunct w:val="0"/>
        <w:autoSpaceDE/>
        <w:autoSpaceDN/>
        <w:bidi w:val="0"/>
        <w:adjustRightInd/>
        <w:spacing w:line="560" w:lineRule="exact"/>
        <w:jc w:val="left"/>
        <w:textAlignment w:val="auto"/>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14:paraId="23818B17">
      <w:pPr>
        <w:keepNext w:val="0"/>
        <w:keepLines w:val="0"/>
        <w:pageBreakBefore w:val="0"/>
        <w:widowControl w:val="0"/>
        <w:shd w:val="clear" w:color="auto" w:fill="FFFFFF"/>
        <w:kinsoku/>
        <w:wordWrap/>
        <w:overflowPunct/>
        <w:topLinePunct w:val="0"/>
        <w:autoSpaceDE/>
        <w:autoSpaceDN/>
        <w:bidi w:val="0"/>
        <w:adjustRightInd/>
        <w:spacing w:line="56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14:paraId="6E67CB84">
      <w:pPr>
        <w:keepNext w:val="0"/>
        <w:keepLines w:val="0"/>
        <w:pageBreakBefore w:val="0"/>
        <w:widowControl w:val="0"/>
        <w:shd w:val="clear" w:color="auto" w:fill="FFFFFF"/>
        <w:kinsoku/>
        <w:wordWrap/>
        <w:overflowPunct/>
        <w:topLinePunct w:val="0"/>
        <w:autoSpaceDE/>
        <w:autoSpaceDN/>
        <w:bidi w:val="0"/>
        <w:adjustRightInd/>
        <w:spacing w:line="56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14:paraId="3B431B6A">
      <w:pPr>
        <w:keepNext w:val="0"/>
        <w:keepLines w:val="0"/>
        <w:pageBreakBefore w:val="0"/>
        <w:widowControl w:val="0"/>
        <w:shd w:val="clear" w:color="auto" w:fill="FFFFFF"/>
        <w:kinsoku/>
        <w:wordWrap/>
        <w:overflowPunct/>
        <w:topLinePunct w:val="0"/>
        <w:autoSpaceDE/>
        <w:autoSpaceDN/>
        <w:bidi w:val="0"/>
        <w:adjustRightInd/>
        <w:spacing w:line="56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14:paraId="40961D6A">
      <w:pPr>
        <w:keepNext w:val="0"/>
        <w:keepLines w:val="0"/>
        <w:pageBreakBefore w:val="0"/>
        <w:widowControl w:val="0"/>
        <w:shd w:val="clear" w:color="auto" w:fill="FFFFFF"/>
        <w:kinsoku/>
        <w:wordWrap/>
        <w:overflowPunct/>
        <w:topLinePunct w:val="0"/>
        <w:autoSpaceDE/>
        <w:autoSpaceDN/>
        <w:bidi w:val="0"/>
        <w:adjustRightInd/>
        <w:spacing w:line="56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14:paraId="78406D5D">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仿宋" w:hAnsi="仿宋" w:eastAsia="仿宋" w:cs="仿宋"/>
          <w:b/>
          <w:color w:val="000000"/>
          <w:sz w:val="28"/>
          <w:szCs w:val="28"/>
          <w:highlight w:val="none"/>
        </w:rPr>
        <w:sectPr>
          <w:pgSz w:w="11906" w:h="16838"/>
          <w:pgMar w:top="1803" w:right="1440" w:bottom="1803" w:left="1440" w:header="851" w:footer="992" w:gutter="0"/>
          <w:pgBorders>
            <w:top w:val="none" w:sz="0" w:space="0"/>
            <w:left w:val="none" w:sz="0" w:space="0"/>
            <w:bottom w:val="none" w:sz="0" w:space="0"/>
            <w:right w:val="none" w:sz="0" w:space="0"/>
          </w:pgBorders>
          <w:cols w:space="720" w:num="1"/>
          <w:docGrid w:type="lines" w:linePitch="312" w:charSpace="0"/>
        </w:sectPr>
      </w:pPr>
      <w:bookmarkStart w:id="2" w:name="_Toc1651903"/>
      <w:bookmarkStart w:id="3" w:name="_Toc475472676"/>
      <w:bookmarkStart w:id="4" w:name="_Toc34146941"/>
    </w:p>
    <w:p w14:paraId="29DDB2FC">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14:paraId="10CCBD06">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14:paraId="6656374F">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14:paraId="30855354">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参加采购活动前3年内，在经营活动中没有重大违法、失信记录：提供供应商未被列入“信用中国”（网址https://www.creditchina.gov.cn/xinyongfuwu/?navPage=4）-信用服务中的“严重失信主体名单”“经营异常名录信息”“重大税收违法失信主体”查询截图并加盖公章。</w:t>
      </w:r>
    </w:p>
    <w:p w14:paraId="0E9459F1">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4、提供自202</w:t>
      </w: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rPr>
        <w:t>年1月1日以来同类项目</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lang w:val="en-US" w:eastAsia="zh-CN"/>
        </w:rPr>
        <w:t>视频拍摄制作/直播等</w:t>
      </w:r>
      <w:r>
        <w:rPr>
          <w:rFonts w:hint="eastAsia" w:ascii="仿宋" w:hAnsi="仿宋" w:eastAsia="仿宋" w:cs="仿宋"/>
          <w:color w:val="000000"/>
          <w:sz w:val="28"/>
          <w:szCs w:val="28"/>
          <w:highlight w:val="none"/>
        </w:rPr>
        <w:t>）业绩不少于</w:t>
      </w:r>
      <w:r>
        <w:rPr>
          <w:rFonts w:hint="eastAsia" w:ascii="仿宋" w:hAnsi="仿宋" w:eastAsia="仿宋" w:cs="仿宋"/>
          <w:color w:val="000000"/>
          <w:sz w:val="28"/>
          <w:szCs w:val="28"/>
          <w:highlight w:val="none"/>
          <w:lang w:val="en-US" w:eastAsia="zh-CN"/>
        </w:rPr>
        <w:t>两项</w:t>
      </w:r>
      <w:r>
        <w:rPr>
          <w:rFonts w:hint="eastAsia" w:ascii="仿宋" w:hAnsi="仿宋" w:eastAsia="仿宋" w:cs="仿宋"/>
          <w:color w:val="000000"/>
          <w:sz w:val="28"/>
          <w:szCs w:val="28"/>
          <w:highlight w:val="none"/>
        </w:rPr>
        <w:t>（附合同关键页）。</w:t>
      </w:r>
    </w:p>
    <w:p w14:paraId="39E4A8A8">
      <w:pPr>
        <w:pStyle w:val="3"/>
        <w:rPr>
          <w:rFonts w:ascii="仿宋" w:hAnsi="仿宋" w:eastAsia="仿宋" w:cs="仿宋"/>
          <w:kern w:val="0"/>
          <w:sz w:val="28"/>
          <w:szCs w:val="28"/>
          <w:highlight w:val="none"/>
        </w:rPr>
      </w:pPr>
    </w:p>
    <w:bookmarkEnd w:id="2"/>
    <w:bookmarkEnd w:id="3"/>
    <w:bookmarkEnd w:id="4"/>
    <w:p w14:paraId="7D889381">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14:paraId="008C462A">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14:paraId="7A1A7E7E">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14:paraId="5B7CDE66">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14:paraId="693E2063">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14:paraId="6CE9142A">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14:paraId="4B60E832">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3.我方为中华人民共和国境内的合法经营主体，具有独立的民事行为能力；我方具备履行合同所必需的设备和专业技术能力；我方有依法缴纳税收和社会保障资金的良好记录。</w:t>
      </w:r>
    </w:p>
    <w:p w14:paraId="76032523">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14:paraId="1BCE276C">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14:paraId="57E89E8B">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14:paraId="12296CEE">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14:paraId="23A2F926">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013F52F4">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68B1D3D2">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1349677D">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14:paraId="0EC4E25B">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14:paraId="759EB208">
      <w:pPr>
        <w:pStyle w:val="8"/>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14:paraId="0B066E45">
      <w:pPr>
        <w:pStyle w:val="10"/>
        <w:tabs>
          <w:tab w:val="left" w:pos="588"/>
        </w:tabs>
        <w:snapToGrid w:val="0"/>
        <w:spacing w:before="0" w:after="0" w:line="440" w:lineRule="exact"/>
        <w:outlineLvl w:val="9"/>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四、法定代表人证明书</w:t>
      </w:r>
    </w:p>
    <w:p w14:paraId="7CD6927C">
      <w:pPr>
        <w:spacing w:line="276" w:lineRule="auto"/>
        <w:jc w:val="center"/>
        <w:rPr>
          <w:rFonts w:ascii="宋体" w:hAnsi="宋体" w:cs="宋体"/>
          <w:b/>
          <w:sz w:val="24"/>
          <w:highlight w:val="none"/>
        </w:rPr>
      </w:pPr>
    </w:p>
    <w:p w14:paraId="5CCE91AF">
      <w:pPr>
        <w:tabs>
          <w:tab w:val="left" w:pos="8364"/>
        </w:tabs>
        <w:snapToGrid w:val="0"/>
        <w:spacing w:line="360" w:lineRule="auto"/>
        <w:ind w:right="-58"/>
        <w:rPr>
          <w:rFonts w:ascii="宋体" w:hAnsi="宋体" w:cs="宋体"/>
          <w:sz w:val="24"/>
          <w:highlight w:val="none"/>
          <w:u w:val="single"/>
        </w:rPr>
      </w:pPr>
    </w:p>
    <w:p w14:paraId="11C57960">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14:paraId="258F8DD5">
      <w:pPr>
        <w:tabs>
          <w:tab w:val="left" w:pos="8364"/>
        </w:tabs>
        <w:snapToGrid w:val="0"/>
        <w:spacing w:line="360" w:lineRule="auto"/>
        <w:ind w:right="-58"/>
        <w:rPr>
          <w:rFonts w:ascii="仿宋" w:hAnsi="仿宋" w:eastAsia="仿宋" w:cs="仿宋"/>
          <w:color w:val="000000"/>
          <w:sz w:val="28"/>
          <w:szCs w:val="28"/>
          <w:highlight w:val="none"/>
        </w:rPr>
      </w:pPr>
    </w:p>
    <w:p w14:paraId="1478DB33">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14:paraId="038FADB0">
      <w:pPr>
        <w:tabs>
          <w:tab w:val="left" w:pos="8364"/>
        </w:tabs>
        <w:snapToGrid w:val="0"/>
        <w:spacing w:line="360" w:lineRule="auto"/>
        <w:ind w:right="-58"/>
        <w:rPr>
          <w:rFonts w:ascii="仿宋" w:hAnsi="仿宋" w:eastAsia="仿宋" w:cs="仿宋"/>
          <w:color w:val="000000"/>
          <w:sz w:val="28"/>
          <w:szCs w:val="28"/>
          <w:highlight w:val="none"/>
        </w:rPr>
      </w:pPr>
    </w:p>
    <w:p w14:paraId="3772986B">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14:paraId="397D524D">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14:paraId="556FD62D">
      <w:pPr>
        <w:tabs>
          <w:tab w:val="left" w:pos="8364"/>
        </w:tabs>
        <w:snapToGrid w:val="0"/>
        <w:spacing w:line="360" w:lineRule="auto"/>
        <w:ind w:right="-58"/>
        <w:rPr>
          <w:rFonts w:ascii="仿宋" w:hAnsi="仿宋" w:eastAsia="仿宋" w:cs="仿宋"/>
          <w:color w:val="000000"/>
          <w:sz w:val="28"/>
          <w:szCs w:val="28"/>
          <w:highlight w:val="none"/>
        </w:rPr>
      </w:pPr>
    </w:p>
    <w:p w14:paraId="7F90DA21">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14:paraId="7A13C4A5">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1746906C">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14:paraId="1746906C">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4218493">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14:paraId="24218493">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14:paraId="4DF4D445">
      <w:pPr>
        <w:spacing w:line="500" w:lineRule="exact"/>
        <w:rPr>
          <w:rFonts w:ascii="宋体" w:hAnsi="宋体" w:cs="宋体"/>
          <w:sz w:val="24"/>
          <w:highlight w:val="none"/>
        </w:rPr>
      </w:pPr>
    </w:p>
    <w:p w14:paraId="64A6BC58">
      <w:pPr>
        <w:spacing w:line="440" w:lineRule="exact"/>
        <w:rPr>
          <w:rFonts w:ascii="宋体" w:hAnsi="宋体" w:cs="宋体"/>
          <w:sz w:val="24"/>
          <w:highlight w:val="none"/>
        </w:rPr>
      </w:pPr>
    </w:p>
    <w:p w14:paraId="3A25E723">
      <w:pPr>
        <w:spacing w:line="440" w:lineRule="exact"/>
        <w:rPr>
          <w:rFonts w:ascii="宋体" w:hAnsi="宋体" w:cs="宋体"/>
          <w:sz w:val="24"/>
          <w:highlight w:val="none"/>
        </w:rPr>
      </w:pPr>
      <w:r>
        <w:rPr>
          <w:rFonts w:hint="eastAsia" w:ascii="宋体" w:hAnsi="宋体" w:cs="宋体"/>
          <w:sz w:val="24"/>
          <w:highlight w:val="none"/>
        </w:rPr>
        <w:t xml:space="preserve">                          </w:t>
      </w:r>
    </w:p>
    <w:p w14:paraId="1203F1A9">
      <w:pPr>
        <w:spacing w:line="500" w:lineRule="exact"/>
        <w:rPr>
          <w:rFonts w:ascii="宋体" w:hAnsi="宋体" w:cs="宋体"/>
          <w:sz w:val="24"/>
          <w:highlight w:val="none"/>
        </w:rPr>
      </w:pPr>
    </w:p>
    <w:p w14:paraId="38BC88A7">
      <w:pPr>
        <w:spacing w:line="440" w:lineRule="exact"/>
        <w:rPr>
          <w:rFonts w:ascii="宋体" w:hAnsi="宋体" w:cs="宋体"/>
          <w:sz w:val="24"/>
          <w:highlight w:val="none"/>
        </w:rPr>
      </w:pPr>
    </w:p>
    <w:p w14:paraId="19E3A12B">
      <w:pPr>
        <w:spacing w:line="500" w:lineRule="exact"/>
        <w:rPr>
          <w:rFonts w:ascii="宋体" w:hAnsi="宋体" w:cs="宋体"/>
          <w:sz w:val="24"/>
          <w:highlight w:val="none"/>
        </w:rPr>
      </w:pPr>
    </w:p>
    <w:p w14:paraId="1BD793F4">
      <w:pPr>
        <w:spacing w:line="440" w:lineRule="exact"/>
        <w:rPr>
          <w:rFonts w:ascii="宋体" w:hAnsi="宋体" w:cs="宋体"/>
          <w:sz w:val="24"/>
          <w:highlight w:val="none"/>
        </w:rPr>
      </w:pPr>
    </w:p>
    <w:p w14:paraId="6EB974F1">
      <w:pPr>
        <w:spacing w:line="440" w:lineRule="exact"/>
        <w:rPr>
          <w:rFonts w:ascii="宋体" w:hAnsi="宋体" w:cs="宋体"/>
          <w:sz w:val="24"/>
          <w:highlight w:val="none"/>
        </w:rPr>
      </w:pPr>
      <w:r>
        <w:rPr>
          <w:rFonts w:hint="eastAsia" w:ascii="宋体" w:hAnsi="宋体" w:cs="宋体"/>
          <w:sz w:val="24"/>
          <w:highlight w:val="none"/>
        </w:rPr>
        <w:t xml:space="preserve">                          </w:t>
      </w:r>
    </w:p>
    <w:p w14:paraId="34FEF6B1">
      <w:pPr>
        <w:spacing w:line="276" w:lineRule="auto"/>
        <w:jc w:val="center"/>
        <w:rPr>
          <w:rFonts w:ascii="仿宋" w:hAnsi="仿宋" w:eastAsia="仿宋" w:cs="仿宋"/>
          <w:b/>
          <w:bCs/>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bCs/>
          <w:color w:val="000000"/>
          <w:sz w:val="28"/>
          <w:szCs w:val="28"/>
          <w:highlight w:val="none"/>
        </w:rPr>
        <w:t>五</w:t>
      </w:r>
      <w:r>
        <w:rPr>
          <w:rFonts w:hint="eastAsia" w:ascii="仿宋" w:hAnsi="仿宋" w:eastAsia="仿宋" w:cs="仿宋"/>
          <w:b/>
          <w:bCs/>
          <w:color w:val="000000"/>
          <w:sz w:val="28"/>
          <w:szCs w:val="28"/>
          <w:highlight w:val="none"/>
          <w:lang w:val="en-GB"/>
        </w:rPr>
        <w:t>、</w:t>
      </w:r>
      <w:r>
        <w:rPr>
          <w:rFonts w:hint="eastAsia" w:ascii="仿宋" w:hAnsi="仿宋" w:eastAsia="仿宋" w:cs="仿宋"/>
          <w:b/>
          <w:bCs/>
          <w:color w:val="000000"/>
          <w:sz w:val="28"/>
          <w:szCs w:val="28"/>
          <w:highlight w:val="none"/>
        </w:rPr>
        <w:t>法定代表人</w:t>
      </w:r>
      <w:r>
        <w:rPr>
          <w:rFonts w:hint="eastAsia" w:ascii="仿宋" w:hAnsi="仿宋" w:eastAsia="仿宋" w:cs="仿宋"/>
          <w:b/>
          <w:bCs/>
          <w:color w:val="000000"/>
          <w:sz w:val="28"/>
          <w:szCs w:val="28"/>
          <w:highlight w:val="none"/>
          <w:lang w:val="en-GB"/>
        </w:rPr>
        <w:t>授权委托书</w:t>
      </w:r>
    </w:p>
    <w:p w14:paraId="61D43EB1">
      <w:pPr>
        <w:widowControl/>
        <w:spacing w:after="200" w:line="480" w:lineRule="exact"/>
        <w:ind w:firstLine="480" w:firstLineChars="200"/>
        <w:rPr>
          <w:rFonts w:ascii="宋体" w:hAnsi="宋体" w:cs="宋体"/>
          <w:bCs/>
          <w:kern w:val="0"/>
          <w:sz w:val="24"/>
          <w:highlight w:val="none"/>
        </w:rPr>
      </w:pPr>
    </w:p>
    <w:p w14:paraId="4C820498">
      <w:pPr>
        <w:pStyle w:val="9"/>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w:t>
      </w:r>
      <w:r>
        <w:rPr>
          <w:rFonts w:hint="eastAsia" w:ascii="仿宋" w:hAnsi="仿宋" w:eastAsia="仿宋" w:cs="仿宋"/>
          <w:color w:val="auto"/>
          <w:kern w:val="2"/>
          <w:sz w:val="30"/>
          <w:szCs w:val="30"/>
          <w:lang w:val="en-US" w:eastAsia="zh-CN" w:bidi="ar-SA"/>
        </w:rPr>
        <w:t>2026年新型肥料品牌宣传项目之视频服务</w:t>
      </w:r>
      <w:r>
        <w:rPr>
          <w:rFonts w:hint="eastAsia" w:ascii="仿宋" w:hAnsi="仿宋" w:eastAsia="仿宋" w:cs="仿宋"/>
          <w:bCs/>
          <w:color w:val="000000"/>
          <w:sz w:val="28"/>
          <w:szCs w:val="28"/>
          <w:highlight w:val="none"/>
        </w:rPr>
        <w:t>】的【洽谈、签约、项目服务联络等】事宜。</w:t>
      </w:r>
    </w:p>
    <w:p w14:paraId="12A29694">
      <w:pPr>
        <w:pStyle w:val="9"/>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14:paraId="2DF1FF27">
      <w:pPr>
        <w:pStyle w:val="9"/>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14:paraId="15433631">
      <w:pPr>
        <w:pStyle w:val="9"/>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14:paraId="6B8445FE">
      <w:pPr>
        <w:pStyle w:val="9"/>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14:paraId="740A6167">
      <w:pPr>
        <w:pStyle w:val="9"/>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14:paraId="49A612AA">
      <w:pPr>
        <w:pStyle w:val="9"/>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14:paraId="705B135C">
      <w:pPr>
        <w:pStyle w:val="9"/>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14:paraId="50FE34DF">
      <w:pPr>
        <w:pStyle w:val="9"/>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14:paraId="4DAF8A0D">
      <w:pPr>
        <w:pStyle w:val="9"/>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14:paraId="61FF818B">
      <w:pPr>
        <w:pStyle w:val="9"/>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14:paraId="35487F77">
      <w:pPr>
        <w:pStyle w:val="9"/>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202E62B">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14:paraId="50D440CD">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14:paraId="3202E62B">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14:paraId="50D440CD">
                      <w:pPr>
                        <w:spacing w:after="200" w:line="276" w:lineRule="auto"/>
                        <w:jc w:val="center"/>
                        <w:rPr>
                          <w:rFonts w:cs="宋体"/>
                        </w:rPr>
                      </w:pPr>
                    </w:p>
                  </w:txbxContent>
                </v:textbox>
              </v:shape>
            </w:pict>
          </mc:Fallback>
        </mc:AlternateContent>
      </w:r>
    </w:p>
    <w:p w14:paraId="14788BA4">
      <w:pPr>
        <w:spacing w:after="200" w:line="276" w:lineRule="auto"/>
        <w:rPr>
          <w:rFonts w:ascii="宋体" w:hAnsi="宋体" w:cs="宋体"/>
          <w:sz w:val="24"/>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13970</wp:posOffset>
                </wp:positionV>
                <wp:extent cx="3297555" cy="1816735"/>
                <wp:effectExtent l="4445" t="4445" r="12700" b="7620"/>
                <wp:wrapNone/>
                <wp:docPr id="2" name="流程图: 可选过程 2"/>
                <wp:cNvGraphicFramePr/>
                <a:graphic xmlns:a="http://schemas.openxmlformats.org/drawingml/2006/main">
                  <a:graphicData uri="http://schemas.microsoft.com/office/word/2010/wordprocessingShape">
                    <wps:wsp>
                      <wps:cNvSpPr/>
                      <wps:spPr>
                        <a:xfrm>
                          <a:off x="0" y="0"/>
                          <a:ext cx="3297555" cy="181673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76F60C4">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1.1pt;height:143.05pt;width:259.65pt;z-index:251661312;mso-width-relative:page;mso-height-relative:page;" fillcolor="#FFFFFF" filled="t" stroked="t" coordsize="21600,21600" o:gfxdata="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l0naQ1wAAAAkBAAAPAAAAAAAAAAEAIAAAACIAAABkcnMvZG93bnJldi54bWxQSwEC&#10;FAAUAAAACACHTuJAhC+8ZS4CAABeBAAADgAAAAAAAAABACAAAAAmAQAAZHJzL2Uyb0RvYy54bWxQ&#10;SwUGAAAAAAYABgBZAQAAxgUAAAAA&#10;">
                <v:fill on="t" focussize="0,0"/>
                <v:stroke color="#000000" joinstyle="miter"/>
                <v:imagedata o:title=""/>
                <o:lock v:ext="edit" aspectratio="f"/>
                <v:textbox>
                  <w:txbxContent>
                    <w:p w14:paraId="276F60C4">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p>
    <w:p w14:paraId="60215DA8">
      <w:pPr>
        <w:spacing w:after="200" w:line="276" w:lineRule="auto"/>
        <w:rPr>
          <w:rFonts w:ascii="宋体" w:hAnsi="宋体" w:cs="宋体"/>
          <w:sz w:val="24"/>
          <w:highlight w:val="none"/>
        </w:rPr>
      </w:pPr>
    </w:p>
    <w:p w14:paraId="00062E0D">
      <w:pPr>
        <w:spacing w:after="200" w:line="276" w:lineRule="auto"/>
        <w:rPr>
          <w:rFonts w:ascii="宋体" w:hAnsi="宋体" w:cs="宋体"/>
          <w:sz w:val="24"/>
          <w:highlight w:val="none"/>
        </w:rPr>
      </w:pPr>
    </w:p>
    <w:p w14:paraId="7191A831">
      <w:pPr>
        <w:spacing w:after="200" w:line="276" w:lineRule="auto"/>
        <w:rPr>
          <w:rFonts w:ascii="宋体" w:hAnsi="宋体" w:cs="宋体"/>
          <w:sz w:val="24"/>
          <w:highlight w:val="none"/>
        </w:rPr>
      </w:pPr>
    </w:p>
    <w:p w14:paraId="48AFF507">
      <w:pPr>
        <w:tabs>
          <w:tab w:val="left" w:pos="917"/>
        </w:tabs>
        <w:spacing w:after="200" w:line="276" w:lineRule="auto"/>
        <w:jc w:val="left"/>
        <w:rPr>
          <w:rFonts w:ascii="宋体" w:hAnsi="宋体" w:cs="宋体"/>
          <w:b/>
          <w:bCs/>
          <w:sz w:val="24"/>
          <w:highlight w:val="none"/>
        </w:rPr>
      </w:pPr>
      <w:r>
        <w:rPr>
          <w:rFonts w:hint="eastAsia" w:ascii="宋体" w:hAnsi="宋体" w:cs="宋体"/>
          <w:b/>
          <w:bCs/>
          <w:sz w:val="24"/>
          <w:highlight w:val="none"/>
        </w:rPr>
        <w:br w:type="page"/>
      </w:r>
    </w:p>
    <w:p w14:paraId="7110C32B">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14:paraId="07BF1A89">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14:paraId="43A94170">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14:paraId="3C23D8B3">
      <w:pPr>
        <w:pStyle w:val="4"/>
        <w:rPr>
          <w:highlight w:val="none"/>
        </w:rPr>
      </w:pP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14:paraId="08316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38601BC1">
            <w:pPr>
              <w:pStyle w:val="12"/>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14:paraId="6D08E835">
            <w:pPr>
              <w:pStyle w:val="12"/>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14:paraId="452B1686">
            <w:pPr>
              <w:pStyle w:val="12"/>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14:paraId="4104143E">
            <w:pPr>
              <w:pStyle w:val="12"/>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14:paraId="21ACF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4C74BAAD">
            <w:pPr>
              <w:pStyle w:val="12"/>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14:paraId="5CC21010">
            <w:pPr>
              <w:pStyle w:val="12"/>
              <w:ind w:firstLine="0"/>
              <w:jc w:val="center"/>
              <w:rPr>
                <w:rFonts w:ascii="仿宋" w:hAnsi="仿宋" w:eastAsia="仿宋" w:cs="仿宋"/>
                <w:sz w:val="28"/>
                <w:szCs w:val="28"/>
                <w:highlight w:val="none"/>
              </w:rPr>
            </w:pPr>
          </w:p>
        </w:tc>
        <w:tc>
          <w:tcPr>
            <w:tcW w:w="2200" w:type="dxa"/>
          </w:tcPr>
          <w:p w14:paraId="3B5AAF73">
            <w:pPr>
              <w:pStyle w:val="12"/>
              <w:ind w:firstLine="0"/>
              <w:jc w:val="center"/>
              <w:rPr>
                <w:rFonts w:ascii="仿宋" w:hAnsi="仿宋" w:eastAsia="仿宋" w:cs="仿宋"/>
                <w:sz w:val="28"/>
                <w:szCs w:val="28"/>
                <w:highlight w:val="none"/>
              </w:rPr>
            </w:pPr>
          </w:p>
        </w:tc>
        <w:tc>
          <w:tcPr>
            <w:tcW w:w="3350" w:type="dxa"/>
          </w:tcPr>
          <w:p w14:paraId="26A95B8A">
            <w:pPr>
              <w:pStyle w:val="12"/>
              <w:ind w:firstLine="0"/>
              <w:jc w:val="center"/>
              <w:rPr>
                <w:rFonts w:ascii="仿宋" w:hAnsi="仿宋" w:eastAsia="仿宋" w:cs="仿宋"/>
                <w:sz w:val="28"/>
                <w:szCs w:val="28"/>
                <w:highlight w:val="none"/>
              </w:rPr>
            </w:pPr>
          </w:p>
        </w:tc>
      </w:tr>
      <w:tr w14:paraId="6CBB5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41DCCA00">
            <w:pPr>
              <w:pStyle w:val="12"/>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14:paraId="0661BE4A">
            <w:pPr>
              <w:pStyle w:val="12"/>
              <w:ind w:firstLine="0"/>
              <w:jc w:val="center"/>
              <w:rPr>
                <w:rFonts w:ascii="仿宋" w:hAnsi="仿宋" w:eastAsia="仿宋" w:cs="仿宋"/>
                <w:sz w:val="28"/>
                <w:szCs w:val="28"/>
                <w:highlight w:val="none"/>
              </w:rPr>
            </w:pPr>
          </w:p>
        </w:tc>
        <w:tc>
          <w:tcPr>
            <w:tcW w:w="2200" w:type="dxa"/>
          </w:tcPr>
          <w:p w14:paraId="6A47926C">
            <w:pPr>
              <w:pStyle w:val="12"/>
              <w:ind w:firstLine="0"/>
              <w:jc w:val="center"/>
              <w:rPr>
                <w:rFonts w:ascii="仿宋" w:hAnsi="仿宋" w:eastAsia="仿宋" w:cs="仿宋"/>
                <w:sz w:val="28"/>
                <w:szCs w:val="28"/>
                <w:highlight w:val="none"/>
              </w:rPr>
            </w:pPr>
          </w:p>
        </w:tc>
        <w:tc>
          <w:tcPr>
            <w:tcW w:w="3350" w:type="dxa"/>
          </w:tcPr>
          <w:p w14:paraId="41258FB7">
            <w:pPr>
              <w:pStyle w:val="12"/>
              <w:ind w:firstLine="0"/>
              <w:jc w:val="center"/>
              <w:rPr>
                <w:rFonts w:ascii="仿宋" w:hAnsi="仿宋" w:eastAsia="仿宋" w:cs="仿宋"/>
                <w:sz w:val="28"/>
                <w:szCs w:val="28"/>
                <w:highlight w:val="none"/>
              </w:rPr>
            </w:pPr>
          </w:p>
        </w:tc>
      </w:tr>
      <w:tr w14:paraId="480B2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3555BB38">
            <w:pPr>
              <w:pStyle w:val="12"/>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14:paraId="5ECE4427">
            <w:pPr>
              <w:pStyle w:val="12"/>
              <w:ind w:firstLine="0"/>
              <w:jc w:val="center"/>
              <w:rPr>
                <w:rFonts w:ascii="仿宋" w:hAnsi="仿宋" w:eastAsia="仿宋" w:cs="仿宋"/>
                <w:sz w:val="28"/>
                <w:szCs w:val="28"/>
                <w:highlight w:val="none"/>
              </w:rPr>
            </w:pPr>
          </w:p>
        </w:tc>
        <w:tc>
          <w:tcPr>
            <w:tcW w:w="2200" w:type="dxa"/>
          </w:tcPr>
          <w:p w14:paraId="73007EDB">
            <w:pPr>
              <w:pStyle w:val="12"/>
              <w:ind w:firstLine="0"/>
              <w:jc w:val="center"/>
              <w:rPr>
                <w:rFonts w:ascii="仿宋" w:hAnsi="仿宋" w:eastAsia="仿宋" w:cs="仿宋"/>
                <w:sz w:val="28"/>
                <w:szCs w:val="28"/>
                <w:highlight w:val="none"/>
              </w:rPr>
            </w:pPr>
          </w:p>
        </w:tc>
        <w:tc>
          <w:tcPr>
            <w:tcW w:w="3350" w:type="dxa"/>
          </w:tcPr>
          <w:p w14:paraId="40D660D3">
            <w:pPr>
              <w:pStyle w:val="12"/>
              <w:ind w:firstLine="0"/>
              <w:jc w:val="center"/>
              <w:rPr>
                <w:rFonts w:ascii="仿宋" w:hAnsi="仿宋" w:eastAsia="仿宋" w:cs="仿宋"/>
                <w:sz w:val="28"/>
                <w:szCs w:val="28"/>
                <w:highlight w:val="none"/>
              </w:rPr>
            </w:pPr>
          </w:p>
        </w:tc>
      </w:tr>
      <w:tr w14:paraId="5D874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7F4D9666">
            <w:pPr>
              <w:pStyle w:val="12"/>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14:paraId="05E2EAEC">
            <w:pPr>
              <w:pStyle w:val="12"/>
              <w:ind w:firstLine="0"/>
              <w:jc w:val="center"/>
              <w:rPr>
                <w:rFonts w:ascii="仿宋" w:hAnsi="仿宋" w:eastAsia="仿宋" w:cs="仿宋"/>
                <w:sz w:val="28"/>
                <w:szCs w:val="28"/>
                <w:highlight w:val="none"/>
              </w:rPr>
            </w:pPr>
          </w:p>
        </w:tc>
        <w:tc>
          <w:tcPr>
            <w:tcW w:w="2200" w:type="dxa"/>
          </w:tcPr>
          <w:p w14:paraId="0FB14210">
            <w:pPr>
              <w:pStyle w:val="12"/>
              <w:ind w:firstLine="0"/>
              <w:jc w:val="center"/>
              <w:rPr>
                <w:rFonts w:ascii="仿宋" w:hAnsi="仿宋" w:eastAsia="仿宋" w:cs="仿宋"/>
                <w:sz w:val="28"/>
                <w:szCs w:val="28"/>
                <w:highlight w:val="none"/>
              </w:rPr>
            </w:pPr>
          </w:p>
        </w:tc>
        <w:tc>
          <w:tcPr>
            <w:tcW w:w="3350" w:type="dxa"/>
          </w:tcPr>
          <w:p w14:paraId="3BCA5181">
            <w:pPr>
              <w:pStyle w:val="12"/>
              <w:ind w:firstLine="0"/>
              <w:jc w:val="center"/>
              <w:rPr>
                <w:rFonts w:ascii="仿宋" w:hAnsi="仿宋" w:eastAsia="仿宋" w:cs="仿宋"/>
                <w:sz w:val="28"/>
                <w:szCs w:val="28"/>
                <w:highlight w:val="none"/>
              </w:rPr>
            </w:pPr>
          </w:p>
        </w:tc>
      </w:tr>
      <w:tr w14:paraId="69FF4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70B3A962">
            <w:pPr>
              <w:pStyle w:val="12"/>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14:paraId="3321913A">
            <w:pPr>
              <w:pStyle w:val="12"/>
              <w:ind w:firstLine="0"/>
              <w:jc w:val="center"/>
              <w:rPr>
                <w:rFonts w:ascii="仿宋" w:hAnsi="仿宋" w:eastAsia="仿宋" w:cs="仿宋"/>
                <w:sz w:val="28"/>
                <w:szCs w:val="28"/>
                <w:highlight w:val="none"/>
              </w:rPr>
            </w:pPr>
          </w:p>
        </w:tc>
        <w:tc>
          <w:tcPr>
            <w:tcW w:w="2200" w:type="dxa"/>
          </w:tcPr>
          <w:p w14:paraId="0BA3A392">
            <w:pPr>
              <w:pStyle w:val="12"/>
              <w:ind w:firstLine="0"/>
              <w:jc w:val="center"/>
              <w:rPr>
                <w:rFonts w:ascii="仿宋" w:hAnsi="仿宋" w:eastAsia="仿宋" w:cs="仿宋"/>
                <w:sz w:val="28"/>
                <w:szCs w:val="28"/>
                <w:highlight w:val="none"/>
              </w:rPr>
            </w:pPr>
          </w:p>
        </w:tc>
        <w:tc>
          <w:tcPr>
            <w:tcW w:w="3350" w:type="dxa"/>
          </w:tcPr>
          <w:p w14:paraId="4F9D45C4">
            <w:pPr>
              <w:pStyle w:val="12"/>
              <w:ind w:firstLine="0"/>
              <w:jc w:val="center"/>
              <w:rPr>
                <w:rFonts w:ascii="仿宋" w:hAnsi="仿宋" w:eastAsia="仿宋" w:cs="仿宋"/>
                <w:sz w:val="28"/>
                <w:szCs w:val="28"/>
                <w:highlight w:val="none"/>
              </w:rPr>
            </w:pPr>
          </w:p>
        </w:tc>
      </w:tr>
      <w:tr w14:paraId="79F40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346A8DD4">
            <w:pPr>
              <w:pStyle w:val="12"/>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14:paraId="3F3B94C6">
            <w:pPr>
              <w:pStyle w:val="12"/>
              <w:ind w:firstLine="0"/>
              <w:jc w:val="center"/>
              <w:rPr>
                <w:rFonts w:ascii="仿宋" w:hAnsi="仿宋" w:eastAsia="仿宋" w:cs="仿宋"/>
                <w:sz w:val="28"/>
                <w:szCs w:val="28"/>
                <w:highlight w:val="none"/>
              </w:rPr>
            </w:pPr>
          </w:p>
        </w:tc>
        <w:tc>
          <w:tcPr>
            <w:tcW w:w="2200" w:type="dxa"/>
          </w:tcPr>
          <w:p w14:paraId="1692AAAB">
            <w:pPr>
              <w:pStyle w:val="12"/>
              <w:ind w:firstLine="0"/>
              <w:jc w:val="center"/>
              <w:rPr>
                <w:rFonts w:ascii="仿宋" w:hAnsi="仿宋" w:eastAsia="仿宋" w:cs="仿宋"/>
                <w:sz w:val="28"/>
                <w:szCs w:val="28"/>
                <w:highlight w:val="none"/>
              </w:rPr>
            </w:pPr>
          </w:p>
        </w:tc>
        <w:tc>
          <w:tcPr>
            <w:tcW w:w="3350" w:type="dxa"/>
          </w:tcPr>
          <w:p w14:paraId="2B561DC2">
            <w:pPr>
              <w:pStyle w:val="12"/>
              <w:ind w:firstLine="0"/>
              <w:jc w:val="center"/>
              <w:rPr>
                <w:rFonts w:ascii="仿宋" w:hAnsi="仿宋" w:eastAsia="仿宋" w:cs="仿宋"/>
                <w:sz w:val="28"/>
                <w:szCs w:val="28"/>
                <w:highlight w:val="none"/>
              </w:rPr>
            </w:pPr>
          </w:p>
        </w:tc>
      </w:tr>
    </w:tbl>
    <w:p w14:paraId="5BC74861">
      <w:pPr>
        <w:pStyle w:val="11"/>
        <w:spacing w:after="200" w:line="276" w:lineRule="auto"/>
        <w:ind w:firstLine="0" w:firstLineChars="0"/>
        <w:jc w:val="left"/>
        <w:rPr>
          <w:rFonts w:ascii="仿宋" w:hAnsi="仿宋" w:eastAsia="仿宋" w:cs="仿宋"/>
          <w:b/>
          <w:kern w:val="0"/>
          <w:sz w:val="28"/>
          <w:szCs w:val="28"/>
          <w:highlight w:val="none"/>
        </w:rPr>
      </w:pPr>
    </w:p>
    <w:p w14:paraId="7997A381">
      <w:pPr>
        <w:pStyle w:val="11"/>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【提供人员经社保局盖章的截止日前12个月内任意1个月的本单位缴纳社保的证明材料】</w:t>
      </w:r>
    </w:p>
    <w:p w14:paraId="134A14DD">
      <w:pPr>
        <w:rPr>
          <w:rFonts w:ascii="宋体" w:hAnsi="宋体" w:cs="宋体"/>
          <w:b/>
          <w:bCs/>
          <w:sz w:val="24"/>
          <w:highlight w:val="none"/>
        </w:rPr>
      </w:pPr>
      <w:r>
        <w:rPr>
          <w:rFonts w:hint="eastAsia" w:ascii="宋体" w:hAnsi="宋体" w:cs="宋体"/>
          <w:b/>
          <w:bCs/>
          <w:sz w:val="24"/>
          <w:highlight w:val="none"/>
        </w:rPr>
        <w:br w:type="page"/>
      </w:r>
    </w:p>
    <w:p w14:paraId="3C0F841B">
      <w:pPr>
        <w:pStyle w:val="11"/>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14:paraId="03D669F8">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（提供项目服务方案，格式自拟）</w:t>
      </w:r>
    </w:p>
    <w:p w14:paraId="67964767">
      <w:pPr>
        <w:pStyle w:val="4"/>
        <w:rPr>
          <w:highlight w:val="none"/>
        </w:rPr>
      </w:pPr>
    </w:p>
    <w:p w14:paraId="35F65634">
      <w:pPr>
        <w:pStyle w:val="4"/>
        <w:rPr>
          <w:highlight w:val="none"/>
        </w:rPr>
      </w:pPr>
    </w:p>
    <w:p w14:paraId="32C23207">
      <w:pPr>
        <w:pStyle w:val="9"/>
        <w:widowControl/>
        <w:spacing w:beforeAutospacing="0" w:afterAutospacing="0" w:line="480" w:lineRule="exact"/>
        <w:jc w:val="both"/>
        <w:rPr>
          <w:rFonts w:hint="eastAsia" w:ascii="仿宋_GB2312" w:hAnsi="仿宋_GB2312" w:eastAsia="仿宋_GB2312" w:cs="仿宋_GB2312"/>
          <w:sz w:val="28"/>
          <w:szCs w:val="28"/>
          <w:highlight w:val="none"/>
          <w:shd w:val="clear" w:color="auto" w:fill="FFFFFF"/>
          <w:lang w:val="en-US" w:eastAsia="zh-CN"/>
        </w:rPr>
        <w:sectPr>
          <w:pgSz w:w="11906" w:h="16838"/>
          <w:pgMar w:top="1440" w:right="1800" w:bottom="1440" w:left="1800" w:header="851" w:footer="992" w:gutter="0"/>
          <w:cols w:space="425" w:num="1"/>
          <w:docGrid w:type="lines" w:linePitch="312" w:charSpace="0"/>
        </w:sectPr>
      </w:pPr>
    </w:p>
    <w:p w14:paraId="3CF81012">
      <w:pPr>
        <w:pStyle w:val="11"/>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九、报价人认为需要补充的其他资料</w:t>
      </w:r>
    </w:p>
    <w:p w14:paraId="0D38026E"/>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1" w:fontKey="{82F958F8-2901-40EF-9A5D-BF6CF304480B}"/>
  </w:font>
  <w:font w:name="仿宋">
    <w:panose1 w:val="02010609060101010101"/>
    <w:charset w:val="86"/>
    <w:family w:val="auto"/>
    <w:pitch w:val="default"/>
    <w:sig w:usb0="800002BF" w:usb1="38CF7CFA" w:usb2="00000016" w:usb3="00000000" w:csb0="00040001" w:csb1="00000000"/>
    <w:embedRegular r:id="rId2" w:fontKey="{9B155981-733A-42E8-BEBC-6F46030F84B7}"/>
  </w:font>
  <w:font w:name="方正小标宋简体">
    <w:panose1 w:val="02000000000000000000"/>
    <w:charset w:val="86"/>
    <w:family w:val="auto"/>
    <w:pitch w:val="default"/>
    <w:sig w:usb0="00000001" w:usb1="08000000" w:usb2="00000000" w:usb3="00000000" w:csb0="00040000" w:csb1="00000000"/>
    <w:embedRegular r:id="rId3" w:fontKey="{8A1C65FE-7E18-445B-BDDF-73172D3554D1}"/>
  </w:font>
  <w:font w:name="WPSEMBED6">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D19C7">
    <w:pPr>
      <w:pStyle w:val="7"/>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EE2BE">
    <w:pPr>
      <w:spacing w:line="360" w:lineRule="auto"/>
      <w:jc w:val="center"/>
      <w:rPr>
        <w:rFonts w:asciiTheme="minorEastAsia" w:hAnsiTheme="minorEastAsia" w:eastAsiaTheme="minor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1MDFiM2JkNjdkMzFkNGE4NjBkMGYwOWYxZjU2NjgifQ=="/>
    <w:docVar w:name="KSO_WPS_MARK_KEY" w:val="bb9682b2-9e9a-4f79-8ae2-b36a7f3673af"/>
  </w:docVars>
  <w:rsids>
    <w:rsidRoot w:val="2F92180C"/>
    <w:rsid w:val="02EE5303"/>
    <w:rsid w:val="0374660C"/>
    <w:rsid w:val="03F12FDD"/>
    <w:rsid w:val="04A96068"/>
    <w:rsid w:val="07CB78B3"/>
    <w:rsid w:val="08A43CA1"/>
    <w:rsid w:val="0E734AB6"/>
    <w:rsid w:val="0EE45041"/>
    <w:rsid w:val="1494363A"/>
    <w:rsid w:val="16853C7F"/>
    <w:rsid w:val="18267088"/>
    <w:rsid w:val="19025E88"/>
    <w:rsid w:val="1C232376"/>
    <w:rsid w:val="1D863BD0"/>
    <w:rsid w:val="23240B2B"/>
    <w:rsid w:val="2F92180C"/>
    <w:rsid w:val="311B4CC7"/>
    <w:rsid w:val="3472239E"/>
    <w:rsid w:val="3B92116F"/>
    <w:rsid w:val="403F72E8"/>
    <w:rsid w:val="40A2049E"/>
    <w:rsid w:val="43711026"/>
    <w:rsid w:val="44092D33"/>
    <w:rsid w:val="441846C4"/>
    <w:rsid w:val="44B76D71"/>
    <w:rsid w:val="552C24AA"/>
    <w:rsid w:val="5ADE62D7"/>
    <w:rsid w:val="5DC81E08"/>
    <w:rsid w:val="605329A4"/>
    <w:rsid w:val="66787613"/>
    <w:rsid w:val="6BFF0F41"/>
    <w:rsid w:val="7255439B"/>
    <w:rsid w:val="752C5351"/>
    <w:rsid w:val="7C1D696A"/>
    <w:rsid w:val="7C846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eastAsia="宋体" w:cs="Times New Roman"/>
      <w:sz w:val="33"/>
      <w:szCs w:val="33"/>
    </w:rPr>
  </w:style>
  <w:style w:type="paragraph" w:styleId="4">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5">
    <w:name w:val="Body Text Indent"/>
    <w:basedOn w:val="1"/>
    <w:qFormat/>
    <w:uiPriority w:val="0"/>
    <w:pPr>
      <w:autoSpaceDE w:val="0"/>
      <w:autoSpaceDN w:val="0"/>
      <w:spacing w:line="360" w:lineRule="auto"/>
      <w:ind w:firstLine="420" w:firstLineChars="200"/>
    </w:pPr>
    <w:rPr>
      <w:rFonts w:ascii="宋体" w:hAnsi="宋体"/>
      <w:szCs w:val="21"/>
    </w:rPr>
  </w:style>
  <w:style w:type="paragraph" w:styleId="6">
    <w:name w:val="HTML Address"/>
    <w:basedOn w:val="1"/>
    <w:qFormat/>
    <w:uiPriority w:val="0"/>
    <w:rPr>
      <w:i/>
      <w:iCs/>
    </w:rPr>
  </w:style>
  <w:style w:type="paragraph" w:styleId="7">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8">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9">
    <w:name w:val="Normal (Web)"/>
    <w:basedOn w:val="1"/>
    <w:qFormat/>
    <w:uiPriority w:val="0"/>
    <w:pPr>
      <w:spacing w:beforeAutospacing="1" w:afterAutospacing="1"/>
      <w:jc w:val="left"/>
    </w:pPr>
    <w:rPr>
      <w:rFonts w:cs="Times New Roman"/>
      <w:kern w:val="0"/>
      <w:sz w:val="24"/>
    </w:rPr>
  </w:style>
  <w:style w:type="paragraph" w:styleId="10">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1">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2">
    <w:name w:val="Body Text First Indent 2"/>
    <w:basedOn w:val="5"/>
    <w:next w:val="1"/>
    <w:qFormat/>
    <w:uiPriority w:val="0"/>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NormalCharacter"/>
    <w:qFormat/>
    <w:uiPriority w:val="0"/>
  </w:style>
  <w:style w:type="character" w:customStyle="1" w:styleId="17">
    <w:name w:val="font21"/>
    <w:basedOn w:val="15"/>
    <w:qFormat/>
    <w:uiPriority w:val="0"/>
    <w:rPr>
      <w:rFonts w:ascii="仿宋_GB2312" w:eastAsia="仿宋_GB2312" w:cs="仿宋_GB2312"/>
      <w:color w:val="000000"/>
      <w:sz w:val="32"/>
      <w:szCs w:val="32"/>
      <w:u w:val="none"/>
    </w:rPr>
  </w:style>
  <w:style w:type="character" w:customStyle="1" w:styleId="18">
    <w:name w:val="font11"/>
    <w:basedOn w:val="15"/>
    <w:qFormat/>
    <w:uiPriority w:val="0"/>
    <w:rPr>
      <w:rFonts w:hint="eastAsia" w:ascii="仿宋" w:hAnsi="仿宋" w:eastAsia="仿宋" w:cs="仿宋"/>
      <w:color w:val="000000"/>
      <w:sz w:val="32"/>
      <w:szCs w:val="3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1778</Words>
  <Characters>1867</Characters>
  <Lines>0</Lines>
  <Paragraphs>0</Paragraphs>
  <TotalTime>9</TotalTime>
  <ScaleCrop>false</ScaleCrop>
  <LinksUpToDate>false</LinksUpToDate>
  <CharactersWithSpaces>2074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2024-09-27T09:37:00Z</dcterms:created>
  <dc:creator>玉婷</dc:creator>
  <cp:lastModifiedBy>Red ferrari .</cp:lastModifiedBy>
  <dcterms:modified xsi:type="dcterms:W3CDTF">2026-04-30T07:23:31Z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E6B1917B4B874F96BD5D90FB18F7845E_13</vt:lpwstr>
  </property>
  <property fmtid="{D5CDD505-2E9C-101B-9397-08002B2CF9AE}" pid="4" name="KSOTemplateDocerSaveRecord">
    <vt:lpwstr>eyJoZGlkIjoiY2M2NDA4ZWQyYzM5MjEyNjc2ODZkOGY5YjE4ZmU1YTIiLCJ1c2VySWQiOiIxNjMwMzkyMzEwIn0=</vt:lpwstr>
  </property>
</Properties>
</file>