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2026年度兼容性测试服务项目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项目编号：ND26050045GZ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经认真阅读2026年度兼容性测试服务项目采购公告及附件（项目编号：</w:t>
      </w:r>
      <w:r>
        <w:rPr>
          <w:rFonts w:hint="eastAsia"/>
          <w:bCs/>
          <w:sz w:val="24"/>
          <w:u w:val="single"/>
        </w:rPr>
        <w:t>ND26050045GZ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1.服务</w:t>
            </w:r>
            <w:r>
              <w:rPr>
                <w:rFonts w:hint="eastAsia" w:ascii="宋体" w:hAnsi="宋体" w:cs="仿宋"/>
                <w:color w:val="auto"/>
                <w:sz w:val="24"/>
              </w:rPr>
              <w:t>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2.服务地点：广州市。</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color w:val="auto"/>
                <w:sz w:val="24"/>
              </w:rPr>
            </w:pPr>
            <w:r>
              <w:rPr>
                <w:rFonts w:hint="eastAsia" w:ascii="宋体" w:hAnsi="宋体" w:cs="仿宋"/>
                <w:color w:val="auto"/>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w:t>
            </w:r>
            <w:bookmarkStart w:id="9" w:name="_GoBack"/>
            <w:bookmarkEnd w:id="9"/>
            <w:r>
              <w:rPr>
                <w:rFonts w:hint="eastAsia" w:ascii="宋体" w:hAnsi="宋体" w:cs="仿宋"/>
                <w:color w:val="auto"/>
                <w:sz w:val="24"/>
              </w:rPr>
              <w:t>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经认真阅读2026年度兼容性测试服务项目采购公告及附件（项目编号：ND26050045GZ）我方已完全了解本项目的商务与技术要求，承诺按照采购文件的要求提供产品和服务，报价如下。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lang w:val="en-US" w:eastAsia="zh-CN"/>
        </w:rPr>
        <w:t>服务内容</w:t>
      </w:r>
      <w:r>
        <w:rPr>
          <w:rFonts w:hint="eastAsia" w:cs="宋体"/>
          <w:bCs/>
          <w:sz w:val="24"/>
        </w:rPr>
        <w:t>报价如下（</w:t>
      </w:r>
      <w:r>
        <w:rPr>
          <w:rFonts w:hint="eastAsia" w:cs="宋体"/>
          <w:bCs/>
          <w:sz w:val="24"/>
          <w:lang w:val="en-US" w:eastAsia="zh-CN"/>
        </w:rPr>
        <w:t>报价</w:t>
      </w:r>
      <w:r>
        <w:rPr>
          <w:rFonts w:hint="eastAsia" w:cs="宋体"/>
          <w:bCs/>
          <w:sz w:val="24"/>
        </w:rPr>
        <w:t>由我司填写，其他与采购公告文件一致）：</w:t>
      </w:r>
    </w:p>
    <w:p>
      <w:pPr>
        <w:numPr>
          <w:ilvl w:val="255"/>
          <w:numId w:val="0"/>
        </w:numPr>
      </w:pPr>
    </w:p>
    <w:tbl>
      <w:tblPr>
        <w:tblStyle w:val="38"/>
        <w:tblW w:w="8134" w:type="dxa"/>
        <w:jc w:val="center"/>
        <w:tblLayout w:type="autofit"/>
        <w:tblCellMar>
          <w:top w:w="15" w:type="dxa"/>
          <w:left w:w="15" w:type="dxa"/>
          <w:bottom w:w="15" w:type="dxa"/>
          <w:right w:w="15" w:type="dxa"/>
        </w:tblCellMar>
      </w:tblPr>
      <w:tblGrid>
        <w:gridCol w:w="752"/>
        <w:gridCol w:w="1166"/>
        <w:gridCol w:w="4177"/>
        <w:gridCol w:w="80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16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177"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val="en-US" w:eastAsia="zh-CN" w:bidi="ar"/>
              </w:rPr>
              <w:t>报价</w:t>
            </w: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18"/>
                <w:szCs w:val="18"/>
                <w:lang w:val="en-US" w:eastAsia="zh-CN" w:bidi="ar"/>
              </w:rPr>
            </w:pPr>
            <w:r>
              <w:rPr>
                <w:rFonts w:hint="eastAsia" w:ascii="宋体" w:hAnsi="宋体" w:eastAsia="宋体" w:cs="宋体"/>
                <w:b/>
                <w:color w:val="000000"/>
                <w:kern w:val="0"/>
                <w:sz w:val="18"/>
                <w:szCs w:val="18"/>
                <w:lang w:val="en-US" w:eastAsia="zh-CN" w:bidi="ar"/>
              </w:rPr>
              <w:t>1</w:t>
            </w:r>
          </w:p>
        </w:tc>
        <w:tc>
          <w:tcPr>
            <w:tcW w:w="11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兼容性测试服务技术具体需求</w:t>
            </w:r>
          </w:p>
          <w:p>
            <w:pPr>
              <w:widowControl/>
              <w:jc w:val="center"/>
              <w:textAlignment w:val="center"/>
              <w:rPr>
                <w:rFonts w:hint="eastAsia" w:ascii="宋体" w:hAnsi="宋体" w:eastAsia="宋体" w:cs="宋体"/>
                <w:b w:val="0"/>
                <w:bCs/>
                <w:color w:val="000000"/>
                <w:sz w:val="18"/>
                <w:szCs w:val="18"/>
                <w:lang w:eastAsia="zh-Hans"/>
              </w:rPr>
            </w:pPr>
          </w:p>
        </w:tc>
        <w:tc>
          <w:tcPr>
            <w:tcW w:w="4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1.兼容性测试要求覆盖市场上Android top300款、iOS top50款及HarmonyOS NEXT top20款的机型和最新系统版本（可由需求方自定义部分机型）；Android机型应该覆盖OPPO、VIVO、小米、华为、魅族、三星等主流品牌及主流型号，品牌覆盖30+，型号覆盖300+，操作系统覆盖Android 5.0及以上机型，操作系统覆盖数量20+。鸿蒙操作系统覆盖2.0及以上机型。iOS操作系统应覆盖9.0及以上的所有机型，操作系统覆盖20+。Android手机屏幕分辨率最低应覆盖854*480。合同期内新发布的热点机型，应纳入测试范围；</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2.根据需求方的实际需求定制测试流程及安装、启动、卸载、UI等主要功能场景在真机上进行自动化脚本兼容性适配检测，对过程中出现的问题进行详细的记录和报告；</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3.配合进行回归测试，对出问题的机型能够提供复测协助以验证问题是否修复；</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4.兼容性测试反馈的测试报告，应包含机型硬件配置信息，问题机型的日志定位、截图、视频、问题描述、错误原因以及CPU、内存等性能指标在内的详细测试数据报告，问题经过人工复测，帮助需求方快速定位机型兼容性问题并解决兼容性问题；</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5.能够提供远程真机调试；</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6.最终测试报告在需求方提交安装包后的三个工作日内给出，且报告已经过人工审核，确保提交的问题有效（排除脚本、网络、平台等因素影响）；</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7.兼容性测试以12个版本计，每个版本包括Android、iOS和鸿蒙。每个版本的测试内容包括当次版本的新增需求及原APP的主流程，版本测试时长预计10分钟。合同时间内若未使用完次数，可顺延继续使用。</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8.兼容性测试应包括如下内容，但不局限于此：</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【安装启动适配】安装程序验证，测试APP应用在指定的终端上是否可正常安装，自动输出无法安装及崩溃的错误原因。</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运行稳定适配】采用自动化脚本测试方式，验证APP应用实际运行的稳定性，APP在不同硬件设备上运行APP是否会发生崩溃、闪退，无响应，并记录运行中的错误及警告，通过截图记录操作路径，并记录日志和崩溃现象。</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【功能UI适配】检查APP内部UI展示，判断UI页面是否有扭曲，拉伸，变形，变色，文案重叠等情况出现。</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【功能点监测】完成用户指定流程的功能点验证。</w:t>
            </w:r>
          </w:p>
          <w:p>
            <w:pPr>
              <w:widowControl/>
              <w:jc w:val="left"/>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【卸载测试】卸载程序验证，测试APP应用在指定的终端上是否可正常卸载，自动输出无法卸载及崩溃的错误原因。</w:t>
            </w:r>
          </w:p>
        </w:tc>
        <w:tc>
          <w:tcPr>
            <w:tcW w:w="804"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kern w:val="0"/>
                <w:sz w:val="18"/>
                <w:szCs w:val="18"/>
                <w:lang w:val="en-US" w:eastAsia="zh-CN" w:bidi="ar"/>
              </w:rPr>
            </w:pPr>
            <w:r>
              <w:rPr>
                <w:rFonts w:hint="eastAsia" w:ascii="宋体" w:hAnsi="宋体" w:cs="宋体"/>
                <w:b w:val="0"/>
                <w:bCs/>
                <w:color w:val="000000"/>
                <w:kern w:val="0"/>
                <w:sz w:val="18"/>
                <w:szCs w:val="18"/>
                <w:lang w:val="en-US" w:eastAsia="zh-CN" w:bidi="ar"/>
              </w:rPr>
              <w:t>1项</w:t>
            </w:r>
          </w:p>
        </w:tc>
        <w:tc>
          <w:tcPr>
            <w:tcW w:w="1235"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18"/>
                <w:szCs w:val="18"/>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18"/>
                <w:szCs w:val="18"/>
                <w:lang w:val="en-US" w:eastAsia="zh-CN" w:bidi="ar"/>
              </w:rPr>
            </w:pPr>
            <w:r>
              <w:rPr>
                <w:rFonts w:hint="eastAsia" w:ascii="宋体" w:hAnsi="宋体" w:eastAsia="宋体" w:cs="宋体"/>
                <w:b/>
                <w:color w:val="000000"/>
                <w:kern w:val="0"/>
                <w:sz w:val="18"/>
                <w:szCs w:val="18"/>
                <w:lang w:val="en-US" w:eastAsia="zh-CN" w:bidi="ar"/>
              </w:rPr>
              <w:t>2</w:t>
            </w:r>
          </w:p>
        </w:tc>
        <w:tc>
          <w:tcPr>
            <w:tcW w:w="11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sz w:val="18"/>
                <w:szCs w:val="18"/>
                <w:lang w:eastAsia="zh-Hans"/>
              </w:rPr>
            </w:pPr>
            <w:r>
              <w:rPr>
                <w:rFonts w:hint="eastAsia" w:ascii="宋体" w:hAnsi="宋体" w:eastAsia="宋体" w:cs="宋体"/>
                <w:b w:val="0"/>
                <w:bCs/>
                <w:color w:val="000000"/>
                <w:sz w:val="18"/>
                <w:szCs w:val="18"/>
                <w:lang w:eastAsia="zh-Hans"/>
              </w:rPr>
              <w:t>项目管理及实施要求</w:t>
            </w:r>
          </w:p>
        </w:tc>
        <w:tc>
          <w:tcPr>
            <w:tcW w:w="4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b w:val="0"/>
                <w:bCs/>
                <w:color w:val="000000"/>
                <w:sz w:val="18"/>
                <w:szCs w:val="18"/>
                <w:lang w:eastAsia="zh-Hans"/>
              </w:rPr>
            </w:pPr>
            <w:r>
              <w:rPr>
                <w:rFonts w:hint="eastAsia" w:ascii="宋体" w:hAnsi="宋体" w:eastAsia="宋体" w:cs="宋体"/>
                <w:b w:val="0"/>
                <w:bCs/>
                <w:color w:val="000000"/>
                <w:sz w:val="18"/>
                <w:szCs w:val="18"/>
                <w:lang w:eastAsia="zh-Hans"/>
              </w:rPr>
              <w:t>项目管理及实施要求</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1.项目组织</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(1)项目组织专门的团队负责推进。</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(2)提供项目对接人的联系方式，电话、邮箱和其他实时通讯账号,有问题的时候能够有人及时响应，测试负责人不能频繁更换。</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(3)能够配合需求方的项目进度，对紧急事情能够及时响应和支持。</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2.提供测试方案及计划</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测试方案指在正式测试实施开始前，对测试项目所作的一个执行方案，主要包括测试目的、评测依据、评测管理、评测内容及方法、测试配合要求、测试结果、测试环境要求、测试时间计划以及项目输出成果等。</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3.提供测试规范及记录</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测试规范及记录指测试团队通过使用所设测试工具来运行或测定系统的过程，检验系统是否满足规定需求的规范及记录。</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4.提供测试问题报告</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测试问题报告指在测试实施完成后，测试工作组提交的一个缺陷报告。主要内容包括问题的严重等级、问题产生的详细操作过程及结果描述等。必要时要提供解决建议。</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5.提供质量报告</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质量报告是由服务方提交的最终测试结果报告，主要内容包括对APP的综合评价。项目结束后，提供项目验收材料(例如问题清单、项目总结报告、项目验收报告等)。</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6.项目风险及控制</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项目执行过程中，存在一定的项目进度风险。在测试过程中，若由于测试方其他因素导致测试进度拖延，则测试方加大测试力量，保证测试进度；若由于其他原因，则需求方、测试方及时沟通，加大配合力度，提高修改效率，保证测试进度。问题能够及时反馈、沟通并提交到需求方，保证项目进度。</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7.项目期限</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项目期限是从签署合同起1年（合同时间内若未使用完次数，可顺延至下一年使用），若服务良好，且甲方有合作需求，合同可续签一年。</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8.项目保密要求</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服务单位需与智媒科技公司签署保密条款，未经许可不得泄露相关的任何信息。</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9.提供培训服务</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服务单位应提供产品培训，便于需求方更好的了解并使用测试方的产品。</w:t>
            </w:r>
          </w:p>
        </w:tc>
        <w:tc>
          <w:tcPr>
            <w:tcW w:w="804"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18"/>
                <w:szCs w:val="18"/>
                <w:lang w:val="en-US" w:eastAsia="zh-CN" w:bidi="ar"/>
              </w:rPr>
            </w:pPr>
            <w:r>
              <w:rPr>
                <w:rFonts w:hint="eastAsia" w:ascii="宋体" w:hAnsi="宋体" w:eastAsia="宋体" w:cs="宋体"/>
                <w:b/>
                <w:color w:val="000000"/>
                <w:kern w:val="0"/>
                <w:sz w:val="18"/>
                <w:szCs w:val="18"/>
                <w:lang w:val="en-US" w:eastAsia="zh-CN" w:bidi="ar"/>
              </w:rPr>
              <w:t>3</w:t>
            </w:r>
          </w:p>
        </w:tc>
        <w:tc>
          <w:tcPr>
            <w:tcW w:w="11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color w:val="000000"/>
                <w:sz w:val="18"/>
                <w:szCs w:val="18"/>
                <w:lang w:eastAsia="zh-Hans"/>
              </w:rPr>
            </w:pPr>
            <w:r>
              <w:rPr>
                <w:rFonts w:hint="eastAsia" w:ascii="宋体" w:hAnsi="宋体" w:eastAsia="宋体" w:cs="宋体"/>
                <w:b w:val="0"/>
                <w:bCs/>
                <w:color w:val="000000"/>
                <w:sz w:val="18"/>
                <w:szCs w:val="18"/>
                <w:lang w:eastAsia="zh-Hans"/>
              </w:rPr>
              <w:t>资质要求</w:t>
            </w:r>
          </w:p>
        </w:tc>
        <w:tc>
          <w:tcPr>
            <w:tcW w:w="4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公司资质要求</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1.公司具有兼容性测试的自动化测试能力；</w:t>
            </w:r>
          </w:p>
          <w:p>
            <w:pPr>
              <w:widowControl/>
              <w:jc w:val="both"/>
              <w:textAlignment w:val="center"/>
              <w:rPr>
                <w:rFonts w:hint="eastAsia" w:ascii="宋体" w:hAnsi="宋体" w:eastAsia="宋体" w:cs="宋体"/>
                <w:b w:val="0"/>
                <w:bCs/>
                <w:color w:val="000000"/>
                <w:kern w:val="0"/>
                <w:sz w:val="18"/>
                <w:szCs w:val="18"/>
                <w:lang w:bidi="ar"/>
              </w:rPr>
            </w:pPr>
            <w:r>
              <w:rPr>
                <w:rFonts w:hint="eastAsia" w:ascii="宋体" w:hAnsi="宋体" w:eastAsia="宋体" w:cs="宋体"/>
                <w:b w:val="0"/>
                <w:bCs/>
                <w:color w:val="000000"/>
                <w:kern w:val="0"/>
                <w:sz w:val="18"/>
                <w:szCs w:val="18"/>
                <w:lang w:bidi="ar"/>
              </w:rPr>
              <w:t>2.有大型媒体APP端软件测试经验尤佳。</w:t>
            </w:r>
          </w:p>
        </w:tc>
        <w:tc>
          <w:tcPr>
            <w:tcW w:w="804" w:type="dxa"/>
            <w:vMerge w:val="continue"/>
            <w:tcBorders>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vMerge w:val="continue"/>
            <w:tcBorders>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cs="宋体"/>
          <w:sz w:val="24"/>
          <w:lang w:eastAsia="zh-Hans"/>
        </w:rPr>
      </w:pPr>
      <w:r>
        <w:rPr>
          <w:rFonts w:hint="eastAsia" w:ascii="宋体" w:hAnsi="宋体" w:cs="宋体"/>
          <w:sz w:val="24"/>
        </w:rPr>
        <w:t>2、</w:t>
      </w:r>
      <w:r>
        <w:rPr>
          <w:rFonts w:hint="eastAsia" w:ascii="宋体" w:hAnsi="宋体" w:cs="宋体"/>
          <w:sz w:val="24"/>
          <w:lang w:eastAsia="zh-Hans"/>
        </w:rPr>
        <w:t>项目管理及实施要求</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646990934"/>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59901555"/>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81561598"/>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72449377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33463154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2026年度兼容性测试服务项目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：ND26050045GZ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34146941"/>
      <w:bookmarkStart w:id="8" w:name="_Toc475472676"/>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hint="eastAsia"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hint="eastAsia"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256197"/>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2026年度兼容性测试服务项目（项目编号：ND26050045GZ）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C61A1"/>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5FF94F5F"/>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A962B9"/>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8F1E74"/>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12</Pages>
  <Words>501</Words>
  <Characters>2857</Characters>
  <Lines>23</Lines>
  <Paragraphs>6</Paragraphs>
  <TotalTime>235</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2021-01-24T22:22:00Z</dcterms:created>
  <dc:creator>MIIT</dc:creator>
  <cp:lastModifiedBy>chendzhi</cp:lastModifiedBy>
  <cp:lastPrinted>2021-06-11T16:09:00Z</cp:lastPrinted>
  <dcterms:modified xsi:type="dcterms:W3CDTF">2026-05-07T06:27:08Z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9C3B8651F33342959C01AB372C33CD2E</vt:lpwstr>
  </property>
</Properties>
</file>