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numPr>
          <w:ilvl w:val="0"/>
          <w:numId w:val="0"/>
        </w:numPr>
        <w:jc w:val="center"/>
        <w:outlineLvl w:val="0"/>
        <w:rPr>
          <w:rFonts w:hint="eastAsia" w:ascii="方正小标宋简体" w:hAnsi="方正小标宋简体" w:eastAsia="方正小标宋简体" w:cs="方正小标宋简体"/>
          <w:b/>
          <w:sz w:val="36"/>
          <w:szCs w:val="36"/>
          <w:lang w:val="en-US" w:eastAsia="zh-CN"/>
        </w:rPr>
      </w:pPr>
      <w:bookmarkStart w:id="0" w:name="_Toc20396_WPSOffice_Level1"/>
      <w:bookmarkStart w:id="1" w:name="_Toc28241_WPSOffice_Level1"/>
      <w:bookmarkStart w:id="2" w:name="_Toc19720_WPSOffice_Level1"/>
      <w:bookmarkStart w:id="3" w:name="_Toc11357_WPSOffice_Level1"/>
      <w:r>
        <w:rPr>
          <w:rFonts w:hint="eastAsia" w:ascii="方正小标宋简体" w:hAnsi="方正小标宋简体" w:eastAsia="方正小标宋简体" w:cs="方正小标宋简体"/>
          <w:b/>
          <w:sz w:val="36"/>
          <w:szCs w:val="36"/>
          <w:lang w:val="en-US" w:eastAsia="zh-CN"/>
        </w:rPr>
        <w:t>第一章 供应商须知</w:t>
      </w:r>
    </w:p>
    <w:tbl>
      <w:tblPr>
        <w:tblStyle w:val="13"/>
        <w:tblW w:w="8716"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88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881"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881"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881" w:type="dxa"/>
            <w:vAlign w:val="center"/>
          </w:tcPr>
          <w:p>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881" w:type="dxa"/>
            <w:vAlign w:val="center"/>
          </w:tcPr>
          <w:p>
            <w:pPr>
              <w:rPr>
                <w:rFonts w:hint="eastAsia" w:ascii="宋体" w:hAnsi="宋体" w:eastAsia="宋体" w:cs="宋体"/>
                <w:highlight w:val="none"/>
              </w:rPr>
            </w:pPr>
            <w:r>
              <w:rPr>
                <w:rFonts w:hint="eastAsia" w:ascii="宋体" w:hAnsi="宋体" w:eastAsia="宋体" w:cs="宋体"/>
                <w:highlight w:val="none"/>
              </w:rPr>
              <w:t>1、报价具体要求</w:t>
            </w:r>
          </w:p>
          <w:p>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供应商应根据自身具体情况及项目实际要求对本询价项目报价（注：保留小数点后2位)。</w:t>
            </w:r>
          </w:p>
          <w:p>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w:t>
            </w:r>
            <w:r>
              <w:rPr>
                <w:rFonts w:hint="eastAsia" w:ascii="宋体" w:hAnsi="宋体" w:eastAsia="宋体" w:cs="宋体"/>
                <w:b/>
                <w:bCs/>
                <w:highlight w:val="none"/>
                <w:lang w:val="en-US" w:eastAsia="zh-CN"/>
              </w:rPr>
              <w:t>专用</w:t>
            </w:r>
            <w:r>
              <w:rPr>
                <w:rFonts w:hint="eastAsia" w:ascii="宋体" w:hAnsi="宋体" w:eastAsia="宋体" w:cs="宋体"/>
                <w:b/>
                <w:bCs/>
                <w:highlight w:val="none"/>
              </w:rPr>
              <w:t>发票</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税法规定不允许开具专票的项目除外</w:t>
            </w:r>
            <w:r>
              <w:rPr>
                <w:rFonts w:hint="eastAsia" w:ascii="宋体" w:hAnsi="宋体" w:eastAsia="宋体" w:cs="宋体"/>
                <w:b/>
                <w:bCs/>
                <w:highlight w:val="none"/>
                <w:lang w:eastAsia="zh-CN"/>
              </w:rPr>
              <w:t>）</w:t>
            </w:r>
            <w:r>
              <w:rPr>
                <w:rFonts w:hint="eastAsia" w:ascii="宋体" w:hAnsi="宋体" w:cs="宋体"/>
                <w:b/>
                <w:bCs/>
                <w:highlight w:val="none"/>
                <w:lang w:eastAsia="zh-CN"/>
              </w:rPr>
              <w:t>。</w:t>
            </w:r>
          </w:p>
          <w:p>
            <w:pPr>
              <w:numPr>
                <w:ilvl w:val="0"/>
                <w:numId w:val="1"/>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pPr>
              <w:pStyle w:val="6"/>
              <w:ind w:left="0" w:leftChars="0" w:firstLine="0" w:firstLineChars="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pPr>
              <w:autoSpaceDE w:val="0"/>
              <w:autoSpaceDN w:val="0"/>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成交候选人推荐原则</w:t>
            </w:r>
          </w:p>
        </w:tc>
        <w:tc>
          <w:tcPr>
            <w:tcW w:w="5881" w:type="dxa"/>
            <w:vAlign w:val="center"/>
          </w:tcPr>
          <w:p>
            <w:pPr>
              <w:autoSpaceDE w:val="0"/>
              <w:autoSpaceDN w:val="0"/>
              <w:adjustRightInd w:val="0"/>
              <w:snapToGrid w:val="0"/>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在满足采购文件实质性要求的条件下，</w:t>
            </w:r>
            <w:r>
              <w:rPr>
                <w:rFonts w:hint="eastAsia" w:ascii="宋体" w:hAnsi="宋体" w:eastAsia="宋体" w:cs="宋体"/>
                <w:color w:val="auto"/>
                <w:sz w:val="21"/>
                <w:szCs w:val="21"/>
                <w:highlight w:val="none"/>
                <w:lang w:eastAsia="zh-CN"/>
              </w:rPr>
              <w:t>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）综合考虑各报价商的资质、报价、实施方案、类似业绩案例等内容，以</w:t>
            </w:r>
            <w:r>
              <w:rPr>
                <w:rFonts w:hint="eastAsia" w:ascii="宋体" w:hAnsi="宋体" w:eastAsia="宋体" w:cs="宋体"/>
                <w:color w:val="auto"/>
                <w:sz w:val="21"/>
                <w:szCs w:val="21"/>
                <w:highlight w:val="none"/>
                <w:lang w:val="en-US" w:eastAsia="zh-CN"/>
              </w:rPr>
              <w:t>评分</w:t>
            </w:r>
            <w:r>
              <w:rPr>
                <w:rFonts w:hint="eastAsia" w:ascii="宋体" w:hAnsi="宋体" w:eastAsia="宋体" w:cs="宋体"/>
                <w:color w:val="auto"/>
                <w:sz w:val="21"/>
                <w:szCs w:val="21"/>
                <w:highlight w:val="none"/>
                <w:lang w:eastAsia="zh-CN"/>
              </w:rPr>
              <w:t>方式评选出一名成交候选人</w:t>
            </w:r>
            <w:r>
              <w:rPr>
                <w:rFonts w:hint="eastAsia" w:ascii="宋体" w:hAnsi="宋体" w:eastAsia="宋体" w:cs="宋体"/>
                <w:color w:val="auto"/>
                <w:szCs w:val="21"/>
                <w:highlight w:val="none"/>
              </w:rPr>
              <w:t>。</w:t>
            </w:r>
          </w:p>
          <w:p>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pPr>
              <w:pStyle w:val="6"/>
              <w:rPr>
                <w:rFonts w:hint="eastAsia" w:ascii="宋体" w:hAnsi="宋体" w:eastAsia="宋体" w:cs="宋体"/>
                <w:color w:val="auto"/>
                <w:highlight w:val="none"/>
              </w:rPr>
            </w:pPr>
            <w:r>
              <w:rPr>
                <w:rFonts w:hint="eastAsia" w:ascii="宋体" w:hAnsi="宋体" w:eastAsia="宋体" w:cs="宋体"/>
                <w:color w:val="auto"/>
                <w:kern w:val="2"/>
                <w:sz w:val="21"/>
                <w:szCs w:val="21"/>
                <w:highlight w:val="none"/>
              </w:rPr>
              <w:t>在第一成交候选人</w:t>
            </w:r>
            <w:r>
              <w:rPr>
                <w:rFonts w:hint="eastAsia" w:ascii="宋体" w:hAnsi="宋体" w:eastAsia="宋体" w:cs="宋体"/>
                <w:color w:val="auto"/>
                <w:kern w:val="2"/>
                <w:sz w:val="21"/>
                <w:szCs w:val="21"/>
                <w:highlight w:val="none"/>
                <w:lang w:val="en-US" w:eastAsia="zh-CN"/>
              </w:rPr>
              <w:t>撤销</w:t>
            </w:r>
            <w:r>
              <w:rPr>
                <w:rFonts w:hint="eastAsia" w:ascii="宋体" w:hAnsi="宋体" w:eastAsia="宋体" w:cs="宋体"/>
                <w:color w:val="auto"/>
                <w:kern w:val="2"/>
                <w:sz w:val="21"/>
                <w:szCs w:val="21"/>
                <w:highlight w:val="none"/>
              </w:rPr>
              <w:t>报价或放弃成交的，采购人重新组织询价采购。</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881" w:type="dxa"/>
            <w:vAlign w:val="center"/>
          </w:tcPr>
          <w:p>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pPr>
        <w:numPr>
          <w:ilvl w:val="0"/>
          <w:numId w:val="0"/>
        </w:numPr>
        <w:jc w:val="center"/>
        <w:outlineLvl w:val="9"/>
        <w:rPr>
          <w:rFonts w:hint="eastAsia" w:ascii="方正小标宋简体" w:hAnsi="方正小标宋简体" w:eastAsia="方正小标宋简体" w:cs="方正小标宋简体"/>
          <w:b/>
          <w:sz w:val="36"/>
          <w:szCs w:val="36"/>
          <w:lang w:val="en-US" w:eastAsia="zh-CN"/>
        </w:rPr>
      </w:pPr>
      <w:bookmarkStart w:id="4" w:name="_Toc447265271"/>
      <w:bookmarkStart w:id="5" w:name="_Toc447265557"/>
      <w:bookmarkStart w:id="6" w:name="_Toc26678"/>
      <w:r>
        <w:rPr>
          <w:rFonts w:hint="eastAsia" w:ascii="方正小标宋简体" w:hAnsi="方正小标宋简体" w:eastAsia="方正小标宋简体" w:cs="方正小标宋简体"/>
          <w:b/>
          <w:sz w:val="36"/>
          <w:szCs w:val="36"/>
          <w:lang w:val="en-US" w:eastAsia="zh-CN"/>
        </w:rPr>
        <w:br w:type="page"/>
      </w:r>
    </w:p>
    <w:p>
      <w:pPr>
        <w:pStyle w:val="8"/>
        <w:numPr>
          <w:ilvl w:val="0"/>
          <w:numId w:val="0"/>
        </w:numPr>
        <w:jc w:val="center"/>
        <w:outlineLvl w:val="0"/>
        <w:rPr>
          <w:rFonts w:hint="eastAsia" w:ascii="方正小标宋简体" w:hAnsi="方正小标宋简体" w:eastAsia="方正小标宋简体" w:cs="方正小标宋简体"/>
          <w:b/>
          <w:sz w:val="36"/>
          <w:szCs w:val="36"/>
          <w:lang w:val="en-US" w:eastAsia="zh-CN"/>
        </w:rPr>
      </w:pPr>
      <w:r>
        <w:rPr>
          <w:rFonts w:hint="eastAsia" w:ascii="方正小标宋简体" w:hAnsi="方正小标宋简体" w:eastAsia="方正小标宋简体" w:cs="方正小标宋简体"/>
          <w:b/>
          <w:sz w:val="36"/>
          <w:szCs w:val="36"/>
          <w:lang w:val="en-US" w:eastAsia="zh-CN"/>
        </w:rPr>
        <w:t>第二章 评审办法</w:t>
      </w:r>
      <w:bookmarkEnd w:id="4"/>
      <w:bookmarkEnd w:id="5"/>
      <w:bookmarkEnd w:id="6"/>
    </w:p>
    <w:p>
      <w:pPr>
        <w:pStyle w:val="19"/>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7" w:name="_Toc24289"/>
      <w:r>
        <w:rPr>
          <w:rFonts w:hint="eastAsia" w:ascii="宋体" w:hAnsi="宋体" w:eastAsia="宋体" w:cs="宋体"/>
          <w:b/>
          <w:bCs w:val="0"/>
          <w:kern w:val="0"/>
          <w:sz w:val="28"/>
          <w:szCs w:val="28"/>
          <w:highlight w:val="none"/>
        </w:rPr>
        <w:t>评审办法前附表</w:t>
      </w:r>
      <w:bookmarkEnd w:id="7"/>
    </w:p>
    <w:tbl>
      <w:tblPr>
        <w:tblStyle w:val="13"/>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1102"/>
        <w:gridCol w:w="2332"/>
        <w:gridCol w:w="4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0" w:type="pct"/>
            <w:gridSpan w:val="2"/>
            <w:vAlign w:val="center"/>
          </w:tcPr>
          <w:p>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600"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501" w:type="pct"/>
            <w:vMerge w:val="restart"/>
            <w:vAlign w:val="center"/>
          </w:tcPr>
          <w:p>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09" w:type="pct"/>
            <w:vMerge w:val="restart"/>
            <w:vAlign w:val="center"/>
          </w:tcPr>
          <w:p>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600"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pPr>
              <w:snapToGrid w:val="0"/>
              <w:jc w:val="center"/>
              <w:rPr>
                <w:rFonts w:hint="eastAsia" w:ascii="宋体" w:hAnsi="宋体" w:eastAsia="宋体" w:cs="宋体"/>
                <w:sz w:val="21"/>
                <w:szCs w:val="21"/>
                <w:highlight w:val="none"/>
              </w:rPr>
            </w:pPr>
          </w:p>
        </w:tc>
        <w:tc>
          <w:tcPr>
            <w:tcW w:w="609" w:type="pct"/>
            <w:vMerge w:val="continue"/>
          </w:tcPr>
          <w:p>
            <w:pPr>
              <w:snapToGrid w:val="0"/>
              <w:jc w:val="center"/>
              <w:rPr>
                <w:rFonts w:hint="eastAsia" w:ascii="宋体" w:hAnsi="宋体" w:eastAsia="宋体" w:cs="宋体"/>
                <w:sz w:val="21"/>
                <w:szCs w:val="21"/>
                <w:highlight w:val="none"/>
              </w:rPr>
            </w:pPr>
          </w:p>
        </w:tc>
        <w:tc>
          <w:tcPr>
            <w:tcW w:w="1289"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600"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continue"/>
          </w:tcPr>
          <w:p>
            <w:pPr>
              <w:snapToGrid w:val="0"/>
              <w:jc w:val="center"/>
              <w:rPr>
                <w:rFonts w:hint="eastAsia" w:ascii="宋体" w:hAnsi="宋体" w:eastAsia="宋体" w:cs="宋体"/>
                <w:sz w:val="21"/>
                <w:szCs w:val="21"/>
                <w:highlight w:val="none"/>
              </w:rPr>
            </w:pPr>
          </w:p>
        </w:tc>
        <w:tc>
          <w:tcPr>
            <w:tcW w:w="1289"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600"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continue"/>
          </w:tcPr>
          <w:p>
            <w:pPr>
              <w:snapToGrid w:val="0"/>
              <w:jc w:val="center"/>
              <w:rPr>
                <w:rFonts w:hint="eastAsia" w:ascii="宋体" w:hAnsi="宋体" w:eastAsia="宋体" w:cs="宋体"/>
                <w:sz w:val="21"/>
                <w:szCs w:val="21"/>
                <w:highlight w:val="none"/>
              </w:rPr>
            </w:pPr>
          </w:p>
        </w:tc>
        <w:tc>
          <w:tcPr>
            <w:tcW w:w="1289" w:type="pct"/>
          </w:tcPr>
          <w:p>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600" w:type="pct"/>
            <w:vAlign w:val="center"/>
          </w:tcPr>
          <w:p>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continue"/>
          </w:tcPr>
          <w:p>
            <w:pPr>
              <w:snapToGrid w:val="0"/>
              <w:jc w:val="center"/>
              <w:rPr>
                <w:rFonts w:hint="eastAsia" w:ascii="宋体" w:hAnsi="宋体" w:eastAsia="宋体" w:cs="宋体"/>
                <w:sz w:val="21"/>
                <w:szCs w:val="21"/>
                <w:highlight w:val="none"/>
              </w:rPr>
            </w:pPr>
          </w:p>
        </w:tc>
        <w:tc>
          <w:tcPr>
            <w:tcW w:w="1289" w:type="pct"/>
          </w:tcPr>
          <w:p>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600" w:type="pct"/>
            <w:vAlign w:val="center"/>
          </w:tcPr>
          <w:p>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restar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600" w:type="pct"/>
            <w:vAlign w:val="center"/>
          </w:tcPr>
          <w:p>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600" w:type="pct"/>
            <w:vAlign w:val="center"/>
          </w:tcPr>
          <w:p>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600" w:type="pct"/>
            <w:vAlign w:val="center"/>
          </w:tcPr>
          <w:p>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600" w:type="pct"/>
            <w:vAlign w:val="center"/>
          </w:tcPr>
          <w:p>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600" w:type="pct"/>
            <w:vAlign w:val="center"/>
          </w:tcPr>
          <w:p>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501" w:type="pct"/>
            <w:vAlign w:val="center"/>
          </w:tcPr>
          <w:p>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综合评分法</w:t>
            </w:r>
          </w:p>
        </w:tc>
        <w:tc>
          <w:tcPr>
            <w:tcW w:w="4498" w:type="pct"/>
            <w:gridSpan w:val="3"/>
            <w:vAlign w:val="center"/>
          </w:tcPr>
          <w:p>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本项目采用</w:t>
            </w:r>
            <w:r>
              <w:rPr>
                <w:rFonts w:hint="eastAsia" w:ascii="宋体" w:hAnsi="宋体" w:cs="宋体"/>
                <w:b/>
                <w:bCs/>
                <w:color w:val="auto"/>
                <w:sz w:val="21"/>
                <w:szCs w:val="21"/>
                <w:highlight w:val="none"/>
                <w:lang w:val="en-US" w:eastAsia="zh-CN"/>
              </w:rPr>
              <w:t>综合评分法</w:t>
            </w:r>
            <w:r>
              <w:rPr>
                <w:rFonts w:hint="eastAsia" w:ascii="宋体" w:hAnsi="宋体" w:eastAsia="宋体" w:cs="宋体"/>
                <w:color w:val="auto"/>
                <w:sz w:val="21"/>
                <w:szCs w:val="21"/>
                <w:highlight w:val="none"/>
                <w:lang w:eastAsia="zh-CN"/>
              </w:rPr>
              <w:t>，即在符合</w:t>
            </w:r>
            <w:r>
              <w:rPr>
                <w:rFonts w:hint="eastAsia" w:ascii="宋体" w:hAnsi="宋体" w:eastAsia="宋体" w:cs="宋体"/>
                <w:color w:val="auto"/>
                <w:sz w:val="21"/>
                <w:szCs w:val="21"/>
                <w:highlight w:val="none"/>
                <w:lang w:val="en-US" w:eastAsia="zh-CN"/>
              </w:rPr>
              <w:t>采购文件初步评审</w:t>
            </w:r>
            <w:r>
              <w:rPr>
                <w:rFonts w:hint="eastAsia" w:ascii="宋体" w:hAnsi="宋体" w:eastAsia="宋体" w:cs="宋体"/>
                <w:color w:val="auto"/>
                <w:sz w:val="21"/>
                <w:szCs w:val="21"/>
                <w:highlight w:val="none"/>
                <w:lang w:eastAsia="zh-CN"/>
              </w:rPr>
              <w:t>相关要求的前提下，由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根据</w:t>
            </w:r>
            <w:r>
              <w:rPr>
                <w:rFonts w:hint="eastAsia" w:ascii="宋体" w:hAnsi="宋体" w:eastAsia="宋体" w:cs="宋体"/>
                <w:b/>
                <w:bCs/>
                <w:color w:val="auto"/>
                <w:sz w:val="21"/>
                <w:szCs w:val="21"/>
                <w:highlight w:val="none"/>
                <w:lang w:val="en-US" w:eastAsia="zh-CN"/>
              </w:rPr>
              <w:t>后附的</w:t>
            </w:r>
            <w:r>
              <w:rPr>
                <w:rFonts w:hint="eastAsia" w:ascii="宋体" w:hAnsi="宋体" w:eastAsia="宋体" w:cs="宋体"/>
                <w:b/>
                <w:bCs/>
                <w:color w:val="auto"/>
                <w:sz w:val="21"/>
                <w:szCs w:val="21"/>
                <w:highlight w:val="none"/>
                <w:lang w:eastAsia="zh-CN"/>
              </w:rPr>
              <w:t>评分标准</w:t>
            </w:r>
            <w:r>
              <w:rPr>
                <w:rFonts w:hint="eastAsia" w:ascii="宋体" w:hAnsi="宋体" w:eastAsia="宋体" w:cs="宋体"/>
                <w:color w:val="auto"/>
                <w:sz w:val="21"/>
                <w:szCs w:val="21"/>
                <w:highlight w:val="none"/>
                <w:lang w:eastAsia="zh-CN"/>
              </w:rPr>
              <w:t>对各报价商的资质、报价、案例等内容进行评审，得分最高者为中选供应商</w:t>
            </w:r>
            <w:r>
              <w:rPr>
                <w:rFonts w:hint="eastAsia" w:ascii="宋体" w:hAnsi="宋体" w:cs="宋体"/>
                <w:color w:val="auto"/>
                <w:sz w:val="21"/>
                <w:szCs w:val="21"/>
                <w:highlight w:val="none"/>
                <w:lang w:val="en-US" w:eastAsia="zh-CN"/>
              </w:rPr>
              <w:t>。</w:t>
            </w:r>
          </w:p>
        </w:tc>
      </w:tr>
    </w:tbl>
    <w:p>
      <w:pPr>
        <w:pStyle w:val="19"/>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default" w:ascii="宋体" w:hAnsi="宋体" w:eastAsia="宋体" w:cs="宋体"/>
          <w:b/>
          <w:bCs w:val="0"/>
          <w:kern w:val="0"/>
          <w:sz w:val="28"/>
          <w:szCs w:val="28"/>
          <w:highlight w:val="none"/>
          <w:lang w:val="en-US" w:eastAsia="zh-CN"/>
        </w:rPr>
      </w:pPr>
      <w:bookmarkStart w:id="8" w:name="_Toc474148037"/>
      <w:bookmarkStart w:id="9" w:name="_Toc20635"/>
      <w:bookmarkStart w:id="10" w:name="_Toc478566439"/>
      <w:bookmarkStart w:id="11" w:name="_Toc478566273"/>
      <w:bookmarkStart w:id="12" w:name="_Toc478566081"/>
      <w:bookmarkStart w:id="13" w:name="_Toc68859970"/>
      <w:bookmarkStart w:id="14" w:name="_Toc478565718"/>
      <w:r>
        <w:rPr>
          <w:rFonts w:hint="default" w:ascii="宋体" w:hAnsi="宋体" w:eastAsia="宋体" w:cs="宋体"/>
          <w:b/>
          <w:bCs w:val="0"/>
          <w:kern w:val="0"/>
          <w:sz w:val="28"/>
          <w:szCs w:val="28"/>
          <w:highlight w:val="none"/>
          <w:lang w:val="en-US" w:eastAsia="zh-CN"/>
        </w:rPr>
        <w:t>评分标准</w:t>
      </w:r>
      <w:r>
        <w:rPr>
          <w:rFonts w:hint="eastAsia" w:ascii="宋体" w:hAnsi="宋体" w:eastAsia="宋体" w:cs="宋体"/>
          <w:b/>
          <w:bCs w:val="0"/>
          <w:kern w:val="0"/>
          <w:sz w:val="28"/>
          <w:szCs w:val="28"/>
          <w:highlight w:val="none"/>
          <w:lang w:val="en-US" w:eastAsia="zh-CN"/>
        </w:rPr>
        <w:t>表</w:t>
      </w:r>
    </w:p>
    <w:p>
      <w:pPr>
        <w:pStyle w:val="8"/>
        <w:numPr>
          <w:ilvl w:val="0"/>
          <w:numId w:val="2"/>
        </w:numPr>
        <w:spacing w:before="91" w:line="223" w:lineRule="auto"/>
        <w:outlineLvl w:val="1"/>
        <w:rPr>
          <w:rFonts w:hint="default" w:ascii="Times New Roman" w:hAnsi="Times New Roman" w:eastAsia="仿宋_GB2312" w:cs="Times New Roman"/>
          <w:spacing w:val="-5"/>
          <w:sz w:val="28"/>
          <w:szCs w:val="28"/>
        </w:rPr>
      </w:pPr>
      <w:r>
        <w:rPr>
          <w:rFonts w:hint="default" w:ascii="Times New Roman" w:hAnsi="Times New Roman" w:eastAsia="仿宋_GB2312" w:cs="Times New Roman"/>
          <w:b w:val="0"/>
          <w:bCs w:val="0"/>
          <w:spacing w:val="-3"/>
          <w:sz w:val="28"/>
          <w:szCs w:val="28"/>
          <w14:textOutline w14:w="5103" w14:cap="sq" w14:cmpd="sng">
            <w14:solidFill>
              <w14:srgbClr w14:val="000000"/>
            </w14:solidFill>
            <w14:prstDash w14:val="solid"/>
            <w14:bevel/>
          </w14:textOutline>
        </w:rPr>
        <w:t>分权值</w:t>
      </w:r>
      <w:r>
        <w:rPr>
          <w:rFonts w:hint="default" w:ascii="Times New Roman" w:hAnsi="Times New Roman" w:eastAsia="仿宋_GB2312" w:cs="Times New Roman"/>
          <w:b w:val="0"/>
          <w:bCs w:val="0"/>
          <w:spacing w:val="-3"/>
          <w:sz w:val="28"/>
          <w:szCs w:val="28"/>
          <w:lang w:eastAsia="zh-CN"/>
          <w14:textOutline w14:w="5103" w14:cap="sq" w14:cmpd="sng">
            <w14:solidFill>
              <w14:srgbClr w14:val="000000"/>
            </w14:solidFill>
            <w14:prstDash w14:val="solid"/>
            <w14:bevel/>
          </w14:textOutline>
        </w:rPr>
        <w:t>：</w:t>
      </w:r>
      <w:r>
        <w:rPr>
          <w:rFonts w:hint="default" w:ascii="Times New Roman" w:hAnsi="Times New Roman" w:eastAsia="仿宋_GB2312" w:cs="Times New Roman"/>
          <w:b w:val="0"/>
          <w:bCs w:val="0"/>
          <w:spacing w:val="-5"/>
          <w:sz w:val="28"/>
          <w:szCs w:val="28"/>
        </w:rPr>
        <w:t>总分为</w:t>
      </w:r>
      <w:r>
        <w:rPr>
          <w:rFonts w:hint="default" w:ascii="Times New Roman" w:hAnsi="Times New Roman" w:eastAsia="仿宋_GB2312" w:cs="Times New Roman"/>
          <w:b w:val="0"/>
          <w:bCs w:val="0"/>
          <w:spacing w:val="-37"/>
          <w:sz w:val="28"/>
          <w:szCs w:val="28"/>
        </w:rPr>
        <w:t xml:space="preserve"> </w:t>
      </w:r>
      <w:r>
        <w:rPr>
          <w:rFonts w:hint="default" w:ascii="Times New Roman" w:hAnsi="Times New Roman" w:eastAsia="仿宋_GB2312" w:cs="Times New Roman"/>
          <w:b w:val="0"/>
          <w:bCs w:val="0"/>
          <w:spacing w:val="-5"/>
          <w:sz w:val="28"/>
          <w:szCs w:val="28"/>
        </w:rPr>
        <w:t>100</w:t>
      </w:r>
      <w:r>
        <w:rPr>
          <w:rFonts w:hint="default" w:ascii="Times New Roman" w:hAnsi="Times New Roman" w:eastAsia="仿宋_GB2312" w:cs="Times New Roman"/>
          <w:b w:val="0"/>
          <w:bCs w:val="0"/>
          <w:spacing w:val="-48"/>
          <w:sz w:val="28"/>
          <w:szCs w:val="28"/>
        </w:rPr>
        <w:t xml:space="preserve"> </w:t>
      </w:r>
      <w:r>
        <w:rPr>
          <w:rFonts w:hint="default" w:ascii="Times New Roman" w:hAnsi="Times New Roman" w:eastAsia="仿宋_GB2312" w:cs="Times New Roman"/>
          <w:b w:val="0"/>
          <w:bCs w:val="0"/>
          <w:spacing w:val="-5"/>
          <w:sz w:val="28"/>
          <w:szCs w:val="28"/>
        </w:rPr>
        <w:t>分，</w:t>
      </w:r>
      <w:r>
        <w:rPr>
          <w:rFonts w:hint="default" w:ascii="Times New Roman" w:hAnsi="Times New Roman" w:eastAsia="仿宋_GB2312" w:cs="Times New Roman"/>
          <w:spacing w:val="-5"/>
          <w:sz w:val="28"/>
          <w:szCs w:val="28"/>
        </w:rPr>
        <w:t>评分分值分配如下：</w:t>
      </w:r>
    </w:p>
    <w:tbl>
      <w:tblPr>
        <w:tblStyle w:val="14"/>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1"/>
        <w:gridCol w:w="3091"/>
        <w:gridCol w:w="3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641"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评审项</w:t>
            </w:r>
          </w:p>
        </w:tc>
        <w:tc>
          <w:tcPr>
            <w:tcW w:w="3091"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各部分分值</w:t>
            </w:r>
          </w:p>
        </w:tc>
        <w:tc>
          <w:tcPr>
            <w:tcW w:w="3091"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lang w:val="en-US" w:eastAsia="zh-CN"/>
              </w:rPr>
            </w:pPr>
            <w:r>
              <w:rPr>
                <w:rFonts w:hint="eastAsia" w:ascii="仿宋" w:hAnsi="仿宋" w:eastAsia="仿宋" w:cs="宋体"/>
                <w:b/>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商务审查</w:t>
            </w:r>
          </w:p>
        </w:tc>
        <w:tc>
          <w:tcPr>
            <w:tcW w:w="3091" w:type="dxa"/>
            <w:vAlign w:val="center"/>
          </w:tcPr>
          <w:p>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lang w:val="en-US" w:eastAsia="zh-CN"/>
              </w:rPr>
              <w:t>3</w:t>
            </w:r>
            <w:r>
              <w:rPr>
                <w:rFonts w:hint="eastAsia" w:ascii="仿宋" w:hAnsi="仿宋" w:eastAsia="仿宋" w:cs="宋体"/>
                <w:b/>
                <w:color w:val="auto"/>
                <w:szCs w:val="21"/>
              </w:rPr>
              <w:t>0</w:t>
            </w:r>
          </w:p>
        </w:tc>
        <w:tc>
          <w:tcPr>
            <w:tcW w:w="3091" w:type="dxa"/>
            <w:vMerge w:val="restart"/>
          </w:tcPr>
          <w:p>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本项目商务部分设置评分基准线。若投标人的商务评分低于基准线，其投标应答将被视为存在重大商务技术偏差，则</w:t>
            </w:r>
            <w:r>
              <w:rPr>
                <w:rFonts w:hint="eastAsia" w:ascii="仿宋" w:hAnsi="仿宋" w:eastAsia="仿宋" w:cs="宋体"/>
                <w:b/>
                <w:color w:val="auto"/>
                <w:szCs w:val="21"/>
                <w:lang w:val="en-US" w:eastAsia="zh-CN"/>
              </w:rPr>
              <w:t>报价</w:t>
            </w:r>
            <w:r>
              <w:rPr>
                <w:rFonts w:hint="eastAsia" w:ascii="仿宋" w:hAnsi="仿宋" w:eastAsia="仿宋" w:cs="宋体"/>
                <w:b/>
                <w:color w:val="auto"/>
                <w:szCs w:val="21"/>
              </w:rPr>
              <w:t>无效，不进入技术部分评审。</w:t>
            </w:r>
          </w:p>
          <w:p>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商务评分基准线</w:t>
            </w:r>
            <w:r>
              <w:rPr>
                <w:rFonts w:hint="eastAsia" w:ascii="仿宋" w:hAnsi="仿宋" w:eastAsia="仿宋" w:cs="宋体"/>
                <w:b/>
                <w:color w:val="auto"/>
                <w:szCs w:val="21"/>
                <w:lang w:val="en-US" w:eastAsia="zh-CN"/>
              </w:rPr>
              <w:t>=</w:t>
            </w:r>
            <w:r>
              <w:rPr>
                <w:rFonts w:hint="eastAsia" w:ascii="仿宋" w:hAnsi="仿宋" w:eastAsia="仿宋" w:cs="宋体"/>
                <w:b/>
                <w:color w:val="auto"/>
                <w:szCs w:val="21"/>
              </w:rPr>
              <w:t>本项目商务部分分值×60%（即</w:t>
            </w:r>
            <w:r>
              <w:rPr>
                <w:rFonts w:hint="eastAsia" w:ascii="仿宋" w:hAnsi="仿宋" w:eastAsia="仿宋" w:cs="宋体"/>
                <w:b/>
                <w:color w:val="auto"/>
                <w:szCs w:val="21"/>
                <w:lang w:val="en-US" w:eastAsia="zh-CN"/>
              </w:rPr>
              <w:t>3</w:t>
            </w:r>
            <w:r>
              <w:rPr>
                <w:rFonts w:hint="eastAsia" w:ascii="仿宋" w:hAnsi="仿宋" w:eastAsia="仿宋" w:cs="宋体"/>
                <w:b/>
                <w:color w:val="auto"/>
                <w:szCs w:val="21"/>
              </w:rPr>
              <w:t>0×60%=</w:t>
            </w:r>
            <w:r>
              <w:rPr>
                <w:rFonts w:hint="eastAsia" w:ascii="仿宋" w:hAnsi="仿宋" w:eastAsia="仿宋" w:cs="宋体"/>
                <w:b/>
                <w:color w:val="auto"/>
                <w:szCs w:val="21"/>
                <w:lang w:val="en-US" w:eastAsia="zh-CN"/>
              </w:rPr>
              <w:t>18</w:t>
            </w:r>
            <w:r>
              <w:rPr>
                <w:rFonts w:hint="eastAsia" w:ascii="仿宋" w:hAnsi="仿宋" w:eastAsia="仿宋" w:cs="宋体"/>
                <w:b/>
                <w:color w:val="auto"/>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技术审查</w:t>
            </w:r>
          </w:p>
        </w:tc>
        <w:tc>
          <w:tcPr>
            <w:tcW w:w="3091" w:type="dxa"/>
            <w:vAlign w:val="center"/>
          </w:tcPr>
          <w:p>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lang w:val="en-US" w:eastAsia="zh-CN"/>
              </w:rPr>
              <w:t>5</w:t>
            </w:r>
            <w:r>
              <w:rPr>
                <w:rFonts w:hint="eastAsia" w:ascii="仿宋" w:hAnsi="仿宋" w:eastAsia="仿宋" w:cs="宋体"/>
                <w:b/>
                <w:color w:val="auto"/>
                <w:szCs w:val="21"/>
              </w:rPr>
              <w:t>0</w:t>
            </w:r>
          </w:p>
        </w:tc>
        <w:tc>
          <w:tcPr>
            <w:tcW w:w="3091" w:type="dxa"/>
            <w:vMerge w:val="continue"/>
          </w:tcPr>
          <w:p>
            <w:pPr>
              <w:autoSpaceDE w:val="0"/>
              <w:autoSpaceDN w:val="0"/>
              <w:spacing w:before="93" w:beforeLines="30" w:after="93" w:afterLines="30"/>
              <w:jc w:val="center"/>
              <w:rPr>
                <w:rFonts w:hint="eastAsia" w:ascii="仿宋" w:hAnsi="仿宋" w:eastAsia="仿宋" w:cs="宋体"/>
                <w:b/>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价格评审</w:t>
            </w:r>
          </w:p>
        </w:tc>
        <w:tc>
          <w:tcPr>
            <w:tcW w:w="3091" w:type="dxa"/>
            <w:vAlign w:val="center"/>
          </w:tcPr>
          <w:p>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lang w:val="en-US" w:eastAsia="zh-CN"/>
              </w:rPr>
              <w:t>2</w:t>
            </w:r>
            <w:r>
              <w:rPr>
                <w:rFonts w:hint="eastAsia" w:ascii="仿宋" w:hAnsi="仿宋" w:eastAsia="仿宋" w:cs="宋体"/>
                <w:b/>
                <w:color w:val="auto"/>
                <w:szCs w:val="21"/>
              </w:rPr>
              <w:t>0</w:t>
            </w:r>
          </w:p>
        </w:tc>
        <w:tc>
          <w:tcPr>
            <w:tcW w:w="3091" w:type="dxa"/>
            <w:vMerge w:val="continue"/>
          </w:tcPr>
          <w:p>
            <w:pPr>
              <w:autoSpaceDE w:val="0"/>
              <w:autoSpaceDN w:val="0"/>
              <w:spacing w:before="93" w:beforeLines="30" w:after="93" w:afterLines="30"/>
              <w:jc w:val="center"/>
              <w:rPr>
                <w:rFonts w:hint="eastAsia" w:ascii="仿宋" w:hAnsi="仿宋" w:eastAsia="仿宋" w:cs="宋体"/>
                <w:b/>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总和</w:t>
            </w:r>
          </w:p>
        </w:tc>
        <w:tc>
          <w:tcPr>
            <w:tcW w:w="309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100</w:t>
            </w:r>
          </w:p>
        </w:tc>
        <w:tc>
          <w:tcPr>
            <w:tcW w:w="3091" w:type="dxa"/>
            <w:vMerge w:val="continue"/>
          </w:tcPr>
          <w:p>
            <w:pPr>
              <w:autoSpaceDE w:val="0"/>
              <w:autoSpaceDN w:val="0"/>
              <w:spacing w:before="93" w:beforeLines="30" w:after="93" w:afterLines="30"/>
              <w:jc w:val="center"/>
              <w:rPr>
                <w:rFonts w:hint="eastAsia" w:ascii="仿宋" w:hAnsi="仿宋" w:eastAsia="仿宋" w:cs="宋体"/>
                <w:b/>
                <w:szCs w:val="21"/>
              </w:rPr>
            </w:pPr>
          </w:p>
        </w:tc>
      </w:tr>
    </w:tbl>
    <w:p>
      <w:pPr>
        <w:pStyle w:val="8"/>
        <w:numPr>
          <w:ilvl w:val="0"/>
          <w:numId w:val="2"/>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商务评分表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4"/>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068"/>
        <w:gridCol w:w="928"/>
        <w:gridCol w:w="6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bookmarkStart w:id="15" w:name="_Hlk164269056"/>
            <w:r>
              <w:rPr>
                <w:rFonts w:hint="eastAsia" w:ascii="仿宋" w:hAnsi="仿宋" w:eastAsia="仿宋" w:cs="宋体"/>
                <w:b/>
                <w:szCs w:val="21"/>
              </w:rPr>
              <w:t>评分项</w:t>
            </w:r>
          </w:p>
        </w:tc>
        <w:tc>
          <w:tcPr>
            <w:tcW w:w="6184"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商务</w:t>
            </w:r>
          </w:p>
        </w:tc>
        <w:tc>
          <w:tcPr>
            <w:tcW w:w="6184"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color w:val="auto"/>
                <w:szCs w:val="21"/>
                <w:lang w:val="en-US" w:eastAsia="zh-CN"/>
              </w:rPr>
              <w:t>3</w:t>
            </w:r>
            <w:r>
              <w:rPr>
                <w:rFonts w:hint="eastAsia" w:ascii="仿宋" w:hAnsi="仿宋" w:eastAsia="仿宋" w:cs="宋体"/>
                <w:b/>
                <w:color w:val="auto"/>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068"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928"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84"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rPr>
                <w:rFonts w:hint="eastAsia" w:ascii="仿宋" w:hAnsi="仿宋" w:eastAsia="仿宋" w:cs="宋体"/>
                <w:bCs/>
                <w:szCs w:val="21"/>
                <w:lang w:eastAsia="zh-CN"/>
              </w:rPr>
            </w:pPr>
            <w:r>
              <w:rPr>
                <w:rFonts w:hint="eastAsia" w:ascii="仿宋" w:hAnsi="仿宋" w:eastAsia="仿宋" w:cs="宋体"/>
                <w:bCs/>
                <w:szCs w:val="21"/>
                <w:lang w:val="en-US" w:eastAsia="zh-CN"/>
              </w:rPr>
              <w:t>1</w:t>
            </w:r>
          </w:p>
        </w:tc>
        <w:tc>
          <w:tcPr>
            <w:tcW w:w="1068" w:type="dxa"/>
            <w:vAlign w:val="center"/>
          </w:tcPr>
          <w:p>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lang w:val="en-US" w:eastAsia="zh-CN"/>
              </w:rPr>
              <w:t>拟投入</w:t>
            </w:r>
          </w:p>
          <w:p>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lang w:val="en-US" w:eastAsia="zh-CN"/>
              </w:rPr>
              <w:t>服务团</w:t>
            </w:r>
          </w:p>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队情况</w:t>
            </w:r>
          </w:p>
        </w:tc>
        <w:tc>
          <w:tcPr>
            <w:tcW w:w="928" w:type="dxa"/>
            <w:vAlign w:val="center"/>
          </w:tcPr>
          <w:p>
            <w:pPr>
              <w:spacing w:before="93" w:beforeLines="30" w:after="93" w:afterLines="30"/>
              <w:jc w:val="center"/>
              <w:rPr>
                <w:rFonts w:hint="default" w:ascii="仿宋" w:hAnsi="仿宋" w:eastAsia="仿宋" w:cs="宋体"/>
                <w:bCs/>
                <w:color w:val="auto"/>
                <w:szCs w:val="21"/>
                <w:lang w:val="en-US" w:eastAsia="zh-CN"/>
              </w:rPr>
            </w:pPr>
            <w:r>
              <w:rPr>
                <w:rFonts w:hint="eastAsia" w:ascii="仿宋" w:hAnsi="仿宋" w:eastAsia="仿宋" w:cs="宋体"/>
                <w:bCs/>
                <w:color w:val="auto"/>
                <w:szCs w:val="21"/>
                <w:lang w:val="en-US" w:eastAsia="zh-CN"/>
              </w:rPr>
              <w:t>9</w:t>
            </w:r>
          </w:p>
        </w:tc>
        <w:tc>
          <w:tcPr>
            <w:tcW w:w="6184" w:type="dxa"/>
            <w:vAlign w:val="center"/>
          </w:tcPr>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供应商</w:t>
            </w:r>
            <w:r>
              <w:rPr>
                <w:rFonts w:hint="eastAsia" w:ascii="仿宋" w:hAnsi="仿宋" w:eastAsia="仿宋" w:cs="宋体"/>
                <w:bCs/>
                <w:szCs w:val="21"/>
              </w:rPr>
              <w:t>拟投入到本项目的服务人员情况，具体如下：</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1.安排5人及以上（含项目经理）项目团队的，得</w:t>
            </w:r>
            <w:r>
              <w:rPr>
                <w:rFonts w:hint="eastAsia" w:ascii="仿宋" w:hAnsi="仿宋" w:eastAsia="仿宋" w:cs="宋体"/>
                <w:bCs/>
                <w:szCs w:val="21"/>
                <w:lang w:val="en-US" w:eastAsia="zh-CN"/>
              </w:rPr>
              <w:t>5</w:t>
            </w:r>
            <w:r>
              <w:rPr>
                <w:rFonts w:hint="eastAsia" w:ascii="仿宋" w:hAnsi="仿宋" w:eastAsia="仿宋" w:cs="宋体"/>
                <w:bCs/>
                <w:szCs w:val="21"/>
              </w:rPr>
              <w:t>分</w:t>
            </w:r>
            <w:r>
              <w:rPr>
                <w:rFonts w:hint="eastAsia" w:ascii="仿宋" w:hAnsi="仿宋" w:eastAsia="仿宋" w:cs="宋体"/>
                <w:bCs/>
                <w:szCs w:val="21"/>
                <w:lang w:eastAsia="zh-CN"/>
              </w:rPr>
              <w:t>，</w:t>
            </w:r>
            <w:r>
              <w:rPr>
                <w:rFonts w:hint="eastAsia" w:ascii="仿宋" w:hAnsi="仿宋" w:eastAsia="仿宋" w:cs="宋体"/>
                <w:bCs/>
                <w:szCs w:val="21"/>
                <w:lang w:val="en-US" w:eastAsia="zh-CN"/>
              </w:rPr>
              <w:t>少于5人得2分</w:t>
            </w:r>
            <w:r>
              <w:rPr>
                <w:rFonts w:hint="eastAsia" w:ascii="仿宋" w:hAnsi="仿宋" w:eastAsia="仿宋" w:cs="宋体"/>
                <w:bCs/>
                <w:szCs w:val="21"/>
              </w:rPr>
              <w:t>；</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2.项目团队成员中具有</w:t>
            </w:r>
            <w:r>
              <w:rPr>
                <w:rFonts w:hint="eastAsia" w:ascii="仿宋" w:hAnsi="仿宋" w:eastAsia="仿宋" w:cs="宋体"/>
                <w:bCs/>
                <w:szCs w:val="21"/>
                <w:highlight w:val="none"/>
                <w:lang w:val="en-US" w:eastAsia="zh-CN"/>
              </w:rPr>
              <w:t>本科以上学历的，每提供一个得1分，最高得3分</w:t>
            </w:r>
            <w:r>
              <w:rPr>
                <w:rFonts w:hint="eastAsia" w:ascii="仿宋" w:hAnsi="仿宋" w:eastAsia="仿宋" w:cs="宋体"/>
                <w:bCs/>
                <w:szCs w:val="21"/>
              </w:rPr>
              <w:t>；</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3.具有PMP项目管理师资质，或具备信息系统项目管理师（高级）资质。每提供1个资质证书复印件，得</w:t>
            </w:r>
            <w:r>
              <w:rPr>
                <w:rFonts w:hint="eastAsia" w:ascii="仿宋" w:hAnsi="仿宋" w:eastAsia="仿宋" w:cs="宋体"/>
                <w:bCs/>
                <w:szCs w:val="21"/>
                <w:lang w:val="en-US" w:eastAsia="zh-CN"/>
              </w:rPr>
              <w:t>1</w:t>
            </w:r>
            <w:r>
              <w:rPr>
                <w:rFonts w:hint="eastAsia" w:ascii="仿宋" w:hAnsi="仿宋" w:eastAsia="仿宋" w:cs="宋体"/>
                <w:bCs/>
                <w:szCs w:val="21"/>
              </w:rPr>
              <w:t>分</w:t>
            </w:r>
            <w:r>
              <w:rPr>
                <w:rFonts w:hint="eastAsia" w:ascii="仿宋" w:hAnsi="仿宋" w:eastAsia="仿宋" w:cs="宋体"/>
                <w:bCs/>
                <w:szCs w:val="21"/>
                <w:lang w:eastAsia="zh-CN"/>
              </w:rPr>
              <w:t>。</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注：①需提供</w:t>
            </w:r>
            <w:r>
              <w:rPr>
                <w:rFonts w:hint="eastAsia" w:ascii="仿宋" w:hAnsi="仿宋" w:eastAsia="仿宋" w:cs="宋体"/>
                <w:bCs/>
                <w:szCs w:val="21"/>
                <w:lang w:val="en-US" w:eastAsia="zh-CN"/>
              </w:rPr>
              <w:t>近半年</w:t>
            </w:r>
            <w:r>
              <w:rPr>
                <w:rFonts w:hint="eastAsia" w:ascii="仿宋" w:hAnsi="仿宋" w:eastAsia="仿宋" w:cs="宋体"/>
                <w:bCs/>
                <w:szCs w:val="21"/>
              </w:rPr>
              <w:t>以来任意一个月的有效缴纳社保的证明复印件，或单位代缴个人所得税税单等，未提供则不得分。②提供</w:t>
            </w:r>
            <w:r>
              <w:rPr>
                <w:rFonts w:hint="eastAsia" w:ascii="仿宋" w:hAnsi="仿宋" w:eastAsia="仿宋" w:cs="宋体"/>
                <w:bCs/>
                <w:szCs w:val="21"/>
                <w:lang w:val="en-US" w:eastAsia="zh-CN"/>
              </w:rPr>
              <w:t>相关资质证书</w:t>
            </w:r>
            <w:r>
              <w:rPr>
                <w:rFonts w:hint="eastAsia" w:ascii="仿宋" w:hAnsi="仿宋" w:eastAsia="仿宋" w:cs="宋体"/>
                <w:bCs/>
                <w:szCs w:val="21"/>
              </w:rPr>
              <w:t>证明材料，未提供则不得分。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rPr>
                <w:rFonts w:hint="eastAsia" w:ascii="仿宋" w:hAnsi="仿宋" w:eastAsia="仿宋" w:cs="宋体"/>
                <w:bCs/>
                <w:szCs w:val="21"/>
                <w:lang w:eastAsia="zh-CN"/>
              </w:rPr>
            </w:pPr>
            <w:r>
              <w:rPr>
                <w:rFonts w:hint="eastAsia" w:ascii="仿宋" w:hAnsi="仿宋" w:eastAsia="仿宋" w:cs="宋体"/>
                <w:bCs/>
                <w:szCs w:val="21"/>
                <w:lang w:val="en-US" w:eastAsia="zh-CN"/>
              </w:rPr>
              <w:t>2</w:t>
            </w:r>
          </w:p>
        </w:tc>
        <w:tc>
          <w:tcPr>
            <w:tcW w:w="1068" w:type="dxa"/>
            <w:vAlign w:val="center"/>
          </w:tcPr>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同类项目经验</w:t>
            </w:r>
          </w:p>
        </w:tc>
        <w:tc>
          <w:tcPr>
            <w:tcW w:w="928"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10</w:t>
            </w:r>
          </w:p>
        </w:tc>
        <w:tc>
          <w:tcPr>
            <w:tcW w:w="6184" w:type="dxa"/>
            <w:vAlign w:val="center"/>
          </w:tcPr>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
                <w:szCs w:val="21"/>
              </w:rPr>
              <w:t>202</w:t>
            </w:r>
            <w:r>
              <w:rPr>
                <w:rFonts w:hint="eastAsia" w:ascii="仿宋" w:hAnsi="仿宋" w:eastAsia="仿宋" w:cs="宋体"/>
                <w:b/>
                <w:szCs w:val="21"/>
                <w:lang w:val="en-US" w:eastAsia="zh-CN"/>
              </w:rPr>
              <w:t>3</w:t>
            </w:r>
            <w:r>
              <w:rPr>
                <w:rFonts w:hint="eastAsia" w:ascii="仿宋" w:hAnsi="仿宋" w:eastAsia="仿宋" w:cs="宋体"/>
                <w:b/>
                <w:szCs w:val="21"/>
              </w:rPr>
              <w:t>年1月1日至今</w:t>
            </w:r>
            <w:r>
              <w:rPr>
                <w:rFonts w:hint="eastAsia" w:ascii="仿宋" w:hAnsi="仿宋" w:eastAsia="仿宋" w:cs="宋体"/>
                <w:bCs/>
                <w:szCs w:val="21"/>
              </w:rPr>
              <w:t>（以合同签订日期为准），承接过的同类项目业绩（</w:t>
            </w:r>
            <w:r>
              <w:rPr>
                <w:rFonts w:hint="eastAsia" w:ascii="仿宋" w:hAnsi="仿宋" w:eastAsia="仿宋" w:cs="宋体"/>
                <w:b/>
                <w:szCs w:val="21"/>
              </w:rPr>
              <w:t>同类项目指：网站或新媒体监测服务</w:t>
            </w:r>
            <w:r>
              <w:rPr>
                <w:rFonts w:hint="eastAsia" w:ascii="仿宋" w:hAnsi="仿宋" w:eastAsia="仿宋" w:cs="宋体"/>
                <w:b/>
                <w:szCs w:val="21"/>
                <w:lang w:val="en-US" w:eastAsia="zh-CN"/>
              </w:rPr>
              <w:t>类项目</w:t>
            </w:r>
            <w:r>
              <w:rPr>
                <w:rFonts w:hint="eastAsia" w:ascii="仿宋" w:hAnsi="仿宋" w:eastAsia="仿宋" w:cs="宋体"/>
                <w:bCs/>
                <w:szCs w:val="21"/>
              </w:rPr>
              <w:t>）的业绩情况。</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投标人每具备一份有效的同类项目业绩，得</w:t>
            </w:r>
            <w:r>
              <w:rPr>
                <w:rFonts w:hint="eastAsia" w:ascii="仿宋" w:hAnsi="仿宋" w:eastAsia="仿宋" w:cs="宋体"/>
                <w:bCs/>
                <w:szCs w:val="21"/>
                <w:lang w:val="en-US" w:eastAsia="zh-CN"/>
              </w:rPr>
              <w:t>5</w:t>
            </w:r>
            <w:r>
              <w:rPr>
                <w:rFonts w:hint="eastAsia" w:ascii="仿宋" w:hAnsi="仿宋" w:eastAsia="仿宋" w:cs="宋体"/>
                <w:bCs/>
                <w:szCs w:val="21"/>
              </w:rPr>
              <w:t>分；本项最高不超过</w:t>
            </w:r>
            <w:r>
              <w:rPr>
                <w:rFonts w:hint="eastAsia" w:ascii="仿宋" w:hAnsi="仿宋" w:eastAsia="仿宋" w:cs="宋体"/>
                <w:bCs/>
                <w:szCs w:val="21"/>
                <w:lang w:val="en-US" w:eastAsia="zh-CN"/>
              </w:rPr>
              <w:t>10</w:t>
            </w:r>
            <w:r>
              <w:rPr>
                <w:rFonts w:hint="eastAsia" w:ascii="仿宋" w:hAnsi="仿宋" w:eastAsia="仿宋" w:cs="宋体"/>
                <w:bCs/>
                <w:szCs w:val="21"/>
              </w:rPr>
              <w:t>分</w:t>
            </w:r>
            <w:r>
              <w:rPr>
                <w:rFonts w:hint="eastAsia" w:ascii="仿宋" w:hAnsi="仿宋" w:eastAsia="仿宋" w:cs="宋体"/>
                <w:bCs/>
                <w:szCs w:val="21"/>
                <w:lang w:eastAsia="zh-CN"/>
              </w:rPr>
              <w:t>。</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注：①须提供合同关键页（不限于签订合同双方的单位名称、合同名称、合同标的内容、合同金额页、合同签订页等）复印件作为证明材料，不提供不得分。②若合同无法说明项目内容符合上述同类项目经验范围，可提供甲方出具的相应证明文件作依据（证明文件须加盖合同甲方公司章或合同章，或甲方项目使用部门部门章）。③若合同无相关签订时间，则以合同中能够体现的服务起始时间进行认定。④证明材料不完整、不清晰、</w:t>
            </w:r>
            <w:r>
              <w:rPr>
                <w:rFonts w:hint="eastAsia" w:ascii="仿宋" w:hAnsi="仿宋" w:eastAsia="仿宋" w:cs="宋体"/>
                <w:bCs/>
                <w:szCs w:val="21"/>
                <w:lang w:val="en-US" w:eastAsia="zh-CN"/>
              </w:rPr>
              <w:t>项目小组</w:t>
            </w:r>
            <w:r>
              <w:rPr>
                <w:rFonts w:hint="eastAsia" w:ascii="仿宋" w:hAnsi="仿宋" w:eastAsia="仿宋" w:cs="宋体"/>
                <w:bCs/>
                <w:szCs w:val="21"/>
              </w:rPr>
              <w:t>无法确定业绩关键信息的将不予认可。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lang w:val="en-US" w:eastAsia="zh-CN"/>
              </w:rPr>
              <w:t>3</w:t>
            </w:r>
          </w:p>
        </w:tc>
        <w:tc>
          <w:tcPr>
            <w:tcW w:w="1068" w:type="dxa"/>
            <w:vAlign w:val="center"/>
          </w:tcPr>
          <w:p>
            <w:pPr>
              <w:spacing w:before="93" w:beforeLines="30" w:after="93" w:afterLines="30"/>
              <w:jc w:val="center"/>
              <w:rPr>
                <w:rFonts w:hint="default" w:ascii="仿宋" w:hAnsi="仿宋" w:eastAsia="仿宋" w:cs="宋体"/>
                <w:bCs/>
                <w:szCs w:val="21"/>
                <w:lang w:val="en-US" w:eastAsia="zh-CN"/>
              </w:rPr>
            </w:pPr>
            <w:r>
              <w:rPr>
                <w:rFonts w:hint="default" w:ascii="仿宋" w:hAnsi="仿宋" w:eastAsia="仿宋" w:cs="宋体"/>
                <w:bCs/>
                <w:szCs w:val="21"/>
                <w:lang w:val="en-US" w:eastAsia="zh-CN"/>
              </w:rPr>
              <w:t>企业资质要求</w:t>
            </w:r>
          </w:p>
        </w:tc>
        <w:tc>
          <w:tcPr>
            <w:tcW w:w="928"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9</w:t>
            </w:r>
          </w:p>
        </w:tc>
        <w:tc>
          <w:tcPr>
            <w:tcW w:w="6184" w:type="dxa"/>
            <w:vAlign w:val="center"/>
          </w:tcPr>
          <w:p>
            <w:pPr>
              <w:spacing w:before="93" w:beforeLines="30" w:after="93" w:afterLines="30"/>
              <w:ind w:firstLine="210" w:firstLineChars="100"/>
              <w:rPr>
                <w:rFonts w:hint="eastAsia" w:ascii="仿宋" w:hAnsi="仿宋" w:eastAsia="仿宋" w:cs="宋体"/>
                <w:bCs/>
                <w:szCs w:val="21"/>
                <w:lang w:eastAsia="zh-CN"/>
              </w:rPr>
            </w:pPr>
            <w:r>
              <w:rPr>
                <w:rFonts w:hint="eastAsia" w:ascii="仿宋" w:hAnsi="仿宋" w:eastAsia="仿宋" w:cs="宋体"/>
                <w:bCs/>
                <w:szCs w:val="21"/>
                <w:lang w:eastAsia="zh-CN"/>
              </w:rPr>
              <w:t>供应商为本项目服务所使用的网站检测、网站内容检测、网站连通性监测、网站监测平台、政务服务检测、数据抓取系统等软件具有自有计算机软件著作权登记证书，每</w:t>
            </w:r>
            <w:r>
              <w:rPr>
                <w:rFonts w:hint="eastAsia" w:ascii="仿宋" w:hAnsi="仿宋" w:eastAsia="仿宋" w:cs="宋体"/>
                <w:bCs/>
                <w:szCs w:val="21"/>
                <w:lang w:val="en-US" w:eastAsia="zh-CN"/>
              </w:rPr>
              <w:t>个</w:t>
            </w:r>
            <w:r>
              <w:rPr>
                <w:rFonts w:hint="eastAsia" w:ascii="仿宋" w:hAnsi="仿宋" w:eastAsia="仿宋" w:cs="宋体"/>
                <w:bCs/>
                <w:szCs w:val="21"/>
                <w:lang w:eastAsia="zh-CN"/>
              </w:rPr>
              <w:t>得</w:t>
            </w:r>
            <w:r>
              <w:rPr>
                <w:rFonts w:hint="eastAsia" w:ascii="仿宋" w:hAnsi="仿宋" w:eastAsia="仿宋" w:cs="宋体"/>
                <w:bCs/>
                <w:szCs w:val="21"/>
                <w:lang w:val="en-US" w:eastAsia="zh-CN"/>
              </w:rPr>
              <w:t>3</w:t>
            </w:r>
            <w:r>
              <w:rPr>
                <w:rFonts w:hint="eastAsia" w:ascii="仿宋" w:hAnsi="仿宋" w:eastAsia="仿宋" w:cs="宋体"/>
                <w:bCs/>
                <w:szCs w:val="21"/>
                <w:lang w:eastAsia="zh-CN"/>
              </w:rPr>
              <w:t>分，最高得</w:t>
            </w:r>
            <w:r>
              <w:rPr>
                <w:rFonts w:hint="eastAsia" w:ascii="仿宋" w:hAnsi="仿宋" w:eastAsia="仿宋" w:cs="宋体"/>
                <w:bCs/>
                <w:szCs w:val="21"/>
                <w:lang w:val="en-US" w:eastAsia="zh-CN"/>
              </w:rPr>
              <w:t>9</w:t>
            </w:r>
            <w:r>
              <w:rPr>
                <w:rFonts w:hint="eastAsia" w:ascii="仿宋" w:hAnsi="仿宋" w:eastAsia="仿宋" w:cs="宋体"/>
                <w:bCs/>
                <w:szCs w:val="21"/>
                <w:lang w:eastAsia="zh-CN"/>
              </w:rPr>
              <w:t>分。</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注：①</w:t>
            </w:r>
            <w:r>
              <w:rPr>
                <w:rFonts w:hint="eastAsia" w:ascii="仿宋" w:hAnsi="仿宋" w:eastAsia="仿宋" w:cs="宋体"/>
                <w:bCs/>
                <w:szCs w:val="21"/>
                <w:lang w:eastAsia="zh-CN"/>
              </w:rPr>
              <w:t>要求提供国家版权局颁发的有效的计算机相关的软件著作权登记证书复印件作为得分依据，证书所属人必须为供应商。</w:t>
            </w:r>
            <w:r>
              <w:rPr>
                <w:rFonts w:hint="eastAsia" w:ascii="仿宋" w:hAnsi="仿宋" w:eastAsia="仿宋" w:cs="宋体"/>
                <w:bCs/>
                <w:szCs w:val="21"/>
              </w:rPr>
              <w:t>②</w:t>
            </w:r>
            <w:r>
              <w:rPr>
                <w:rFonts w:hint="eastAsia" w:ascii="仿宋" w:hAnsi="仿宋" w:eastAsia="仿宋" w:cs="宋体"/>
                <w:bCs/>
                <w:szCs w:val="21"/>
                <w:lang w:eastAsia="zh-CN"/>
              </w:rPr>
              <w:t>以上资料均要求提供复印件并加盖供应商公章。评分中出现无证明资料或专家无法凭所提供资料判断是否得分的情况，一律作不得分处理。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4</w:t>
            </w:r>
          </w:p>
        </w:tc>
        <w:tc>
          <w:tcPr>
            <w:tcW w:w="1068"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服务便捷度</w:t>
            </w:r>
          </w:p>
        </w:tc>
        <w:tc>
          <w:tcPr>
            <w:tcW w:w="928"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2</w:t>
            </w:r>
          </w:p>
        </w:tc>
        <w:tc>
          <w:tcPr>
            <w:tcW w:w="6184" w:type="dxa"/>
            <w:vAlign w:val="center"/>
          </w:tcPr>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（1）</w:t>
            </w:r>
            <w:r>
              <w:rPr>
                <w:rFonts w:hint="eastAsia" w:ascii="仿宋" w:hAnsi="仿宋" w:eastAsia="仿宋" w:cs="宋体"/>
                <w:bCs/>
                <w:szCs w:val="21"/>
                <w:lang w:val="en-US" w:eastAsia="zh-CN"/>
              </w:rPr>
              <w:t>日常监测发现问题后，</w:t>
            </w:r>
            <w:r>
              <w:rPr>
                <w:rFonts w:hint="eastAsia" w:ascii="仿宋" w:hAnsi="仿宋" w:eastAsia="仿宋" w:cs="宋体"/>
                <w:bCs/>
                <w:szCs w:val="21"/>
              </w:rPr>
              <w:t>1</w:t>
            </w:r>
            <w:r>
              <w:rPr>
                <w:rFonts w:hint="eastAsia" w:ascii="仿宋" w:hAnsi="仿宋" w:eastAsia="仿宋" w:cs="宋体"/>
                <w:bCs/>
                <w:szCs w:val="21"/>
                <w:lang w:val="en-US" w:eastAsia="zh-CN"/>
              </w:rPr>
              <w:t>2</w:t>
            </w:r>
            <w:r>
              <w:rPr>
                <w:rFonts w:hint="eastAsia" w:ascii="仿宋" w:hAnsi="仿宋" w:eastAsia="仿宋" w:cs="宋体"/>
                <w:bCs/>
                <w:szCs w:val="21"/>
              </w:rPr>
              <w:t>小时（含）以内</w:t>
            </w:r>
            <w:r>
              <w:rPr>
                <w:rFonts w:hint="eastAsia" w:ascii="仿宋" w:hAnsi="仿宋" w:eastAsia="仿宋" w:cs="宋体"/>
                <w:bCs/>
                <w:szCs w:val="21"/>
                <w:lang w:val="en-US" w:eastAsia="zh-CN"/>
              </w:rPr>
              <w:t>预警</w:t>
            </w:r>
            <w:r>
              <w:rPr>
                <w:rFonts w:hint="eastAsia" w:ascii="仿宋" w:hAnsi="仿宋" w:eastAsia="仿宋" w:cs="宋体"/>
                <w:bCs/>
                <w:szCs w:val="21"/>
              </w:rPr>
              <w:t>并提供服务和保障的，得2分；</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（2）超出1</w:t>
            </w:r>
            <w:r>
              <w:rPr>
                <w:rFonts w:hint="eastAsia" w:ascii="仿宋" w:hAnsi="仿宋" w:eastAsia="仿宋" w:cs="宋体"/>
                <w:bCs/>
                <w:szCs w:val="21"/>
                <w:lang w:val="en-US" w:eastAsia="zh-CN"/>
              </w:rPr>
              <w:t>2</w:t>
            </w:r>
            <w:r>
              <w:rPr>
                <w:rFonts w:hint="eastAsia" w:ascii="仿宋" w:hAnsi="仿宋" w:eastAsia="仿宋" w:cs="宋体"/>
                <w:bCs/>
                <w:szCs w:val="21"/>
              </w:rPr>
              <w:t>小时</w:t>
            </w:r>
            <w:r>
              <w:rPr>
                <w:rFonts w:hint="eastAsia" w:ascii="仿宋" w:hAnsi="仿宋" w:eastAsia="仿宋" w:cs="宋体"/>
                <w:bCs/>
                <w:szCs w:val="21"/>
                <w:lang w:val="en-US" w:eastAsia="zh-CN"/>
              </w:rPr>
              <w:t>预警</w:t>
            </w:r>
            <w:r>
              <w:rPr>
                <w:rFonts w:hint="eastAsia" w:ascii="仿宋" w:hAnsi="仿宋" w:eastAsia="仿宋" w:cs="宋体"/>
                <w:bCs/>
                <w:szCs w:val="21"/>
              </w:rPr>
              <w:t>并提供服务和保障的，不得分。</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注：须提供服务响应时间承诺函（格式自拟）加盖公章作为证明材料，无不得分。</w:t>
            </w:r>
          </w:p>
        </w:tc>
      </w:tr>
      <w:bookmarkEnd w:id="15"/>
    </w:tbl>
    <w:p>
      <w:pPr>
        <w:pStyle w:val="8"/>
        <w:numPr>
          <w:ilvl w:val="0"/>
          <w:numId w:val="2"/>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技术评分表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4"/>
        <w:tblW w:w="89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评分项</w:t>
            </w:r>
          </w:p>
        </w:tc>
        <w:tc>
          <w:tcPr>
            <w:tcW w:w="6277" w:type="dxa"/>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技术</w:t>
            </w:r>
          </w:p>
        </w:tc>
        <w:tc>
          <w:tcPr>
            <w:tcW w:w="6277" w:type="dxa"/>
            <w:shd w:val="clear" w:color="auto" w:fill="F1F1F1" w:themeFill="background1" w:themeFillShade="F2"/>
            <w:vAlign w:val="center"/>
          </w:tcPr>
          <w:p>
            <w:pPr>
              <w:autoSpaceDE w:val="0"/>
              <w:autoSpaceDN w:val="0"/>
              <w:spacing w:before="93" w:beforeLines="30" w:after="93" w:afterLines="30"/>
              <w:jc w:val="center"/>
              <w:rPr>
                <w:rFonts w:hint="default" w:ascii="仿宋" w:hAnsi="仿宋" w:eastAsia="仿宋" w:cs="宋体"/>
                <w:b/>
                <w:szCs w:val="21"/>
                <w:lang w:val="en-US" w:eastAsia="zh-CN"/>
              </w:rPr>
            </w:pPr>
            <w:r>
              <w:rPr>
                <w:rFonts w:hint="eastAsia" w:ascii="仿宋" w:hAnsi="仿宋" w:eastAsia="仿宋" w:cs="宋体"/>
                <w:b/>
                <w:szCs w:val="21"/>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序号</w:t>
            </w:r>
          </w:p>
        </w:tc>
        <w:tc>
          <w:tcPr>
            <w:tcW w:w="1134" w:type="dxa"/>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内容</w:t>
            </w:r>
          </w:p>
        </w:tc>
        <w:tc>
          <w:tcPr>
            <w:tcW w:w="851" w:type="dxa"/>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分值</w:t>
            </w:r>
          </w:p>
        </w:tc>
        <w:tc>
          <w:tcPr>
            <w:tcW w:w="6277" w:type="dxa"/>
            <w:shd w:val="clear" w:color="auto" w:fill="F1F1F1" w:themeFill="background1" w:themeFillShade="F2"/>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04" w:type="dxa"/>
            <w:shd w:val="clear" w:color="auto" w:fill="auto"/>
            <w:vAlign w:val="center"/>
          </w:tcPr>
          <w:p>
            <w:pPr>
              <w:autoSpaceDE w:val="0"/>
              <w:autoSpaceDN w:val="0"/>
              <w:spacing w:before="93" w:beforeLines="30" w:after="93" w:afterLines="30"/>
              <w:jc w:val="center"/>
              <w:rPr>
                <w:rFonts w:ascii="仿宋" w:hAnsi="仿宋" w:eastAsia="仿宋" w:cs="宋体"/>
                <w:bCs/>
                <w:szCs w:val="21"/>
              </w:rPr>
            </w:pPr>
            <w:bookmarkStart w:id="16" w:name="_Hlk164272136"/>
            <w:r>
              <w:rPr>
                <w:rFonts w:ascii="仿宋" w:hAnsi="仿宋" w:eastAsia="仿宋" w:cs="宋体"/>
                <w:bCs/>
                <w:szCs w:val="21"/>
              </w:rPr>
              <w:t>1</w:t>
            </w:r>
          </w:p>
        </w:tc>
        <w:tc>
          <w:tcPr>
            <w:tcW w:w="1134" w:type="dxa"/>
            <w:shd w:val="clear" w:color="auto" w:fill="auto"/>
            <w:vAlign w:val="center"/>
          </w:tcPr>
          <w:p>
            <w:pPr>
              <w:autoSpaceDE w:val="0"/>
              <w:autoSpaceDN w:val="0"/>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项目实施方案</w:t>
            </w:r>
          </w:p>
        </w:tc>
        <w:tc>
          <w:tcPr>
            <w:tcW w:w="851" w:type="dxa"/>
            <w:shd w:val="clear" w:color="auto" w:fill="auto"/>
            <w:vAlign w:val="center"/>
          </w:tcPr>
          <w:p>
            <w:pPr>
              <w:autoSpaceDE w:val="0"/>
              <w:autoSpaceDN w:val="0"/>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20</w:t>
            </w:r>
          </w:p>
        </w:tc>
        <w:tc>
          <w:tcPr>
            <w:tcW w:w="6277" w:type="dxa"/>
            <w:shd w:val="clear" w:color="auto" w:fill="auto"/>
            <w:vAlign w:val="center"/>
          </w:tcPr>
          <w:p>
            <w:pPr>
              <w:autoSpaceDE w:val="0"/>
              <w:autoSpaceDN w:val="0"/>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w:t>
            </w:r>
            <w:r>
              <w:rPr>
                <w:rFonts w:hint="eastAsia" w:ascii="仿宋" w:hAnsi="仿宋" w:eastAsia="仿宋" w:cs="宋体"/>
                <w:bCs/>
                <w:szCs w:val="21"/>
                <w:lang w:val="en-US" w:eastAsia="zh-CN"/>
              </w:rPr>
              <w:t>需求</w:t>
            </w:r>
            <w:r>
              <w:rPr>
                <w:rFonts w:hint="eastAsia" w:ascii="仿宋" w:hAnsi="仿宋" w:eastAsia="仿宋" w:cs="宋体"/>
                <w:bCs/>
                <w:szCs w:val="21"/>
              </w:rPr>
              <w:t>所编写的技术实施方案情况。技术实施方案包括但不限于</w:t>
            </w:r>
            <w:r>
              <w:rPr>
                <w:rFonts w:hint="eastAsia" w:ascii="仿宋" w:hAnsi="仿宋" w:eastAsia="仿宋" w:cs="宋体"/>
                <w:b/>
                <w:bCs w:val="0"/>
                <w:szCs w:val="21"/>
                <w:lang w:val="en-US" w:eastAsia="zh-CN"/>
              </w:rPr>
              <w:t>对项目服务要求的理解、项目服务要求的具体解决方案</w:t>
            </w:r>
            <w:r>
              <w:rPr>
                <w:rFonts w:hint="eastAsia" w:ascii="仿宋" w:hAnsi="仿宋" w:eastAsia="仿宋" w:cs="宋体"/>
                <w:bCs/>
                <w:szCs w:val="21"/>
              </w:rPr>
              <w:t>等内容。根据上述内容要点进行综合评分，具体如下：</w:t>
            </w:r>
          </w:p>
          <w:p>
            <w:pPr>
              <w:autoSpaceDE w:val="0"/>
              <w:autoSpaceDN w:val="0"/>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1、实施方案规划详细、科学合理、契合实际情况，符合项目进度要求，项目管理架构清晰，可行性较高，得</w:t>
            </w:r>
            <w:r>
              <w:rPr>
                <w:rFonts w:hint="eastAsia" w:ascii="仿宋" w:hAnsi="仿宋" w:eastAsia="仿宋" w:cs="宋体"/>
                <w:bCs/>
                <w:szCs w:val="21"/>
                <w:lang w:val="en-US" w:eastAsia="zh-CN"/>
              </w:rPr>
              <w:t>20</w:t>
            </w:r>
            <w:r>
              <w:rPr>
                <w:rFonts w:hint="eastAsia" w:ascii="仿宋" w:hAnsi="仿宋" w:eastAsia="仿宋" w:cs="宋体"/>
                <w:bCs/>
                <w:szCs w:val="21"/>
              </w:rPr>
              <w:t>分；</w:t>
            </w:r>
          </w:p>
          <w:p>
            <w:pPr>
              <w:autoSpaceDE w:val="0"/>
              <w:autoSpaceDN w:val="0"/>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2、实施方案规划较详细、合理，基本契合实际情况，符合项目进度要求，项目管理架构较为清晰，具有一定可行性，得</w:t>
            </w:r>
            <w:r>
              <w:rPr>
                <w:rFonts w:hint="eastAsia" w:ascii="仿宋" w:hAnsi="仿宋" w:eastAsia="仿宋" w:cs="宋体"/>
                <w:bCs/>
                <w:szCs w:val="21"/>
                <w:lang w:val="en-US" w:eastAsia="zh-CN"/>
              </w:rPr>
              <w:t>15</w:t>
            </w:r>
            <w:r>
              <w:rPr>
                <w:rFonts w:hint="eastAsia" w:ascii="仿宋" w:hAnsi="仿宋" w:eastAsia="仿宋" w:cs="宋体"/>
                <w:bCs/>
                <w:szCs w:val="21"/>
              </w:rPr>
              <w:t>分；</w:t>
            </w:r>
          </w:p>
          <w:p>
            <w:pPr>
              <w:autoSpaceDE w:val="0"/>
              <w:autoSpaceDN w:val="0"/>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3、实施方案规划一般，内容较为笼统，上述所列的内容要点存在欠缺，需进一步细化才能满足实际需求，可行性一般，得</w:t>
            </w:r>
            <w:r>
              <w:rPr>
                <w:rFonts w:hint="eastAsia" w:ascii="仿宋" w:hAnsi="仿宋" w:eastAsia="仿宋" w:cs="宋体"/>
                <w:bCs/>
                <w:szCs w:val="21"/>
                <w:lang w:val="en-US" w:eastAsia="zh-CN"/>
              </w:rPr>
              <w:t>10</w:t>
            </w:r>
            <w:r>
              <w:rPr>
                <w:rFonts w:hint="eastAsia" w:ascii="仿宋" w:hAnsi="仿宋" w:eastAsia="仿宋" w:cs="宋体"/>
                <w:bCs/>
                <w:szCs w:val="21"/>
              </w:rPr>
              <w:t>分；</w:t>
            </w:r>
          </w:p>
          <w:p>
            <w:pPr>
              <w:autoSpaceDE w:val="0"/>
              <w:autoSpaceDN w:val="0"/>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4、实施方案内容不完善，无法有效体现上述所列各要点或存在严重的偏差，与项目要求关联性差，可操作性较差，得</w:t>
            </w:r>
            <w:r>
              <w:rPr>
                <w:rFonts w:hint="eastAsia" w:ascii="仿宋" w:hAnsi="仿宋" w:eastAsia="仿宋" w:cs="宋体"/>
                <w:bCs/>
                <w:szCs w:val="21"/>
                <w:lang w:val="en-US" w:eastAsia="zh-CN"/>
              </w:rPr>
              <w:t>5</w:t>
            </w:r>
            <w:r>
              <w:rPr>
                <w:rFonts w:hint="eastAsia" w:ascii="仿宋" w:hAnsi="仿宋" w:eastAsia="仿宋" w:cs="宋体"/>
                <w:bCs/>
                <w:szCs w:val="21"/>
              </w:rPr>
              <w:t>分；</w:t>
            </w:r>
          </w:p>
          <w:p>
            <w:pPr>
              <w:autoSpaceDE w:val="0"/>
              <w:autoSpaceDN w:val="0"/>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5、未提供相关内容则不得分。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before="93" w:beforeLines="30" w:after="93" w:afterLines="30"/>
              <w:jc w:val="center"/>
              <w:rPr>
                <w:rFonts w:ascii="仿宋" w:hAnsi="仿宋" w:eastAsia="仿宋" w:cs="宋体"/>
                <w:bCs/>
                <w:szCs w:val="21"/>
              </w:rPr>
            </w:pPr>
            <w:bookmarkStart w:id="17" w:name="_Hlk163650616"/>
            <w:r>
              <w:rPr>
                <w:rFonts w:hint="eastAsia" w:ascii="仿宋" w:hAnsi="仿宋" w:eastAsia="仿宋" w:cs="宋体"/>
                <w:bCs/>
                <w:szCs w:val="21"/>
              </w:rPr>
              <w:t>2</w:t>
            </w:r>
          </w:p>
        </w:tc>
        <w:tc>
          <w:tcPr>
            <w:tcW w:w="1134" w:type="dxa"/>
            <w:vAlign w:val="center"/>
          </w:tcPr>
          <w:p>
            <w:pPr>
              <w:spacing w:before="93" w:beforeLines="30" w:after="93" w:afterLines="30"/>
              <w:jc w:val="center"/>
              <w:rPr>
                <w:rFonts w:ascii="仿宋" w:hAnsi="仿宋" w:eastAsia="仿宋" w:cs="宋体"/>
                <w:bCs/>
                <w:szCs w:val="21"/>
              </w:rPr>
            </w:pPr>
            <w:r>
              <w:rPr>
                <w:rFonts w:hint="eastAsia" w:ascii="仿宋" w:hAnsi="仿宋" w:eastAsia="仿宋" w:cs="宋体"/>
                <w:bCs/>
                <w:szCs w:val="21"/>
              </w:rPr>
              <w:t>项目执行进度计划</w:t>
            </w:r>
          </w:p>
        </w:tc>
        <w:tc>
          <w:tcPr>
            <w:tcW w:w="851"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15</w:t>
            </w:r>
          </w:p>
        </w:tc>
        <w:tc>
          <w:tcPr>
            <w:tcW w:w="6277" w:type="dxa"/>
          </w:tcPr>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针对本项目所编制的详细计划进度表。</w:t>
            </w:r>
            <w:r>
              <w:rPr>
                <w:rFonts w:hint="eastAsia" w:ascii="仿宋" w:hAnsi="仿宋" w:eastAsia="仿宋" w:cs="宋体"/>
                <w:bCs/>
                <w:szCs w:val="21"/>
                <w:lang w:val="en-US" w:eastAsia="zh-CN"/>
              </w:rPr>
              <w:t>进度表应包含不</w:t>
            </w:r>
            <w:r>
              <w:rPr>
                <w:rFonts w:hint="eastAsia" w:ascii="仿宋" w:hAnsi="仿宋" w:eastAsia="仿宋" w:cs="宋体"/>
                <w:b/>
                <w:bCs w:val="0"/>
                <w:szCs w:val="21"/>
                <w:lang w:val="en-US" w:eastAsia="zh-CN"/>
              </w:rPr>
              <w:t>同阶段计划、完成该阶段计划对应的时间节点</w:t>
            </w:r>
            <w:r>
              <w:rPr>
                <w:rFonts w:hint="eastAsia" w:ascii="仿宋" w:hAnsi="仿宋" w:eastAsia="仿宋" w:cs="宋体"/>
                <w:bCs/>
                <w:szCs w:val="21"/>
              </w:rPr>
              <w:t>等内容</w:t>
            </w:r>
            <w:r>
              <w:rPr>
                <w:rFonts w:hint="eastAsia" w:ascii="仿宋" w:hAnsi="仿宋" w:eastAsia="仿宋" w:cs="宋体"/>
                <w:bCs/>
                <w:szCs w:val="21"/>
                <w:lang w:eastAsia="zh-CN"/>
              </w:rPr>
              <w:t>。</w:t>
            </w:r>
            <w:r>
              <w:rPr>
                <w:rFonts w:hint="eastAsia" w:ascii="仿宋" w:hAnsi="仿宋" w:eastAsia="仿宋" w:cs="宋体"/>
                <w:bCs/>
                <w:szCs w:val="21"/>
              </w:rPr>
              <w:t>根据上述内容要点进行综合评分，具体如下：</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1、</w:t>
            </w:r>
            <w:r>
              <w:rPr>
                <w:rFonts w:hint="eastAsia" w:ascii="仿宋" w:hAnsi="仿宋" w:eastAsia="仿宋" w:cs="宋体"/>
                <w:bCs/>
                <w:szCs w:val="21"/>
                <w:lang w:val="en-US" w:eastAsia="zh-CN"/>
              </w:rPr>
              <w:t>计划进度</w:t>
            </w:r>
            <w:r>
              <w:rPr>
                <w:rFonts w:hint="eastAsia" w:ascii="仿宋" w:hAnsi="仿宋" w:eastAsia="仿宋" w:cs="宋体"/>
                <w:bCs/>
                <w:szCs w:val="21"/>
              </w:rPr>
              <w:t>详细、思路清晰，能够覆盖上述所列各要点内容，可行性强，能够满足实际需求，得</w:t>
            </w:r>
            <w:r>
              <w:rPr>
                <w:rFonts w:hint="eastAsia" w:ascii="仿宋" w:hAnsi="仿宋" w:eastAsia="仿宋" w:cs="宋体"/>
                <w:bCs/>
                <w:szCs w:val="21"/>
                <w:lang w:val="en-US" w:eastAsia="zh-CN"/>
              </w:rPr>
              <w:t>15</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2、</w:t>
            </w:r>
            <w:r>
              <w:rPr>
                <w:rFonts w:hint="eastAsia" w:ascii="仿宋" w:hAnsi="仿宋" w:eastAsia="仿宋" w:cs="宋体"/>
                <w:bCs/>
                <w:szCs w:val="21"/>
                <w:lang w:val="en-US" w:eastAsia="zh-CN"/>
              </w:rPr>
              <w:t>计划进度</w:t>
            </w:r>
            <w:r>
              <w:rPr>
                <w:rFonts w:hint="eastAsia" w:ascii="仿宋" w:hAnsi="仿宋" w:eastAsia="仿宋" w:cs="宋体"/>
                <w:bCs/>
                <w:szCs w:val="21"/>
              </w:rPr>
              <w:t>比较详细，思路也比较清晰，基本能够覆盖上述所列各要点内容，可行性较强，基本能够满足实际需求，得</w:t>
            </w:r>
            <w:r>
              <w:rPr>
                <w:rFonts w:hint="eastAsia" w:ascii="仿宋" w:hAnsi="仿宋" w:eastAsia="仿宋" w:cs="宋体"/>
                <w:bCs/>
                <w:szCs w:val="21"/>
                <w:lang w:val="en-US" w:eastAsia="zh-CN"/>
              </w:rPr>
              <w:t>10</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3、</w:t>
            </w:r>
            <w:r>
              <w:rPr>
                <w:rFonts w:hint="eastAsia" w:ascii="仿宋" w:hAnsi="仿宋" w:eastAsia="仿宋" w:cs="宋体"/>
                <w:bCs/>
                <w:szCs w:val="21"/>
                <w:lang w:val="en-US" w:eastAsia="zh-CN"/>
              </w:rPr>
              <w:t>计划进度</w:t>
            </w:r>
            <w:r>
              <w:rPr>
                <w:rFonts w:hint="eastAsia" w:ascii="仿宋" w:hAnsi="仿宋" w:eastAsia="仿宋" w:cs="宋体"/>
                <w:bCs/>
                <w:szCs w:val="21"/>
              </w:rPr>
              <w:t>一般，整体内容较为笼统，上述所列的内容要点存在欠缺，可行性一般，得</w:t>
            </w:r>
            <w:r>
              <w:rPr>
                <w:rFonts w:hint="eastAsia" w:ascii="仿宋" w:hAnsi="仿宋" w:eastAsia="仿宋" w:cs="宋体"/>
                <w:bCs/>
                <w:szCs w:val="21"/>
                <w:lang w:val="en-US" w:eastAsia="zh-CN"/>
              </w:rPr>
              <w:t>5</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4、</w:t>
            </w:r>
            <w:r>
              <w:rPr>
                <w:rFonts w:hint="eastAsia" w:ascii="仿宋" w:hAnsi="仿宋" w:eastAsia="仿宋" w:cs="宋体"/>
                <w:bCs/>
                <w:szCs w:val="21"/>
                <w:lang w:val="en-US" w:eastAsia="zh-CN"/>
              </w:rPr>
              <w:t>计划进度</w:t>
            </w:r>
            <w:r>
              <w:rPr>
                <w:rFonts w:hint="eastAsia" w:ascii="仿宋" w:hAnsi="仿宋" w:eastAsia="仿宋" w:cs="宋体"/>
                <w:bCs/>
                <w:szCs w:val="21"/>
              </w:rPr>
              <w:t>较差，无法体现上述所列各要点或存在严重的偏差，可行性较差，得</w:t>
            </w:r>
            <w:r>
              <w:rPr>
                <w:rFonts w:hint="eastAsia" w:ascii="仿宋" w:hAnsi="仿宋" w:eastAsia="仿宋" w:cs="宋体"/>
                <w:bCs/>
                <w:szCs w:val="21"/>
                <w:lang w:val="en-US" w:eastAsia="zh-CN"/>
              </w:rPr>
              <w:t>1</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5、未提供相关内容则不得分。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before="93" w:beforeLines="30" w:after="93" w:afterLines="30"/>
              <w:jc w:val="center"/>
              <w:rPr>
                <w:rFonts w:ascii="仿宋" w:hAnsi="仿宋" w:eastAsia="仿宋" w:cs="宋体"/>
                <w:bCs/>
                <w:szCs w:val="21"/>
              </w:rPr>
            </w:pPr>
            <w:r>
              <w:rPr>
                <w:rFonts w:hint="eastAsia" w:ascii="仿宋" w:hAnsi="仿宋" w:eastAsia="仿宋" w:cs="宋体"/>
                <w:bCs/>
                <w:szCs w:val="21"/>
              </w:rPr>
              <w:t>3</w:t>
            </w:r>
          </w:p>
        </w:tc>
        <w:tc>
          <w:tcPr>
            <w:tcW w:w="1134" w:type="dxa"/>
            <w:vAlign w:val="center"/>
          </w:tcPr>
          <w:p>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rPr>
              <w:t>保密管理及应急保障措施</w:t>
            </w:r>
            <w:r>
              <w:rPr>
                <w:rFonts w:hint="eastAsia" w:ascii="仿宋" w:hAnsi="仿宋" w:eastAsia="仿宋" w:cs="宋体"/>
                <w:bCs/>
                <w:szCs w:val="21"/>
                <w:lang w:val="en-US" w:eastAsia="zh-CN"/>
              </w:rPr>
              <w:t>等</w:t>
            </w:r>
          </w:p>
        </w:tc>
        <w:tc>
          <w:tcPr>
            <w:tcW w:w="851"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10</w:t>
            </w:r>
          </w:p>
        </w:tc>
        <w:tc>
          <w:tcPr>
            <w:tcW w:w="6277" w:type="dxa"/>
            <w:vAlign w:val="center"/>
          </w:tcPr>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针对本项目所编制的保密管理及应急保障措施。内容包含不限于</w:t>
            </w:r>
            <w:r>
              <w:rPr>
                <w:rFonts w:hint="eastAsia" w:ascii="仿宋" w:hAnsi="仿宋" w:eastAsia="仿宋" w:cs="宋体"/>
                <w:b/>
                <w:bCs w:val="0"/>
                <w:szCs w:val="21"/>
              </w:rPr>
              <w:t>项目保密措施、应急保障措施</w:t>
            </w:r>
            <w:r>
              <w:rPr>
                <w:rFonts w:hint="eastAsia" w:ascii="仿宋" w:hAnsi="仿宋" w:eastAsia="仿宋" w:cs="宋体"/>
                <w:bCs/>
                <w:szCs w:val="21"/>
              </w:rPr>
              <w:t>等。根据内容的优劣情况进行横向比较，具体如下：</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1</w:t>
            </w:r>
            <w:r>
              <w:rPr>
                <w:rFonts w:hint="eastAsia" w:ascii="仿宋" w:hAnsi="仿宋" w:eastAsia="仿宋" w:cs="宋体"/>
                <w:bCs/>
                <w:szCs w:val="21"/>
                <w:lang w:val="en-US" w:eastAsia="zh-CN"/>
              </w:rPr>
              <w:t>.</w:t>
            </w:r>
            <w:r>
              <w:rPr>
                <w:rFonts w:hint="eastAsia" w:ascii="仿宋" w:hAnsi="仿宋" w:eastAsia="仿宋" w:cs="宋体"/>
                <w:bCs/>
                <w:szCs w:val="21"/>
              </w:rPr>
              <w:t>内容合理，列有详细的项目保密措施、应急保障措施，整体切实可行，能对项目执行起到保障作用，得</w:t>
            </w:r>
            <w:r>
              <w:rPr>
                <w:rFonts w:hint="eastAsia" w:ascii="仿宋" w:hAnsi="仿宋" w:eastAsia="仿宋" w:cs="宋体"/>
                <w:bCs/>
                <w:szCs w:val="21"/>
                <w:lang w:val="en-US" w:eastAsia="zh-CN"/>
              </w:rPr>
              <w:t>10</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2</w:t>
            </w:r>
            <w:r>
              <w:rPr>
                <w:rFonts w:hint="eastAsia" w:ascii="仿宋" w:hAnsi="仿宋" w:eastAsia="仿宋" w:cs="宋体"/>
                <w:bCs/>
                <w:szCs w:val="21"/>
                <w:lang w:val="en-US" w:eastAsia="zh-CN"/>
              </w:rPr>
              <w:t>.</w:t>
            </w:r>
            <w:r>
              <w:rPr>
                <w:rFonts w:hint="eastAsia" w:ascii="仿宋" w:hAnsi="仿宋" w:eastAsia="仿宋" w:cs="宋体"/>
                <w:bCs/>
                <w:szCs w:val="21"/>
              </w:rPr>
              <w:t>内容较为合理，列有简单的项目保密措施、应急保障措施，基本可行，能对项目执行起到一定保障作用，得</w:t>
            </w:r>
            <w:r>
              <w:rPr>
                <w:rFonts w:hint="eastAsia" w:ascii="仿宋" w:hAnsi="仿宋" w:eastAsia="仿宋" w:cs="宋体"/>
                <w:bCs/>
                <w:szCs w:val="21"/>
                <w:lang w:val="en-US" w:eastAsia="zh-CN"/>
              </w:rPr>
              <w:t>7</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3</w:t>
            </w:r>
            <w:r>
              <w:rPr>
                <w:rFonts w:hint="eastAsia" w:ascii="仿宋" w:hAnsi="仿宋" w:eastAsia="仿宋" w:cs="宋体"/>
                <w:bCs/>
                <w:szCs w:val="21"/>
                <w:lang w:val="en-US" w:eastAsia="zh-CN"/>
              </w:rPr>
              <w:t>.</w:t>
            </w:r>
            <w:r>
              <w:rPr>
                <w:rFonts w:hint="eastAsia" w:ascii="仿宋" w:hAnsi="仿宋" w:eastAsia="仿宋" w:cs="宋体"/>
                <w:bCs/>
                <w:szCs w:val="21"/>
              </w:rPr>
              <w:t>内容一般，整体内容较为笼统，可行性一般，对项目执行起到保障作用较小，得</w:t>
            </w:r>
            <w:r>
              <w:rPr>
                <w:rFonts w:hint="eastAsia" w:ascii="仿宋" w:hAnsi="仿宋" w:eastAsia="仿宋" w:cs="宋体"/>
                <w:bCs/>
                <w:szCs w:val="21"/>
                <w:lang w:val="en-US" w:eastAsia="zh-CN"/>
              </w:rPr>
              <w:t>5</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4</w:t>
            </w:r>
            <w:r>
              <w:rPr>
                <w:rFonts w:hint="eastAsia" w:ascii="仿宋" w:hAnsi="仿宋" w:eastAsia="仿宋" w:cs="宋体"/>
                <w:bCs/>
                <w:szCs w:val="21"/>
                <w:lang w:val="en-US" w:eastAsia="zh-CN"/>
              </w:rPr>
              <w:t>.</w:t>
            </w:r>
            <w:r>
              <w:rPr>
                <w:rFonts w:hint="eastAsia" w:ascii="仿宋" w:hAnsi="仿宋" w:eastAsia="仿宋" w:cs="宋体"/>
                <w:bCs/>
                <w:szCs w:val="21"/>
              </w:rPr>
              <w:t>方案内容较差，存在严重的欠缺，可行性差，得</w:t>
            </w:r>
            <w:r>
              <w:rPr>
                <w:rFonts w:hint="eastAsia" w:ascii="仿宋" w:hAnsi="仿宋" w:eastAsia="仿宋" w:cs="宋体"/>
                <w:bCs/>
                <w:szCs w:val="21"/>
                <w:lang w:val="en-US" w:eastAsia="zh-CN"/>
              </w:rPr>
              <w:t>3</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5</w:t>
            </w:r>
            <w:r>
              <w:rPr>
                <w:rFonts w:hint="eastAsia" w:ascii="仿宋" w:hAnsi="仿宋" w:eastAsia="仿宋" w:cs="宋体"/>
                <w:bCs/>
                <w:szCs w:val="21"/>
                <w:lang w:val="en-US" w:eastAsia="zh-CN"/>
              </w:rPr>
              <w:t>.</w:t>
            </w:r>
            <w:r>
              <w:rPr>
                <w:rFonts w:hint="eastAsia" w:ascii="仿宋" w:hAnsi="仿宋" w:eastAsia="仿宋" w:cs="宋体"/>
                <w:bCs/>
                <w:szCs w:val="21"/>
              </w:rPr>
              <w:t>未提供相关内容则不得分。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auto"/>
            <w:vAlign w:val="center"/>
          </w:tcPr>
          <w:p>
            <w:pPr>
              <w:spacing w:before="93" w:beforeLines="30" w:after="93" w:afterLines="30"/>
              <w:jc w:val="center"/>
              <w:rPr>
                <w:rFonts w:hint="eastAsia" w:ascii="仿宋" w:hAnsi="仿宋" w:eastAsia="仿宋" w:cs="宋体"/>
                <w:bCs/>
                <w:kern w:val="2"/>
                <w:sz w:val="21"/>
                <w:szCs w:val="21"/>
                <w:lang w:val="en-US" w:eastAsia="zh-CN" w:bidi="ar-SA"/>
              </w:rPr>
            </w:pPr>
            <w:r>
              <w:rPr>
                <w:rFonts w:hint="eastAsia" w:ascii="仿宋" w:hAnsi="仿宋" w:eastAsia="仿宋" w:cs="宋体"/>
                <w:bCs/>
                <w:szCs w:val="21"/>
                <w:lang w:val="en-US" w:eastAsia="zh-CN"/>
              </w:rPr>
              <w:t>4</w:t>
            </w:r>
          </w:p>
        </w:tc>
        <w:tc>
          <w:tcPr>
            <w:tcW w:w="1134" w:type="dxa"/>
            <w:shd w:val="clear" w:color="auto" w:fill="auto"/>
            <w:vAlign w:val="center"/>
          </w:tcPr>
          <w:p>
            <w:pPr>
              <w:spacing w:before="93" w:beforeLines="30" w:after="93" w:afterLines="30"/>
              <w:jc w:val="center"/>
              <w:rPr>
                <w:rFonts w:hint="eastAsia" w:ascii="仿宋" w:hAnsi="仿宋" w:eastAsia="仿宋" w:cs="宋体"/>
                <w:bCs/>
                <w:kern w:val="2"/>
                <w:sz w:val="21"/>
                <w:szCs w:val="21"/>
                <w:lang w:val="en-US" w:eastAsia="zh-CN" w:bidi="ar-SA"/>
              </w:rPr>
            </w:pPr>
            <w:r>
              <w:rPr>
                <w:rFonts w:hint="eastAsia" w:ascii="仿宋" w:hAnsi="仿宋" w:eastAsia="仿宋" w:cs="宋体"/>
                <w:bCs/>
                <w:kern w:val="2"/>
                <w:sz w:val="21"/>
                <w:szCs w:val="21"/>
                <w:lang w:val="en-US" w:eastAsia="zh-CN" w:bidi="ar-SA"/>
              </w:rPr>
              <w:t>本地化服务能力</w:t>
            </w:r>
          </w:p>
        </w:tc>
        <w:tc>
          <w:tcPr>
            <w:tcW w:w="851" w:type="dxa"/>
            <w:shd w:val="clear" w:color="auto" w:fill="auto"/>
            <w:vAlign w:val="center"/>
          </w:tcPr>
          <w:p>
            <w:pPr>
              <w:spacing w:before="93" w:beforeLines="30" w:after="93" w:afterLines="30"/>
              <w:jc w:val="center"/>
              <w:rPr>
                <w:rFonts w:hint="eastAsia" w:ascii="仿宋" w:hAnsi="仿宋" w:eastAsia="仿宋" w:cs="宋体"/>
                <w:bCs/>
                <w:kern w:val="2"/>
                <w:sz w:val="21"/>
                <w:szCs w:val="21"/>
                <w:lang w:val="en-US" w:eastAsia="zh-CN" w:bidi="ar-SA"/>
              </w:rPr>
            </w:pPr>
            <w:r>
              <w:rPr>
                <w:rFonts w:hint="eastAsia" w:ascii="仿宋" w:hAnsi="仿宋" w:eastAsia="仿宋" w:cs="宋体"/>
                <w:bCs/>
                <w:szCs w:val="21"/>
                <w:lang w:val="en-US" w:eastAsia="zh-CN"/>
              </w:rPr>
              <w:t>5</w:t>
            </w:r>
          </w:p>
        </w:tc>
        <w:tc>
          <w:tcPr>
            <w:tcW w:w="6277" w:type="dxa"/>
            <w:shd w:val="clear" w:color="auto" w:fill="auto"/>
            <w:vAlign w:val="center"/>
          </w:tcPr>
          <w:p>
            <w:pPr>
              <w:spacing w:before="93" w:beforeLines="30" w:after="93" w:afterLines="30"/>
              <w:ind w:firstLine="210" w:firstLineChars="100"/>
              <w:rPr>
                <w:rFonts w:hint="eastAsia" w:ascii="仿宋" w:hAnsi="仿宋" w:eastAsia="仿宋" w:cs="宋体"/>
                <w:bCs/>
                <w:szCs w:val="21"/>
                <w:lang w:val="en-US" w:eastAsia="zh-CN"/>
              </w:rPr>
            </w:pPr>
            <w:r>
              <w:rPr>
                <w:rFonts w:hint="eastAsia" w:ascii="仿宋" w:hAnsi="仿宋" w:eastAsia="仿宋" w:cs="宋体"/>
                <w:bCs/>
                <w:szCs w:val="21"/>
                <w:lang w:val="en-US" w:eastAsia="zh-CN"/>
              </w:rPr>
              <w:t>1.投标人注册地址在广州市行政区域内，提供营业执照复印件，且承诺项目出现故障或应急问题时，1小时内到达用户指定现场，提供加盖公章的应急响应承诺，得5分。</w:t>
            </w:r>
          </w:p>
          <w:p>
            <w:pPr>
              <w:spacing w:before="93" w:beforeLines="30" w:after="93" w:afterLines="30"/>
              <w:ind w:firstLine="210" w:firstLineChars="100"/>
              <w:rPr>
                <w:rFonts w:hint="eastAsia" w:ascii="仿宋" w:hAnsi="仿宋" w:eastAsia="仿宋" w:cs="宋体"/>
                <w:bCs/>
                <w:szCs w:val="21"/>
                <w:lang w:val="en-US" w:eastAsia="zh-CN"/>
              </w:rPr>
            </w:pPr>
            <w:r>
              <w:rPr>
                <w:rFonts w:hint="eastAsia" w:ascii="仿宋" w:hAnsi="仿宋" w:eastAsia="仿宋" w:cs="宋体"/>
                <w:bCs/>
                <w:szCs w:val="21"/>
                <w:lang w:val="en-US" w:eastAsia="zh-CN"/>
              </w:rPr>
              <w:t>2.投标人注册地址非广州市本地，但提供本地化服务承诺函，承诺中标后在广州市设立固定服务机构、配备专职服务人员，且承诺项目出现问题1小时内到达用户指定现场，得3分。</w:t>
            </w:r>
          </w:p>
          <w:p>
            <w:pPr>
              <w:spacing w:before="93" w:beforeLines="30" w:after="93" w:afterLines="30"/>
              <w:ind w:firstLine="210" w:firstLineChars="100"/>
              <w:rPr>
                <w:rFonts w:hint="eastAsia" w:ascii="仿宋" w:hAnsi="仿宋" w:eastAsia="仿宋" w:cs="宋体"/>
                <w:bCs/>
                <w:kern w:val="2"/>
                <w:sz w:val="21"/>
                <w:szCs w:val="21"/>
                <w:lang w:val="en-US" w:eastAsia="zh-CN" w:bidi="ar-SA"/>
              </w:rPr>
            </w:pPr>
            <w:r>
              <w:rPr>
                <w:rFonts w:hint="eastAsia" w:ascii="仿宋" w:hAnsi="仿宋" w:eastAsia="仿宋" w:cs="宋体"/>
                <w:bCs/>
                <w:szCs w:val="21"/>
                <w:lang w:val="en-US" w:eastAsia="zh-CN"/>
              </w:rPr>
              <w:t>3.投标人注册地址非广州市本地，且未提供本地化服务承诺，本项0 分。</w:t>
            </w:r>
          </w:p>
        </w:tc>
      </w:tr>
      <w:bookmarkEnd w:id="16"/>
      <w:bookmarkEnd w:id="17"/>
    </w:tbl>
    <w:p>
      <w:pPr>
        <w:pStyle w:val="8"/>
        <w:spacing w:before="91" w:line="223" w:lineRule="auto"/>
        <w:outlineLvl w:val="1"/>
        <w:rPr>
          <w:rFonts w:hint="default" w:ascii="Times New Roman" w:hAnsi="Times New Roman" w:eastAsia="仿宋_GB2312" w:cs="Times New Roman"/>
          <w:sz w:val="28"/>
          <w:szCs w:val="28"/>
        </w:rPr>
      </w:pP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4</w:t>
      </w: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价格评分表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评分项</w:t>
            </w:r>
          </w:p>
        </w:tc>
        <w:tc>
          <w:tcPr>
            <w:tcW w:w="6146"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价格</w:t>
            </w:r>
          </w:p>
        </w:tc>
        <w:tc>
          <w:tcPr>
            <w:tcW w:w="6146"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lang w:val="en-US" w:eastAsia="zh-CN"/>
              </w:rPr>
              <w:t>2</w:t>
            </w:r>
            <w:r>
              <w:rPr>
                <w:rFonts w:hint="eastAsia" w:ascii="仿宋" w:hAnsi="仿宋" w:eastAsia="仿宋" w:cs="宋体"/>
                <w:b/>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134"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851"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46"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1</w:t>
            </w:r>
          </w:p>
        </w:tc>
        <w:tc>
          <w:tcPr>
            <w:tcW w:w="1134" w:type="dxa"/>
            <w:vAlign w:val="center"/>
          </w:tcPr>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价格分</w:t>
            </w:r>
          </w:p>
        </w:tc>
        <w:tc>
          <w:tcPr>
            <w:tcW w:w="851" w:type="dxa"/>
            <w:vAlign w:val="center"/>
          </w:tcPr>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lang w:val="en-US" w:eastAsia="zh-CN"/>
              </w:rPr>
              <w:t>2</w:t>
            </w:r>
            <w:r>
              <w:rPr>
                <w:rFonts w:hint="eastAsia" w:ascii="仿宋" w:hAnsi="仿宋" w:eastAsia="仿宋" w:cs="宋体"/>
                <w:bCs/>
                <w:szCs w:val="21"/>
              </w:rPr>
              <w:t>0</w:t>
            </w:r>
          </w:p>
        </w:tc>
        <w:tc>
          <w:tcPr>
            <w:tcW w:w="6146" w:type="dxa"/>
          </w:tcPr>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本项目价格分统一采用</w:t>
            </w:r>
            <w:r>
              <w:rPr>
                <w:rFonts w:hint="eastAsia" w:ascii="仿宋" w:hAnsi="仿宋" w:eastAsia="仿宋" w:cs="宋体"/>
                <w:bCs/>
                <w:szCs w:val="21"/>
                <w:u w:val="single"/>
              </w:rPr>
              <w:t>低价优先法</w:t>
            </w:r>
            <w:r>
              <w:rPr>
                <w:rFonts w:hint="eastAsia" w:ascii="仿宋" w:hAnsi="仿宋" w:eastAsia="仿宋" w:cs="宋体"/>
                <w:bCs/>
                <w:szCs w:val="21"/>
              </w:rPr>
              <w:t>计算，即满足</w:t>
            </w:r>
            <w:r>
              <w:rPr>
                <w:rFonts w:hint="eastAsia" w:ascii="仿宋" w:hAnsi="仿宋" w:eastAsia="仿宋" w:cs="宋体"/>
                <w:bCs/>
                <w:szCs w:val="21"/>
                <w:lang w:val="en-US" w:eastAsia="zh-CN"/>
              </w:rPr>
              <w:t>采购</w:t>
            </w:r>
            <w:r>
              <w:rPr>
                <w:rFonts w:hint="eastAsia" w:ascii="仿宋" w:hAnsi="仿宋" w:eastAsia="仿宋" w:cs="宋体"/>
                <w:bCs/>
                <w:szCs w:val="21"/>
              </w:rPr>
              <w:t>文件要求且最后</w:t>
            </w:r>
            <w:r>
              <w:rPr>
                <w:rFonts w:hint="eastAsia" w:ascii="仿宋" w:hAnsi="仿宋" w:eastAsia="仿宋" w:cs="宋体"/>
                <w:bCs/>
                <w:szCs w:val="21"/>
                <w:lang w:val="en-US" w:eastAsia="zh-CN"/>
              </w:rPr>
              <w:t>不</w:t>
            </w:r>
            <w:r>
              <w:rPr>
                <w:rFonts w:hint="eastAsia" w:ascii="仿宋" w:hAnsi="仿宋" w:eastAsia="仿宋" w:cs="宋体"/>
                <w:bCs/>
                <w:szCs w:val="21"/>
              </w:rPr>
              <w:t>含税总价报价为最低的投标人报价作为基准价，其价格得分为满分，满分为</w:t>
            </w:r>
            <w:r>
              <w:rPr>
                <w:rFonts w:hint="eastAsia" w:ascii="仿宋" w:hAnsi="仿宋" w:eastAsia="仿宋" w:cs="宋体"/>
                <w:bCs/>
                <w:szCs w:val="21"/>
                <w:lang w:val="en-US" w:eastAsia="zh-CN"/>
              </w:rPr>
              <w:t>2</w:t>
            </w:r>
            <w:r>
              <w:rPr>
                <w:rFonts w:hint="eastAsia" w:ascii="仿宋" w:hAnsi="仿宋" w:eastAsia="仿宋" w:cs="宋体"/>
                <w:bCs/>
                <w:szCs w:val="21"/>
              </w:rPr>
              <w:t>0分。具体公式如下：</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报价得分=（基准价/有效评审价）×价格分分值。</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说明：本项目有效评审价为通过初步评审的</w:t>
            </w:r>
            <w:r>
              <w:rPr>
                <w:rFonts w:hint="eastAsia" w:ascii="仿宋" w:hAnsi="仿宋" w:eastAsia="仿宋" w:cs="宋体"/>
                <w:bCs/>
                <w:szCs w:val="21"/>
                <w:lang w:val="en-US" w:eastAsia="zh-CN"/>
              </w:rPr>
              <w:t>报价供应商</w:t>
            </w:r>
            <w:r>
              <w:rPr>
                <w:rFonts w:hint="eastAsia" w:ascii="仿宋" w:hAnsi="仿宋" w:eastAsia="仿宋" w:cs="宋体"/>
                <w:bCs/>
                <w:szCs w:val="21"/>
              </w:rPr>
              <w:t>项目总价（</w:t>
            </w:r>
            <w:r>
              <w:rPr>
                <w:rFonts w:hint="eastAsia" w:ascii="仿宋" w:hAnsi="仿宋" w:eastAsia="仿宋" w:cs="宋体"/>
                <w:bCs/>
                <w:szCs w:val="21"/>
                <w:lang w:val="en-US" w:eastAsia="zh-CN"/>
              </w:rPr>
              <w:t>不增值</w:t>
            </w:r>
            <w:r>
              <w:rPr>
                <w:rFonts w:hint="eastAsia" w:ascii="仿宋" w:hAnsi="仿宋" w:eastAsia="仿宋" w:cs="宋体"/>
                <w:bCs/>
                <w:szCs w:val="21"/>
              </w:rPr>
              <w:t>含税）。如价格有算术性修正，请以修正后的价格为准。</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备注：价格得分四舍五入，小数点后保留两位有效数。</w:t>
            </w:r>
          </w:p>
        </w:tc>
      </w:tr>
    </w:tbl>
    <w:p>
      <w:pPr>
        <w:pStyle w:val="5"/>
        <w:rPr>
          <w:rFonts w:hint="eastAsia" w:ascii="宋体" w:hAnsi="宋体" w:eastAsia="宋体" w:cs="宋体"/>
          <w:highlight w:val="none"/>
        </w:rPr>
      </w:pPr>
      <w:r>
        <w:rPr>
          <w:rFonts w:hint="eastAsia" w:ascii="宋体" w:hAnsi="宋体" w:eastAsia="宋体" w:cs="宋体"/>
          <w:highlight w:val="none"/>
        </w:rPr>
        <w:t>评审程序</w:t>
      </w:r>
      <w:bookmarkEnd w:id="8"/>
      <w:bookmarkEnd w:id="9"/>
      <w:bookmarkEnd w:id="10"/>
      <w:bookmarkEnd w:id="11"/>
      <w:bookmarkEnd w:id="12"/>
      <w:bookmarkEnd w:id="13"/>
      <w:bookmarkEnd w:id="14"/>
    </w:p>
    <w:p>
      <w:pPr>
        <w:rPr>
          <w:rFonts w:hint="eastAsia" w:ascii="仿宋" w:hAnsi="仿宋" w:eastAsia="仿宋" w:cs="仿宋"/>
          <w:b/>
          <w:sz w:val="24"/>
          <w:szCs w:val="24"/>
          <w:highlight w:val="none"/>
        </w:rPr>
      </w:pPr>
      <w:r>
        <w:rPr>
          <w:rFonts w:hint="eastAsia" w:ascii="仿宋" w:hAnsi="仿宋" w:eastAsia="仿宋" w:cs="仿宋"/>
          <w:b/>
          <w:sz w:val="24"/>
          <w:szCs w:val="24"/>
          <w:highlight w:val="none"/>
        </w:rPr>
        <w:t>3.1.1初步评审</w:t>
      </w:r>
    </w:p>
    <w:p>
      <w:pPr>
        <w:ind w:firstLine="480" w:firstLineChars="200"/>
        <w:rPr>
          <w:rFonts w:hint="eastAsia" w:ascii="仿宋" w:hAnsi="仿宋" w:eastAsia="仿宋" w:cs="仿宋"/>
          <w:kern w:val="0"/>
          <w:sz w:val="24"/>
          <w:szCs w:val="24"/>
          <w:highlight w:val="none"/>
        </w:rPr>
      </w:pPr>
      <w:r>
        <w:rPr>
          <w:rFonts w:hint="eastAsia" w:ascii="仿宋" w:hAnsi="仿宋" w:eastAsia="仿宋" w:cs="仿宋"/>
          <w:sz w:val="24"/>
          <w:szCs w:val="24"/>
          <w:highlight w:val="none"/>
        </w:rPr>
        <w:t xml:space="preserve">3.3.1.1  </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根据本章评审办法前附表规定的标准对</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进行初步评审。对全部</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进行初步评审，检查</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是否完全满足采购文件要求。初步评审分为</w:t>
      </w:r>
      <w:r>
        <w:rPr>
          <w:rFonts w:hint="eastAsia" w:ascii="仿宋" w:hAnsi="仿宋" w:eastAsia="仿宋" w:cs="仿宋"/>
          <w:kern w:val="0"/>
          <w:sz w:val="24"/>
          <w:szCs w:val="24"/>
          <w:highlight w:val="none"/>
        </w:rPr>
        <w:t>形式及响应性评审</w:t>
      </w:r>
      <w:r>
        <w:rPr>
          <w:rFonts w:hint="eastAsia" w:ascii="仿宋" w:hAnsi="仿宋" w:eastAsia="仿宋" w:cs="仿宋"/>
          <w:sz w:val="24"/>
          <w:szCs w:val="24"/>
          <w:highlight w:val="none"/>
        </w:rPr>
        <w:t>和资格</w:t>
      </w:r>
      <w:r>
        <w:rPr>
          <w:rFonts w:hint="eastAsia" w:ascii="仿宋" w:hAnsi="仿宋" w:eastAsia="仿宋" w:cs="仿宋"/>
          <w:sz w:val="24"/>
          <w:szCs w:val="24"/>
          <w:highlight w:val="none"/>
          <w:lang w:val="en-US" w:eastAsia="zh-CN"/>
        </w:rPr>
        <w:t>评审</w:t>
      </w:r>
      <w:r>
        <w:rPr>
          <w:rFonts w:hint="eastAsia" w:ascii="仿宋" w:hAnsi="仿宋" w:eastAsia="仿宋" w:cs="仿宋"/>
          <w:sz w:val="24"/>
          <w:szCs w:val="24"/>
          <w:highlight w:val="none"/>
        </w:rPr>
        <w:t>。初步评审中有一项不符合评审标准的，将做否决应答处理。</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3.3.1.2</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有以下情形之一的，</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应当否决其应答：</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不按照</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要求澄清、说明或者补正；</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允许联合体应答的，应答联合体没有递交共同应答协议；</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不符合国家或者采购文件规定的资格条件；</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同一</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递交两个以上不同的</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或者应答报价，但采购文件要求递交备选应答的除外；</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应答报价低于成本或者高于采购文件设定的最高应答限价；</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没有对采购文件的实质性要求和条件做出响应；</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有串通应答、弄虚作假、行贿等违法行为；</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以他人名义应答；</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没有按照采购文件要求提供应答担保或者所提供的应答担保有瑕疵；</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载明的采购项目完成期限超过采购文件规定的期限；</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明显不符合技术规格、技术标准的要求；</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载明的货物包装方式、检验标准和方法等不符合采购文件的要求；</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附有采购人不能接受的条件；</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不符合采购文件中规定的其他实质性要求。</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3.3.1.3  评审过程中，</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收到低于成本价应答的书面质疑材料、发现</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的综合报价明显低于其他应答报价或者设有标底时明显低于标底，认为应答报价可能低于其个别成本的，应当书面要求该</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做出书面说明并提供相关证明材料。</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不能合理说明或者不能提供相应证明材料的，由</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认定该</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以低于成本报价应答，</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应当否决其应答。</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3.3.1.4  应答报价有算术错误的，</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按照以下原则对应答报价进行修正，修正的价格经</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书面确认后具有约束力。报价不一致的处理原则：</w:t>
      </w:r>
    </w:p>
    <w:p>
      <w:pPr>
        <w:spacing w:line="276"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1）当报价一览表报价信息与分项报价表报价信息不一致时，</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将以分项报价表中的单价报价信息为准，修正其他报价信息。</w:t>
      </w:r>
    </w:p>
    <w:p>
      <w:pPr>
        <w:spacing w:line="276"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总价金额与按单价汇总金额不一致的，以单价金额计算结果为准；但单价金额小数点或者百分比有明显错位的，以总价为准，并修改单价。</w:t>
      </w:r>
    </w:p>
    <w:p>
      <w:pPr>
        <w:pStyle w:val="20"/>
        <w:spacing w:line="240" w:lineRule="auto"/>
        <w:ind w:firstLine="42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如果</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不接受对其错误的更正，其应答无效。</w:t>
      </w:r>
    </w:p>
    <w:p>
      <w:pPr>
        <w:pStyle w:val="20"/>
        <w:spacing w:line="240" w:lineRule="auto"/>
        <w:ind w:firstLine="0" w:firstLineChars="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3.3.2详细评审</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按照本章</w:t>
      </w:r>
      <w:r>
        <w:rPr>
          <w:rFonts w:hint="eastAsia" w:ascii="仿宋" w:hAnsi="仿宋" w:eastAsia="仿宋" w:cs="仿宋"/>
          <w:b/>
          <w:bCs/>
          <w:sz w:val="24"/>
          <w:szCs w:val="24"/>
          <w:highlight w:val="none"/>
          <w:lang w:val="en-US" w:eastAsia="zh-CN"/>
        </w:rPr>
        <w:t>前附的评分标准</w:t>
      </w:r>
      <w:r>
        <w:rPr>
          <w:rFonts w:hint="eastAsia" w:ascii="仿宋" w:hAnsi="仿宋" w:eastAsia="仿宋" w:cs="仿宋"/>
          <w:sz w:val="24"/>
          <w:szCs w:val="24"/>
          <w:highlight w:val="none"/>
        </w:rPr>
        <w:t>进行</w:t>
      </w:r>
      <w:r>
        <w:rPr>
          <w:rFonts w:hint="eastAsia" w:ascii="仿宋" w:hAnsi="仿宋" w:eastAsia="仿宋" w:cs="仿宋"/>
          <w:sz w:val="24"/>
          <w:szCs w:val="24"/>
          <w:highlight w:val="none"/>
          <w:lang w:val="en-US" w:eastAsia="zh-CN"/>
        </w:rPr>
        <w:t>打分</w:t>
      </w:r>
      <w:r>
        <w:rPr>
          <w:rFonts w:hint="eastAsia" w:ascii="仿宋" w:hAnsi="仿宋" w:eastAsia="仿宋" w:cs="仿宋"/>
          <w:sz w:val="24"/>
          <w:szCs w:val="24"/>
          <w:highlight w:val="none"/>
        </w:rPr>
        <w:t>。</w:t>
      </w:r>
    </w:p>
    <w:p>
      <w:pPr>
        <w:pStyle w:val="20"/>
        <w:ind w:firstLine="0" w:firstLineChars="0"/>
        <w:rPr>
          <w:rFonts w:hint="eastAsia" w:ascii="仿宋" w:hAnsi="仿宋" w:eastAsia="仿宋" w:cs="仿宋"/>
          <w:b/>
          <w:sz w:val="24"/>
          <w:szCs w:val="24"/>
          <w:highlight w:val="none"/>
        </w:rPr>
      </w:pPr>
      <w:r>
        <w:rPr>
          <w:rFonts w:hint="eastAsia" w:ascii="仿宋" w:hAnsi="仿宋" w:eastAsia="仿宋" w:cs="仿宋"/>
          <w:b/>
          <w:sz w:val="24"/>
          <w:szCs w:val="24"/>
          <w:highlight w:val="none"/>
        </w:rPr>
        <w:t>3.3.3</w:t>
      </w:r>
      <w:r>
        <w:rPr>
          <w:rFonts w:hint="eastAsia" w:ascii="仿宋" w:hAnsi="仿宋" w:eastAsia="仿宋" w:cs="仿宋"/>
          <w:b/>
          <w:sz w:val="24"/>
          <w:szCs w:val="24"/>
          <w:highlight w:val="none"/>
          <w:lang w:eastAsia="zh-CN"/>
        </w:rPr>
        <w:t>响应文件</w:t>
      </w:r>
      <w:r>
        <w:rPr>
          <w:rFonts w:hint="eastAsia" w:ascii="仿宋" w:hAnsi="仿宋" w:eastAsia="仿宋" w:cs="仿宋"/>
          <w:b/>
          <w:sz w:val="24"/>
          <w:szCs w:val="24"/>
          <w:highlight w:val="none"/>
        </w:rPr>
        <w:t>的澄清</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3.3.3.1  在评审过程中，</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应当以书面形式要求</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对所递交的</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中不明确的内容进行书面澄清、说明或者对</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中的细微偏差进行补正。</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不接受</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主动提出的澄清、说明或者补正。</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3.3.3.2  细微偏差：是指</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在实质上响应采购文件要求，但个别地方存在漏项或者提供了不完整的技术信息和数据等情况，并且补正这些遗漏或者不完整不会对其他</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造成不公平的结果。细微偏差不影响</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的有效性。</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3.3.3.3  澄清、说明和补正不得改变</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的实质性内容（算术性错误修正的除外）。</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的书面澄清、说明和补正属于</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的组成部分。</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3.3.3.4  </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对</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递交的澄清、说明或者补正有疑问的，可以要求</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进一步澄清、说明或者补正，直至满足</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的要求。</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3.3.3.5  </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必要时可以要求</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递交有关证明和证件的原件，以便核验。</w:t>
      </w:r>
      <w:bookmarkStart w:id="18" w:name="_Toc474148041"/>
      <w:bookmarkStart w:id="19" w:name="_Toc478566085"/>
      <w:bookmarkStart w:id="20" w:name="_Toc478566443"/>
      <w:bookmarkStart w:id="21" w:name="_Toc478565722"/>
      <w:bookmarkStart w:id="22" w:name="_Toc478566277"/>
    </w:p>
    <w:p>
      <w:pPr>
        <w:pStyle w:val="20"/>
        <w:ind w:firstLine="0" w:firstLineChars="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3.3.4成交候选人推荐原则</w:t>
      </w:r>
      <w:bookmarkEnd w:id="18"/>
      <w:bookmarkEnd w:id="19"/>
      <w:bookmarkEnd w:id="20"/>
      <w:bookmarkEnd w:id="21"/>
      <w:bookmarkEnd w:id="22"/>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成交候选人推荐原则见评审办法前附表。</w:t>
      </w:r>
    </w:p>
    <w:p>
      <w:pPr>
        <w:pStyle w:val="20"/>
        <w:ind w:firstLine="0" w:firstLineChars="0"/>
        <w:rPr>
          <w:rFonts w:hint="eastAsia" w:ascii="仿宋" w:hAnsi="仿宋" w:eastAsia="仿宋" w:cs="仿宋"/>
          <w:b/>
          <w:sz w:val="24"/>
          <w:szCs w:val="24"/>
          <w:highlight w:val="none"/>
        </w:rPr>
      </w:pPr>
      <w:r>
        <w:rPr>
          <w:rFonts w:hint="eastAsia" w:ascii="仿宋" w:hAnsi="仿宋" w:eastAsia="仿宋" w:cs="仿宋"/>
          <w:b/>
          <w:sz w:val="24"/>
          <w:szCs w:val="24"/>
          <w:highlight w:val="none"/>
        </w:rPr>
        <w:t>3.3.5评审结果</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3.3.5.1  </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完成评审后，应当</w:t>
      </w:r>
      <w:r>
        <w:rPr>
          <w:rFonts w:hint="eastAsia" w:ascii="仿宋" w:hAnsi="仿宋" w:eastAsia="仿宋" w:cs="仿宋"/>
          <w:sz w:val="24"/>
          <w:szCs w:val="24"/>
          <w:highlight w:val="none"/>
          <w:lang w:val="en-US" w:eastAsia="zh-CN"/>
        </w:rPr>
        <w:t>形成统一、完整的</w:t>
      </w:r>
      <w:r>
        <w:rPr>
          <w:rFonts w:hint="eastAsia" w:ascii="仿宋" w:hAnsi="仿宋" w:eastAsia="仿宋" w:cs="仿宋"/>
          <w:sz w:val="24"/>
          <w:szCs w:val="24"/>
          <w:highlight w:val="none"/>
        </w:rPr>
        <w:t>书面评审报告</w:t>
      </w:r>
      <w:r>
        <w:rPr>
          <w:rFonts w:hint="eastAsia" w:ascii="仿宋" w:hAnsi="仿宋" w:eastAsia="仿宋" w:cs="仿宋"/>
          <w:sz w:val="24"/>
          <w:szCs w:val="24"/>
          <w:highlight w:val="none"/>
          <w:lang w:val="en-US" w:eastAsia="zh-CN"/>
        </w:rPr>
        <w:t>或评审纪要</w:t>
      </w:r>
      <w:r>
        <w:rPr>
          <w:rFonts w:hint="eastAsia" w:ascii="仿宋" w:hAnsi="仿宋" w:eastAsia="仿宋" w:cs="仿宋"/>
          <w:sz w:val="24"/>
          <w:szCs w:val="24"/>
          <w:highlight w:val="none"/>
        </w:rPr>
        <w:t>。</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3.3.5.2  评审报告</w:t>
      </w:r>
      <w:r>
        <w:rPr>
          <w:rFonts w:hint="eastAsia" w:ascii="仿宋" w:hAnsi="仿宋" w:eastAsia="仿宋" w:cs="仿宋"/>
          <w:sz w:val="24"/>
          <w:szCs w:val="24"/>
          <w:highlight w:val="none"/>
          <w:lang w:val="en-US" w:eastAsia="zh-CN"/>
        </w:rPr>
        <w:t>或评审纪要</w:t>
      </w:r>
      <w:r>
        <w:rPr>
          <w:rFonts w:hint="eastAsia" w:ascii="仿宋" w:hAnsi="仿宋" w:eastAsia="仿宋" w:cs="仿宋"/>
          <w:sz w:val="24"/>
          <w:szCs w:val="24"/>
          <w:highlight w:val="none"/>
        </w:rPr>
        <w:t>应当包括下列内容：</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（1）项目简介；</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（2）采购过程简介；</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项目小组初步评审情况说明（包含</w:t>
      </w:r>
      <w:r>
        <w:rPr>
          <w:rFonts w:hint="eastAsia" w:ascii="仿宋" w:hAnsi="仿宋" w:eastAsia="仿宋" w:cs="仿宋"/>
          <w:sz w:val="24"/>
          <w:szCs w:val="24"/>
          <w:highlight w:val="none"/>
        </w:rPr>
        <w:t>否决应答的情况说明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）推荐的</w:t>
      </w:r>
      <w:r>
        <w:rPr>
          <w:rFonts w:hint="eastAsia" w:ascii="仿宋" w:hAnsi="仿宋" w:eastAsia="仿宋" w:cs="仿宋"/>
          <w:sz w:val="24"/>
          <w:szCs w:val="24"/>
          <w:highlight w:val="none"/>
          <w:lang w:eastAsia="zh-CN"/>
        </w:rPr>
        <w:t>成交</w:t>
      </w:r>
      <w:r>
        <w:rPr>
          <w:rFonts w:hint="eastAsia" w:ascii="仿宋" w:hAnsi="仿宋" w:eastAsia="仿宋" w:cs="仿宋"/>
          <w:sz w:val="24"/>
          <w:szCs w:val="24"/>
          <w:highlight w:val="none"/>
        </w:rPr>
        <w:t>候选人名单；</w:t>
      </w:r>
    </w:p>
    <w:p>
      <w:pPr>
        <w:pStyle w:val="20"/>
        <w:spacing w:line="240" w:lineRule="auto"/>
        <w:ind w:firstLine="42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）签订合同前要处理的事宜；</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如有</w:t>
      </w:r>
      <w:r>
        <w:rPr>
          <w:rFonts w:hint="eastAsia" w:ascii="仿宋" w:hAnsi="仿宋" w:eastAsia="仿宋" w:cs="仿宋"/>
          <w:sz w:val="24"/>
          <w:szCs w:val="24"/>
          <w:highlight w:val="none"/>
          <w:lang w:eastAsia="zh-CN"/>
        </w:rPr>
        <w:t>）</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）澄清、说明、补正事项纪要；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如有</w:t>
      </w:r>
      <w:r>
        <w:rPr>
          <w:rFonts w:hint="eastAsia" w:ascii="仿宋" w:hAnsi="仿宋" w:eastAsia="仿宋" w:cs="仿宋"/>
          <w:sz w:val="24"/>
          <w:szCs w:val="24"/>
          <w:highlight w:val="none"/>
          <w:lang w:eastAsia="zh-CN"/>
        </w:rPr>
        <w:t>）</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成员名单及本人签字、拒绝在评审报告上签字的</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成员名单及其陈述的不同意见和理由。</w:t>
      </w:r>
    </w:p>
    <w:p>
      <w:pPr>
        <w:pStyle w:val="20"/>
        <w:spacing w:line="240" w:lineRule="auto"/>
        <w:ind w:firstLine="420"/>
        <w:rPr>
          <w:rFonts w:hint="eastAsia" w:ascii="仿宋" w:hAnsi="仿宋" w:eastAsia="仿宋" w:cs="仿宋"/>
          <w:sz w:val="21"/>
          <w:highlight w:val="none"/>
        </w:rPr>
      </w:pPr>
    </w:p>
    <w:p>
      <w:pPr>
        <w:rPr>
          <w:rFonts w:hint="eastAsia" w:ascii="宋体" w:hAnsi="宋体" w:eastAsia="宋体" w:cs="宋体"/>
          <w:sz w:val="21"/>
          <w:highlight w:val="none"/>
        </w:rPr>
      </w:pPr>
      <w:r>
        <w:rPr>
          <w:rFonts w:hint="eastAsia" w:ascii="宋体" w:hAnsi="宋体" w:eastAsia="宋体" w:cs="宋体"/>
          <w:sz w:val="21"/>
          <w:highlight w:val="none"/>
        </w:rPr>
        <w:br w:type="page"/>
      </w:r>
    </w:p>
    <w:p>
      <w:pPr>
        <w:pStyle w:val="19"/>
        <w:numPr>
          <w:ilvl w:val="0"/>
          <w:numId w:val="0"/>
        </w:numPr>
        <w:snapToGrid w:val="0"/>
        <w:spacing w:before="120" w:after="120"/>
        <w:ind w:leftChars="0"/>
        <w:rPr>
          <w:rFonts w:hint="eastAsia" w:ascii="方正小标宋简体" w:hAnsi="方正小标宋简体" w:eastAsia="方正小标宋简体" w:cs="方正小标宋简体"/>
          <w:b/>
          <w:kern w:val="2"/>
          <w:sz w:val="36"/>
          <w:szCs w:val="36"/>
          <w:lang w:val="en-US" w:eastAsia="zh-CN" w:bidi="ar-SA"/>
        </w:rPr>
      </w:pPr>
      <w:bookmarkStart w:id="23" w:name="_Toc4457"/>
      <w:r>
        <w:rPr>
          <w:rFonts w:hint="eastAsia" w:ascii="方正小标宋简体" w:hAnsi="方正小标宋简体" w:eastAsia="方正小标宋简体" w:cs="方正小标宋简体"/>
          <w:b/>
          <w:kern w:val="2"/>
          <w:sz w:val="36"/>
          <w:szCs w:val="36"/>
          <w:lang w:val="en-US" w:eastAsia="zh-CN" w:bidi="ar-SA"/>
        </w:rPr>
        <w:t>第三章 采购需求书</w:t>
      </w:r>
      <w:bookmarkEnd w:id="23"/>
    </w:p>
    <w:p>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pPr>
        <w:spacing w:before="62" w:beforeLines="20" w:after="62" w:afterLines="20" w:line="400" w:lineRule="exact"/>
        <w:ind w:firstLine="422" w:firstLineChars="200"/>
        <w:textAlignment w:val="baseline"/>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供应商须对《采购需求书》全部内容理解清楚，并填写《技术商务偏离表》（格式见第六章）</w:t>
      </w:r>
    </w:p>
    <w:p>
      <w:pPr>
        <w:pStyle w:val="19"/>
        <w:numPr>
          <w:ilvl w:val="0"/>
          <w:numId w:val="0"/>
        </w:numPr>
        <w:snapToGrid w:val="0"/>
        <w:spacing w:before="120" w:after="120"/>
        <w:ind w:leftChars="0"/>
        <w:jc w:val="center"/>
        <w:outlineLvl w:val="9"/>
        <w:rPr>
          <w:rFonts w:hint="eastAsia" w:asciiTheme="minorEastAsia" w:hAnsiTheme="minorEastAsia" w:eastAsiaTheme="minorEastAsia" w:cstheme="minorEastAsia"/>
          <w:b/>
          <w:bCs/>
          <w:sz w:val="32"/>
          <w:szCs w:val="32"/>
          <w:lang w:val="en-US" w:eastAsia="zh-CN"/>
        </w:rPr>
      </w:pPr>
    </w:p>
    <w:p>
      <w:pP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br w:type="page"/>
      </w: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9"/>
        <w:rPr>
          <w:rFonts w:hint="eastAsia" w:asciiTheme="minorEastAsia" w:hAnsiTheme="minorEastAsia" w:eastAsiaTheme="minorEastAsia" w:cstheme="minorEastAsia"/>
          <w:b/>
          <w:bCs/>
          <w:sz w:val="32"/>
          <w:szCs w:val="32"/>
        </w:rPr>
      </w:pPr>
      <w:r>
        <w:rPr>
          <w:rFonts w:hint="eastAsia" w:ascii="方正小标宋简体" w:hAnsi="方正小标宋简体" w:eastAsia="方正小标宋简体" w:cs="方正小标宋简体"/>
          <w:b w:val="0"/>
          <w:bCs w:val="0"/>
          <w:sz w:val="36"/>
          <w:szCs w:val="36"/>
        </w:rPr>
        <w:t>新媒体日常监测服务项目采购需求</w:t>
      </w:r>
    </w:p>
    <w:p>
      <w:pPr>
        <w:pStyle w:val="2"/>
        <w:keepNext w:val="0"/>
        <w:keepLines w:val="0"/>
        <w:pageBreakBefore w:val="0"/>
        <w:widowControl w:val="0"/>
        <w:kinsoku/>
        <w:wordWrap/>
        <w:overflowPunct/>
        <w:topLinePunct w:val="0"/>
        <w:autoSpaceDE w:val="0"/>
        <w:autoSpaceDN w:val="0"/>
        <w:bidi w:val="0"/>
        <w:adjustRightInd w:val="0"/>
        <w:snapToGrid/>
        <w:spacing w:line="240" w:lineRule="exact"/>
        <w:ind w:left="901"/>
        <w:textAlignment w:val="auto"/>
        <w:outlineLvl w:val="9"/>
        <w:rPr>
          <w:rFonts w:hint="default"/>
          <w:sz w:val="32"/>
          <w:szCs w:val="32"/>
          <w:lang w:val="en-US" w:eastAsia="zh-CN"/>
        </w:rPr>
      </w:pPr>
    </w:p>
    <w:p>
      <w:pPr>
        <w:pStyle w:val="2"/>
        <w:keepNext w:val="0"/>
        <w:keepLines w:val="0"/>
        <w:pageBreakBefore w:val="0"/>
        <w:widowControl w:val="0"/>
        <w:kinsoku/>
        <w:wordWrap/>
        <w:overflowPunct/>
        <w:topLinePunct w:val="0"/>
        <w:autoSpaceDE w:val="0"/>
        <w:autoSpaceDN w:val="0"/>
        <w:bidi w:val="0"/>
        <w:adjustRightInd w:val="0"/>
        <w:snapToGrid/>
        <w:spacing w:line="240" w:lineRule="exact"/>
        <w:ind w:left="901"/>
        <w:textAlignment w:val="auto"/>
        <w:outlineLvl w:val="9"/>
        <w:rPr>
          <w:rFonts w:hint="default"/>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一、供应商服务内容</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en-US"/>
        </w:rPr>
        <w:t>为规范新媒体运营管理，提升新媒体内容质量、传播效能及合规水平，通过开展新媒体常态化监测，切实提升新媒体</w:t>
      </w:r>
      <w:r>
        <w:rPr>
          <w:rFonts w:hint="eastAsia" w:ascii="仿宋" w:hAnsi="仿宋" w:eastAsia="仿宋" w:cs="仿宋"/>
          <w:b w:val="0"/>
          <w:bCs w:val="0"/>
          <w:sz w:val="32"/>
          <w:szCs w:val="32"/>
          <w:lang w:val="en-US" w:eastAsia="zh-CN"/>
        </w:rPr>
        <w:t>整体质量</w:t>
      </w:r>
      <w:r>
        <w:rPr>
          <w:rFonts w:hint="eastAsia" w:ascii="仿宋" w:hAnsi="仿宋" w:eastAsia="仿宋" w:cs="仿宋"/>
          <w:b w:val="0"/>
          <w:bCs w:val="0"/>
          <w:sz w:val="32"/>
          <w:szCs w:val="32"/>
          <w:lang w:val="en-US" w:eastAsia="en-US"/>
        </w:rPr>
        <w:t>，需开展新媒体</w:t>
      </w:r>
      <w:r>
        <w:rPr>
          <w:rFonts w:hint="eastAsia" w:ascii="仿宋" w:hAnsi="仿宋" w:eastAsia="仿宋" w:cs="仿宋"/>
          <w:b w:val="0"/>
          <w:bCs w:val="0"/>
          <w:sz w:val="32"/>
          <w:szCs w:val="32"/>
          <w:lang w:val="en-US" w:eastAsia="zh-CN"/>
        </w:rPr>
        <w:t>常态化监测</w:t>
      </w:r>
      <w:r>
        <w:rPr>
          <w:rFonts w:hint="eastAsia" w:ascii="仿宋" w:hAnsi="仿宋" w:eastAsia="仿宋" w:cs="仿宋"/>
          <w:b w:val="0"/>
          <w:bCs w:val="0"/>
          <w:sz w:val="32"/>
          <w:szCs w:val="32"/>
          <w:lang w:val="en-US" w:eastAsia="en-US"/>
        </w:rPr>
        <w:t>服务的采购。</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二、项目服务要求和成果</w:t>
      </w:r>
    </w:p>
    <w:p>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（一）服务要求</w:t>
      </w:r>
    </w:p>
    <w:p>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1.日常监测及预警</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依据用户要求，每周、每月对新媒体进行关键指标监测，并进行人工复核，包括但不限于安全、泄密事故等严重问题、内容不更新、互动回应差、栏目更新、账号活跃度。其中，每周对所有新媒体进行3次监测（每周监测2次，人工复核1次），每月对所有被监测新媒体进行1次全面覆盖全量历史内容监测，全部新媒体统计1次当月相关情况。每月，每季度对全部新媒体进行安全及泄密事故等严重问题监测、发稿量及阅读量检测等内容检测。</w:t>
      </w:r>
    </w:p>
    <w:p>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2.报告编制</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将监测到的新媒体问题情况汇总编制成报告，合作期间提供报告数量不少于12份。</w:t>
      </w:r>
    </w:p>
    <w:p>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（二）服务成果</w:t>
      </w:r>
    </w:p>
    <w:p>
      <w:pPr>
        <w:pStyle w:val="8"/>
        <w:keepNext w:val="0"/>
        <w:keepLines w:val="0"/>
        <w:pageBreakBefore w:val="0"/>
        <w:widowControl w:val="0"/>
        <w:kinsoku/>
        <w:wordWrap/>
        <w:overflowPunct/>
        <w:topLinePunct w:val="0"/>
        <w:autoSpaceDE/>
        <w:autoSpaceDN/>
        <w:bidi w:val="0"/>
        <w:adjustRightInd/>
        <w:snapToGrid/>
        <w:spacing w:after="0" w:line="4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形成不少于12份</w:t>
      </w:r>
      <w:r>
        <w:rPr>
          <w:rFonts w:hint="default" w:ascii="仿宋" w:hAnsi="仿宋" w:eastAsia="仿宋" w:cs="仿宋"/>
          <w:sz w:val="32"/>
          <w:szCs w:val="32"/>
          <w:lang w:val="en-US" w:eastAsia="zh-CN"/>
        </w:rPr>
        <w:t>《新媒体常态化监测报告》</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三、项目服务期限</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outlineLvl w:val="9"/>
        <w:rPr>
          <w:rFonts w:hint="default" w:ascii="黑体" w:hAnsi="黑体" w:eastAsia="黑体" w:cs="黑体"/>
          <w:b w:val="0"/>
          <w:bCs w:val="0"/>
          <w:sz w:val="32"/>
          <w:szCs w:val="32"/>
          <w:lang w:val="en-US" w:eastAsia="zh-CN"/>
        </w:rPr>
      </w:pPr>
      <w:r>
        <w:rPr>
          <w:rFonts w:hint="eastAsia" w:ascii="仿宋" w:hAnsi="仿宋" w:eastAsia="仿宋" w:cs="仿宋"/>
          <w:sz w:val="32"/>
          <w:szCs w:val="32"/>
          <w:lang w:val="en-US" w:eastAsia="zh-CN"/>
        </w:rPr>
        <w:t>自合同签订之日起至2027年6月30日。</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outlineLvl w:val="9"/>
        <w:rPr>
          <w:rFonts w:hint="eastAsia" w:ascii="仿宋_GB2312" w:hAnsi="仿宋" w:eastAsia="仿宋_GB2312" w:cs="仿宋"/>
          <w:b/>
          <w:bCs/>
          <w:sz w:val="32"/>
          <w:szCs w:val="32"/>
          <w:lang w:val="zh-CN"/>
        </w:rPr>
      </w:pPr>
      <w:r>
        <w:rPr>
          <w:rFonts w:hint="eastAsia" w:ascii="黑体" w:hAnsi="黑体" w:eastAsia="黑体" w:cs="黑体"/>
          <w:b w:val="0"/>
          <w:bCs w:val="0"/>
          <w:sz w:val="32"/>
          <w:szCs w:val="32"/>
          <w:lang w:val="en-US" w:eastAsia="zh-CN"/>
        </w:rPr>
        <w:t>四</w:t>
      </w:r>
      <w:r>
        <w:rPr>
          <w:rFonts w:hint="eastAsia" w:ascii="黑体" w:hAnsi="黑体" w:eastAsia="黑体" w:cs="黑体"/>
          <w:b w:val="0"/>
          <w:bCs w:val="0"/>
          <w:sz w:val="32"/>
          <w:szCs w:val="32"/>
          <w:lang w:val="zh-CN"/>
        </w:rPr>
        <w:t>、供应商资质要求</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基本条件：满足《中华人民共和国政府采购法》第二十二条规定。</w:t>
      </w:r>
    </w:p>
    <w:p>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32"/>
          <w:szCs w:val="32"/>
        </w:rPr>
      </w:pPr>
      <w:r>
        <w:rPr>
          <w:rFonts w:hint="eastAsia" w:ascii="仿宋" w:hAnsi="仿宋" w:eastAsia="仿宋" w:cs="仿宋"/>
          <w:sz w:val="32"/>
          <w:szCs w:val="32"/>
        </w:rPr>
        <w:br w:type="page"/>
      </w:r>
    </w:p>
    <w:p>
      <w:pPr>
        <w:pStyle w:val="19"/>
        <w:numPr>
          <w:ilvl w:val="0"/>
          <w:numId w:val="0"/>
        </w:numPr>
        <w:snapToGrid w:val="0"/>
        <w:spacing w:before="120" w:after="120"/>
        <w:ind w:leftChars="0"/>
        <w:rPr>
          <w:rFonts w:hint="eastAsia" w:ascii="方正小标宋简体" w:hAnsi="方正小标宋简体" w:eastAsia="方正小标宋简体" w:cs="方正小标宋简体"/>
          <w:b/>
          <w:kern w:val="2"/>
          <w:sz w:val="36"/>
          <w:szCs w:val="36"/>
          <w:lang w:val="en-US" w:eastAsia="zh-CN" w:bidi="ar-SA"/>
        </w:rPr>
      </w:pPr>
      <w:bookmarkStart w:id="24" w:name="_Toc1917"/>
      <w:r>
        <w:rPr>
          <w:rFonts w:hint="eastAsia" w:ascii="方正小标宋简体" w:hAnsi="方正小标宋简体" w:eastAsia="方正小标宋简体" w:cs="方正小标宋简体"/>
          <w:b/>
          <w:kern w:val="2"/>
          <w:sz w:val="36"/>
          <w:szCs w:val="36"/>
          <w:lang w:val="en-US" w:eastAsia="zh-CN" w:bidi="ar-SA"/>
        </w:rPr>
        <w:t>第四章 商务合同</w:t>
      </w:r>
      <w:bookmarkEnd w:id="24"/>
    </w:p>
    <w:p>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b/>
          <w:bCs/>
          <w:color w:val="auto"/>
          <w:szCs w:val="21"/>
          <w:u w:val="single"/>
          <w:lang w:val="en-US" w:eastAsia="zh-CN"/>
        </w:rPr>
        <w:t>广东南方网络信息科技有限公司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pPr>
        <w:spacing w:line="400" w:lineRule="exact"/>
        <w:jc w:val="left"/>
        <w:rPr>
          <w:rFonts w:hint="eastAsia" w:ascii="宋体" w:hAnsi="宋体" w:eastAsia="宋体" w:cs="宋体"/>
          <w:b/>
          <w:bCs/>
          <w:color w:val="auto"/>
          <w:szCs w:val="21"/>
        </w:rPr>
      </w:pPr>
      <w:r>
        <w:rPr>
          <w:rFonts w:hint="eastAsia" w:ascii="宋体" w:hAnsi="宋体" w:eastAsia="宋体" w:cs="宋体"/>
          <w:b/>
          <w:bCs/>
          <w:color w:val="auto"/>
          <w:szCs w:val="21"/>
        </w:rPr>
        <w:t>供应商须对《商务合同书》全部条款理解清楚，并填写《技术商务偏离表》（格式见第六章）。</w:t>
      </w:r>
    </w:p>
    <w:p>
      <w:pPr>
        <w:spacing w:line="400" w:lineRule="exact"/>
        <w:jc w:val="left"/>
        <w:rPr>
          <w:rFonts w:hint="eastAsia" w:ascii="方正小标宋简体" w:hAnsi="方正小标宋简体" w:eastAsia="方正小标宋简体" w:cs="方正小标宋简体"/>
          <w:b/>
          <w:bCs/>
          <w:kern w:val="2"/>
          <w:sz w:val="36"/>
          <w:szCs w:val="36"/>
          <w:lang w:val="en-US" w:eastAsia="zh-CN" w:bidi="ar-SA"/>
        </w:rPr>
      </w:pPr>
      <w:r>
        <w:rPr>
          <w:rFonts w:hint="eastAsia" w:ascii="宋体" w:hAnsi="宋体" w:eastAsia="宋体" w:cs="宋体"/>
          <w:b/>
          <w:bCs/>
          <w:color w:val="auto"/>
          <w:szCs w:val="21"/>
        </w:rPr>
        <w:t>注：本合同仅为合同草案文本，合同签订双方可根据项目的具体要求进行修订和细化</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当供应商在成交后，应依据本合同的主要条款与采购方签订正式合同；当本合同与</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文件其他部分有冲突，应按</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文件的其他部分为准编制</w:t>
      </w:r>
      <w:r>
        <w:rPr>
          <w:rFonts w:hint="eastAsia" w:ascii="宋体" w:hAnsi="宋体" w:eastAsia="宋体" w:cs="宋体"/>
          <w:b/>
          <w:bCs/>
          <w:color w:val="auto"/>
          <w:szCs w:val="21"/>
          <w:lang w:val="en-US" w:eastAsia="zh-CN"/>
        </w:rPr>
        <w:t>合同</w:t>
      </w:r>
      <w:r>
        <w:rPr>
          <w:rFonts w:hint="eastAsia" w:ascii="宋体" w:hAnsi="宋体" w:eastAsia="宋体" w:cs="宋体"/>
          <w:b/>
          <w:bCs/>
          <w:color w:val="auto"/>
          <w:szCs w:val="21"/>
        </w:rPr>
        <w:t>。合同版本与条款以甲方最新合同模板为准。</w:t>
      </w: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小标宋简体" w:hAnsi="方正小标宋简体" w:eastAsia="方正小标宋简体" w:cs="方正小标宋简体"/>
          <w:sz w:val="32"/>
          <w:szCs w:val="32"/>
          <w:highlight w:val="none"/>
          <w:lang w:val="en-US" w:eastAsia="zh-CN"/>
        </w:rPr>
        <w:t>新媒体日常监测服务项目合同书</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bookmarkStart w:id="63" w:name="_GoBack"/>
      <w:bookmarkEnd w:id="63"/>
      <w:r>
        <w:rPr>
          <w:rFonts w:hint="eastAsia" w:ascii="仿宋" w:hAnsi="仿宋" w:eastAsia="仿宋" w:cs="仿宋"/>
          <w:sz w:val="28"/>
          <w:szCs w:val="28"/>
          <w:highlight w:val="none"/>
        </w:rPr>
        <w:t xml:space="preserve">甲方：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地址：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联系人：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联系方式：   </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乙方：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地址：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联系人：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联系方式：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甲</w:t>
      </w:r>
      <w:r>
        <w:rPr>
          <w:rFonts w:hint="eastAsia" w:ascii="仿宋" w:hAnsi="仿宋" w:eastAsia="仿宋" w:cs="仿宋"/>
          <w:sz w:val="28"/>
          <w:szCs w:val="28"/>
          <w:highlight w:val="none"/>
        </w:rPr>
        <w:t xml:space="preserve">乙双方经过平等友好协商，依照《中华人民共和国民法典》等相关法律法规，现就双方合作事宜达成如下协议，以资共同遵守。 </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 xml:space="preserve">服务要求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（一）服务内容</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详见《采购需求书》</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履行期限</w:t>
      </w:r>
      <w:r>
        <w:rPr>
          <w:rFonts w:hint="eastAsia" w:ascii="仿宋" w:hAnsi="仿宋" w:eastAsia="仿宋" w:cs="仿宋"/>
          <w:sz w:val="28"/>
          <w:szCs w:val="28"/>
          <w:highlight w:val="none"/>
          <w:lang w:eastAsia="zh-CN"/>
        </w:rPr>
        <w:t>：自合同签订之日起至202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lang w:eastAsia="zh-CN"/>
        </w:rPr>
        <w:t>年</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月</w:t>
      </w:r>
      <w:r>
        <w:rPr>
          <w:rFonts w:hint="eastAsia" w:ascii="仿宋" w:hAnsi="仿宋" w:eastAsia="仿宋" w:cs="仿宋"/>
          <w:sz w:val="28"/>
          <w:szCs w:val="28"/>
          <w:highlight w:val="none"/>
          <w:lang w:val="en-US" w:eastAsia="zh-CN"/>
        </w:rPr>
        <w:t>30</w:t>
      </w:r>
      <w:r>
        <w:rPr>
          <w:rFonts w:hint="eastAsia" w:ascii="仿宋" w:hAnsi="仿宋" w:eastAsia="仿宋" w:cs="仿宋"/>
          <w:sz w:val="28"/>
          <w:szCs w:val="28"/>
          <w:highlight w:val="none"/>
          <w:lang w:eastAsia="zh-CN"/>
        </w:rPr>
        <w:t>日。</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二、合同金额及付款方式</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1.合同金额（含税）为人民币【 】元，上述费用已包含乙方为完成本合同规定的各项内容所需的所有费用。与本合同相关的税费由乙方承担，本合同总价为含税价；</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合同签订后，乙方向甲方提供等额增值税专用发票，甲方收到最终客户方对应款项的前提下，于30个工作日内向乙方支付合同总额的</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0%，即【 】元。</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合同签订六个月后，</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完成1</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份《新媒体</w:t>
      </w:r>
      <w:r>
        <w:rPr>
          <w:rFonts w:hint="eastAsia" w:ascii="仿宋" w:hAnsi="仿宋" w:eastAsia="仿宋" w:cs="仿宋"/>
          <w:sz w:val="28"/>
          <w:szCs w:val="28"/>
          <w:highlight w:val="none"/>
          <w:lang w:val="en-US" w:eastAsia="zh-CN"/>
        </w:rPr>
        <w:t>常态化</w:t>
      </w:r>
      <w:r>
        <w:rPr>
          <w:rFonts w:hint="eastAsia" w:ascii="仿宋" w:hAnsi="仿宋" w:eastAsia="仿宋" w:cs="仿宋"/>
          <w:sz w:val="28"/>
          <w:szCs w:val="28"/>
          <w:highlight w:val="none"/>
        </w:rPr>
        <w:t>监测报告》</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甲方对成果验收无误，乙方向甲方提供等额增值税专用发票，甲方收到最终客户方对应款项的前提下，于30个工作日内向乙方支付合同总额的</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0%，即【 】元。</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甲方对本合同第一条所列成果验收无误，乙方向甲方提供等额增值税专用发票，甲方收到最终客户方对应款项的前提下，于30个工作日内向乙方支付合同总额的</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0%，即【 】元。</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与本合同相关的税费由乙方承担，本合同总价为含税价；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2.如乙方未按时提供发票或提供的发票不合规，甲方有权延迟付款或拒绝付款且不承担任何违约责任，如因存在任何违反发票合法合规问题导致甲方遭受损失的，乙方应就甲方的损失承担赔偿义务；</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3.付款方式：银行转账</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名称：</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开户银行：</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银行账号：</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乙方保证以上账号信息准确无误，若有变更乙方应至少提前5个工作日以书面方式通知甲方，否则由乙方自行承担所有后果及责任</w:t>
      </w:r>
      <w:r>
        <w:rPr>
          <w:rFonts w:hint="eastAsia" w:ascii="仿宋" w:hAnsi="仿宋" w:eastAsia="仿宋" w:cs="仿宋"/>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乙方未能按照上述付款要求提供付款材料的，或乙方提供的账户的原因（包括但不限于账号书写错误、被注销、被冻结等）导致乙方无法正常收取款项的，甲方有权暂停付款，因此产生的不利后果由乙方自行承担</w:t>
      </w:r>
      <w:r>
        <w:rPr>
          <w:rFonts w:hint="eastAsia" w:ascii="仿宋" w:hAnsi="仿宋" w:eastAsia="仿宋" w:cs="仿宋"/>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若甲方接受最终客户方对本项目验收未达到目标导致费用扣减时，乙方同意将同时在甲方支付的款项中进行同等扣减。</w:t>
      </w:r>
    </w:p>
    <w:p>
      <w:pPr>
        <w:pStyle w:val="2"/>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7.涉及产品或着服务发放的，相关税费由乙方负责代扣代缴。</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三</w:t>
      </w:r>
      <w:r>
        <w:rPr>
          <w:rFonts w:hint="eastAsia" w:ascii="仿宋" w:hAnsi="仿宋" w:eastAsia="仿宋" w:cs="仿宋"/>
          <w:b/>
          <w:bCs/>
          <w:sz w:val="28"/>
          <w:szCs w:val="28"/>
          <w:highlight w:val="none"/>
        </w:rPr>
        <w:t>、知识产权约定</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1.乙方因履行本合同制作的任何工作成果，其全部知识产权</w:t>
      </w:r>
      <w:r>
        <w:rPr>
          <w:rFonts w:hint="eastAsia" w:ascii="仿宋" w:hAnsi="仿宋" w:eastAsia="仿宋" w:cs="仿宋"/>
          <w:sz w:val="28"/>
          <w:szCs w:val="28"/>
          <w:highlight w:val="none"/>
          <w:lang w:val="en-US" w:eastAsia="zh-CN"/>
        </w:rPr>
        <w:t>及所有权</w:t>
      </w:r>
      <w:r>
        <w:rPr>
          <w:rFonts w:hint="eastAsia" w:ascii="仿宋" w:hAnsi="仿宋" w:eastAsia="仿宋" w:cs="仿宋"/>
          <w:sz w:val="28"/>
          <w:szCs w:val="28"/>
          <w:highlight w:val="none"/>
        </w:rPr>
        <w:t>归甲方所有</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2.本合同所提交的工作成果由乙方独立制作，</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不可交由第三方，否则由此产生的纠纷由乙方负责处理并承担责任</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四</w:t>
      </w:r>
      <w:r>
        <w:rPr>
          <w:rFonts w:hint="eastAsia" w:ascii="仿宋" w:hAnsi="仿宋" w:eastAsia="仿宋" w:cs="仿宋"/>
          <w:b/>
          <w:bCs/>
          <w:sz w:val="28"/>
          <w:szCs w:val="28"/>
          <w:highlight w:val="none"/>
        </w:rPr>
        <w:t>、双方的权利和义务</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（一）甲方的权利义务</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1.甲方指定专人负责与乙方进行工作对接，负责向乙方传达项目要求；</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2.甲方对乙方提供的成果内容有最终审定权，</w:t>
      </w:r>
      <w:r>
        <w:rPr>
          <w:rFonts w:hint="eastAsia" w:ascii="仿宋" w:hAnsi="仿宋" w:eastAsia="仿宋" w:cs="仿宋"/>
          <w:sz w:val="28"/>
          <w:szCs w:val="28"/>
          <w:highlight w:val="none"/>
        </w:rPr>
        <w:t>有权提出</w:t>
      </w:r>
      <w:r>
        <w:rPr>
          <w:rFonts w:hint="eastAsia" w:ascii="仿宋" w:hAnsi="仿宋" w:eastAsia="仿宋" w:cs="仿宋"/>
          <w:sz w:val="28"/>
          <w:szCs w:val="28"/>
          <w:highlight w:val="none"/>
          <w:lang w:val="en-US" w:eastAsia="zh-CN"/>
        </w:rPr>
        <w:t>合理的</w:t>
      </w:r>
      <w:r>
        <w:rPr>
          <w:rFonts w:hint="eastAsia" w:ascii="仿宋" w:hAnsi="仿宋" w:eastAsia="仿宋" w:cs="仿宋"/>
          <w:sz w:val="28"/>
          <w:szCs w:val="28"/>
          <w:highlight w:val="none"/>
        </w:rPr>
        <w:t>修改意见</w:t>
      </w:r>
      <w:r>
        <w:rPr>
          <w:rFonts w:hint="eastAsia" w:ascii="仿宋" w:hAnsi="仿宋" w:eastAsia="仿宋" w:cs="仿宋"/>
          <w:sz w:val="28"/>
          <w:szCs w:val="28"/>
          <w:highlight w:val="none"/>
          <w:lang w:eastAsia="zh-CN"/>
        </w:rPr>
        <w:t>，乙方应按甲方要求对成果进行修改，使</w:t>
      </w:r>
      <w:r>
        <w:rPr>
          <w:rFonts w:hint="eastAsia" w:ascii="仿宋" w:hAnsi="仿宋" w:eastAsia="仿宋" w:cs="仿宋"/>
          <w:sz w:val="28"/>
          <w:szCs w:val="28"/>
          <w:highlight w:val="none"/>
          <w:lang w:val="en-US" w:eastAsia="zh-CN"/>
        </w:rPr>
        <w:t>工作内容</w:t>
      </w:r>
      <w:r>
        <w:rPr>
          <w:rFonts w:hint="eastAsia" w:ascii="仿宋" w:hAnsi="仿宋" w:eastAsia="仿宋" w:cs="仿宋"/>
          <w:sz w:val="28"/>
          <w:szCs w:val="28"/>
          <w:highlight w:val="none"/>
          <w:lang w:eastAsia="zh-CN"/>
        </w:rPr>
        <w:t>符合甲方的预期要求；</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3.甲方有权根据本合同约定，对乙方提供的各项服务内容进行审查、监督和验收。</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（二）乙方</w:t>
      </w:r>
      <w:r>
        <w:rPr>
          <w:rFonts w:hint="eastAsia" w:ascii="仿宋" w:hAnsi="仿宋" w:eastAsia="仿宋" w:cs="仿宋"/>
          <w:sz w:val="28"/>
          <w:szCs w:val="28"/>
          <w:highlight w:val="none"/>
        </w:rPr>
        <w:t>的权利义务</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乙方不得自行使用或许可他人使用</w:t>
      </w:r>
      <w:r>
        <w:rPr>
          <w:rFonts w:hint="eastAsia" w:ascii="仿宋" w:hAnsi="仿宋" w:eastAsia="仿宋" w:cs="仿宋"/>
          <w:sz w:val="28"/>
          <w:szCs w:val="28"/>
          <w:highlight w:val="none"/>
          <w:lang w:val="en-US" w:eastAsia="zh-CN"/>
        </w:rPr>
        <w:t>本合同涉及的内容，不得将成果再创作或用于其他商业用途</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2.乙方不得将本合同权利义务转委托第三方处理；</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3.乙方应及时与甲方沟通工作进展，就情况进展、存在问题等进行沟通交流，减少风险；</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4.乙方应按照甲方需求定期召开例会，指定专人负责与甲方进行工作对接，保证服务质量。</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五、</w:t>
      </w:r>
      <w:r>
        <w:rPr>
          <w:rFonts w:hint="eastAsia" w:ascii="仿宋" w:hAnsi="仿宋" w:eastAsia="仿宋" w:cs="仿宋"/>
          <w:b/>
          <w:bCs/>
          <w:sz w:val="28"/>
          <w:szCs w:val="28"/>
          <w:highlight w:val="none"/>
        </w:rPr>
        <w:t>项目验收</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乙方完成合同所规定的全部工作后向甲方提出验收申请，甲方应及时组织验收，若甲方提出建议，乙方应根据建议完成相应的完善工作后，再向甲方重新提出验收申请，乙方应无条件配合验收工作，提交验收材料</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2.验收材料属于本合同附件材料之一，与本合同具有同等法律效力。</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3.双方约定的其他验收规则：【详见《采购需求书》】</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、保密信息</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1.乙方对于因签署或履行本协议而了解或接触到甲方的秘密、其他未公开资料和信息，包括但不限于数据资料、商务资料、技术方案、创意设想、用户信息、人事资料、价格、财务状况等，均应保守秘密</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2.乙方不得向第三方泄露、给予或转让本协议条款、签订及履行情况</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3.乙方不得擅自使用、复制甲方的商标、标志、商业信息、技术及其他资料，也不得将信息内容用作其他商业目的</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.合同终止后本条款仍具法律效力，直至相关信息不再具有保密意义</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、违约责任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1.若乙方不能按时完成本合同第一条所列内容的，需每日按合同总金额的</w:t>
      </w:r>
      <w:r>
        <w:rPr>
          <w:rFonts w:hint="eastAsia" w:ascii="仿宋" w:hAnsi="仿宋" w:eastAsia="仿宋" w:cs="仿宋"/>
          <w:sz w:val="28"/>
          <w:szCs w:val="28"/>
          <w:highlight w:val="none"/>
          <w:lang w:val="en-US" w:eastAsia="zh-CN"/>
        </w:rPr>
        <w:t>千分之三</w:t>
      </w:r>
      <w:r>
        <w:rPr>
          <w:rFonts w:hint="eastAsia" w:ascii="仿宋" w:hAnsi="仿宋" w:eastAsia="仿宋" w:cs="仿宋"/>
          <w:sz w:val="28"/>
          <w:szCs w:val="28"/>
          <w:highlight w:val="none"/>
        </w:rPr>
        <w:t>向甲方支付违约金，逾期超过10日的，甲方有权解除合同，给甲方造成损失的，乙方还需赔偿损失，严重影响甲方利益或名誉的，甲方有权终止本合同，并有权要求乙方赔偿甲方一切损失；</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 </w:t>
      </w:r>
    </w:p>
    <w:p>
      <w:pPr>
        <w:pStyle w:val="2"/>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乙方未能按照约定处理履行合同过程中发生的问题，或者处理该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p>
    <w:p>
      <w:pPr>
        <w:pStyle w:val="2"/>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4.乙方将本项目进行转包或进行分包的，甲方有权追回已支付的全部费用，乙方还应当向甲方支付合同总价款【10】%的违约金；甲方也可同时解除合同，违约金不足以弥补甲方损失的，由乙方继续赔偿。</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八</w:t>
      </w:r>
      <w:r>
        <w:rPr>
          <w:rFonts w:hint="eastAsia" w:ascii="仿宋" w:hAnsi="仿宋" w:eastAsia="仿宋" w:cs="仿宋"/>
          <w:b/>
          <w:bCs/>
          <w:sz w:val="28"/>
          <w:szCs w:val="28"/>
          <w:highlight w:val="none"/>
        </w:rPr>
        <w:t>、法律适用及争议解决</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1.若发生争议，双方应首先通过协商解决。协商不成可向甲方所在地人民法院提起诉讼，双方无争议的部分，应当继续履行</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2.本合同的成立、生效、履行、解释及纠纷解决等双方均同意适用中华人民共和国法律</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3.合理的律师费、诉讼费、鉴定费、财产保全费、证据保全费、差旅费等由败诉一方承担。</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九</w:t>
      </w:r>
      <w:r>
        <w:rPr>
          <w:rFonts w:hint="eastAsia" w:ascii="仿宋" w:hAnsi="仿宋" w:eastAsia="仿宋" w:cs="仿宋"/>
          <w:b/>
          <w:bCs/>
          <w:sz w:val="28"/>
          <w:szCs w:val="28"/>
          <w:highlight w:val="none"/>
        </w:rPr>
        <w:t>、不可抗力</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十、税费</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在中国境内、外发生的与本合同执行有关的一切税费均由乙方负担。</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、其他</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1.本合同一式陆份，甲乙双方各执叁份，具有同等法律效力；其他未尽事宜，由甲乙双方协商确定并签订书面补充协议，作为本合同的补充，补充协议与本合同具有同等法律效力</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2.本合同签订地为广东省广州市越秀区</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3.除非另有说明，本合同中结算货币为人民币</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4.本合同自法定代表人或授权代表签字盖章之日起生效。</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――――――――本页以下为盖章页――――――――――</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甲方：                         乙方：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法定代表人/授权代表：          法定代表人/授权代表：</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日期：                         日期：</w:t>
      </w:r>
    </w:p>
    <w:p>
      <w:pPr>
        <w:pStyle w:val="8"/>
        <w:rPr>
          <w:rFonts w:hint="eastAsia"/>
          <w:lang w:val="en-US" w:eastAsia="zh-CN"/>
        </w:rPr>
      </w:pPr>
    </w:p>
    <w:p>
      <w:pPr>
        <w:pStyle w:val="8"/>
        <w:rPr>
          <w:rFonts w:hint="eastAsia"/>
          <w:lang w:val="en-US" w:eastAsia="zh-CN"/>
        </w:rPr>
      </w:pPr>
    </w:p>
    <w:p>
      <w:pPr>
        <w:pStyle w:val="8"/>
        <w:rPr>
          <w:rFonts w:hint="eastAsia"/>
          <w:lang w:val="en-US" w:eastAsia="zh-CN"/>
        </w:rPr>
      </w:pPr>
    </w:p>
    <w:p>
      <w:pPr>
        <w:pStyle w:val="8"/>
        <w:rPr>
          <w:rFonts w:hint="eastAsia"/>
          <w:lang w:val="en-US" w:eastAsia="zh-CN"/>
        </w:rPr>
      </w:pPr>
    </w:p>
    <w:p>
      <w:pPr>
        <w:pStyle w:val="8"/>
        <w:rPr>
          <w:rFonts w:hint="eastAsia"/>
          <w:lang w:val="en-US" w:eastAsia="zh-CN"/>
        </w:rPr>
      </w:pPr>
    </w:p>
    <w:p>
      <w:pPr>
        <w:pStyle w:val="8"/>
        <w:rPr>
          <w:rFonts w:hint="eastAsia"/>
          <w:lang w:val="en-US" w:eastAsia="zh-CN"/>
        </w:rPr>
      </w:pPr>
    </w:p>
    <w:p>
      <w:pPr>
        <w:rPr>
          <w:rFonts w:hint="eastAsia" w:ascii="方正小标宋简体" w:hAnsi="方正小标宋简体" w:eastAsia="方正小标宋简体" w:cs="方正小标宋简体"/>
          <w:b/>
          <w:kern w:val="2"/>
          <w:sz w:val="36"/>
          <w:szCs w:val="36"/>
          <w:lang w:val="en-US" w:eastAsia="zh-CN" w:bidi="ar-SA"/>
        </w:rPr>
      </w:pPr>
      <w:bookmarkStart w:id="25" w:name="_Toc21956"/>
      <w:r>
        <w:rPr>
          <w:rFonts w:hint="eastAsia" w:ascii="方正小标宋简体" w:hAnsi="方正小标宋简体" w:eastAsia="方正小标宋简体" w:cs="方正小标宋简体"/>
          <w:b/>
          <w:kern w:val="2"/>
          <w:sz w:val="36"/>
          <w:szCs w:val="36"/>
          <w:lang w:val="en-US" w:eastAsia="zh-CN" w:bidi="ar-SA"/>
        </w:rPr>
        <w:br w:type="page"/>
      </w:r>
    </w:p>
    <w:p>
      <w:pPr>
        <w:pStyle w:val="19"/>
        <w:numPr>
          <w:ilvl w:val="0"/>
          <w:numId w:val="0"/>
        </w:numPr>
        <w:snapToGrid w:val="0"/>
        <w:spacing w:before="120" w:after="120"/>
        <w:ind w:leftChars="0"/>
        <w:rPr>
          <w:rFonts w:hint="eastAsia" w:ascii="方正小标宋简体" w:hAnsi="方正小标宋简体" w:eastAsia="方正小标宋简体" w:cs="方正小标宋简体"/>
          <w:b/>
          <w:kern w:val="2"/>
          <w:sz w:val="36"/>
          <w:szCs w:val="36"/>
          <w:lang w:val="en-US" w:eastAsia="zh-CN" w:bidi="ar-SA"/>
        </w:rPr>
      </w:pPr>
      <w:r>
        <w:rPr>
          <w:rFonts w:hint="eastAsia" w:ascii="方正小标宋简体" w:hAnsi="方正小标宋简体" w:eastAsia="方正小标宋简体" w:cs="方正小标宋简体"/>
          <w:b/>
          <w:kern w:val="2"/>
          <w:sz w:val="36"/>
          <w:szCs w:val="36"/>
          <w:lang w:val="en-US" w:eastAsia="zh-CN" w:bidi="ar-SA"/>
        </w:rPr>
        <w:t>第五章 响应文件格式</w:t>
      </w:r>
      <w:bookmarkEnd w:id="25"/>
    </w:p>
    <w:p>
      <w:pPr>
        <w:pStyle w:val="5"/>
        <w:keepNext/>
        <w:keepLines/>
        <w:pageBreakBefore w:val="0"/>
        <w:widowControl w:val="0"/>
        <w:numPr>
          <w:ilvl w:val="1"/>
          <w:numId w:val="4"/>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highlight w:val="none"/>
        </w:rPr>
      </w:pPr>
      <w:bookmarkStart w:id="26" w:name="_Toc32326"/>
      <w:bookmarkStart w:id="27" w:name="_Toc1878"/>
      <w:r>
        <w:rPr>
          <w:rFonts w:hint="eastAsia" w:ascii="宋体" w:hAnsi="宋体" w:eastAsia="宋体" w:cs="宋体"/>
          <w:highlight w:val="none"/>
        </w:rPr>
        <w:t>应答函</w:t>
      </w:r>
      <w:bookmarkEnd w:id="26"/>
      <w:bookmarkEnd w:id="27"/>
    </w:p>
    <w:p>
      <w:pPr>
        <w:pStyle w:val="21"/>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w:t>
      </w:r>
      <w:r>
        <w:rPr>
          <w:rFonts w:hint="eastAsia" w:ascii="宋体" w:hAnsi="宋体" w:cs="宋体"/>
          <w:szCs w:val="21"/>
          <w:highlight w:val="none"/>
          <w:lang w:val="en-US" w:eastAsia="zh-CN"/>
        </w:rPr>
        <w:t>专用</w:t>
      </w:r>
      <w:r>
        <w:rPr>
          <w:rFonts w:hint="eastAsia" w:ascii="宋体" w:hAnsi="宋体" w:eastAsia="宋体" w:cs="宋体"/>
          <w:szCs w:val="21"/>
          <w:highlight w:val="none"/>
        </w:rPr>
        <w:t>发票</w:t>
      </w:r>
      <w:r>
        <w:rPr>
          <w:rFonts w:hint="eastAsia" w:ascii="宋体" w:hAnsi="宋体" w:cs="宋体"/>
          <w:szCs w:val="21"/>
          <w:highlight w:val="none"/>
          <w:lang w:eastAsia="zh-CN"/>
        </w:rPr>
        <w:t>（</w:t>
      </w:r>
      <w:r>
        <w:rPr>
          <w:rFonts w:hint="eastAsia" w:ascii="宋体" w:hAnsi="宋体" w:cs="宋体"/>
          <w:szCs w:val="21"/>
          <w:highlight w:val="none"/>
          <w:lang w:val="en-US" w:eastAsia="zh-CN"/>
        </w:rPr>
        <w:t>税法规定不能开具专用发票的除外</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cs="宋体"/>
          <w:szCs w:val="21"/>
          <w:highlight w:val="none"/>
          <w:lang w:val="en-US" w:eastAsia="zh-CN"/>
        </w:rPr>
        <w:t>若我方最终为成交人，</w:t>
      </w:r>
      <w:r>
        <w:rPr>
          <w:rFonts w:hint="eastAsia" w:ascii="宋体" w:hAnsi="宋体" w:eastAsia="宋体" w:cs="宋体"/>
          <w:szCs w:val="21"/>
          <w:highlight w:val="none"/>
        </w:rPr>
        <w:t>不转包或分包</w:t>
      </w:r>
      <w:r>
        <w:rPr>
          <w:rFonts w:hint="eastAsia" w:ascii="宋体" w:hAnsi="宋体" w:eastAsia="宋体" w:cs="宋体"/>
          <w:szCs w:val="21"/>
          <w:highlight w:val="none"/>
          <w:lang w:eastAsia="zh-CN"/>
        </w:rPr>
        <w:t>。</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pPr>
        <w:pStyle w:val="21"/>
        <w:numPr>
          <w:ilvl w:val="0"/>
          <w:numId w:val="6"/>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pPr>
        <w:pStyle w:val="21"/>
        <w:numPr>
          <w:ilvl w:val="0"/>
          <w:numId w:val="6"/>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28" w:name="_Toc26153"/>
      <w:bookmarkStart w:id="29" w:name="_Toc56432234"/>
      <w:bookmarkStart w:id="30" w:name="_Toc1651899"/>
      <w:bookmarkStart w:id="31" w:name="_Toc475472674"/>
      <w:bookmarkStart w:id="32" w:name="_Toc68688804"/>
      <w:bookmarkStart w:id="33" w:name="_Toc17459"/>
      <w:bookmarkStart w:id="34" w:name="_Toc18365"/>
      <w:bookmarkStart w:id="35"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28"/>
      <w:bookmarkEnd w:id="29"/>
      <w:bookmarkEnd w:id="30"/>
      <w:bookmarkEnd w:id="31"/>
      <w:bookmarkEnd w:id="32"/>
      <w:bookmarkEnd w:id="33"/>
      <w:bookmarkEnd w:id="34"/>
    </w:p>
    <w:p>
      <w:pPr>
        <w:jc w:val="center"/>
        <w:rPr>
          <w:rFonts w:hint="eastAsia" w:ascii="宋体" w:hAnsi="宋体" w:eastAsia="宋体" w:cs="宋体"/>
          <w:b/>
          <w:sz w:val="24"/>
          <w:highlight w:val="none"/>
        </w:rPr>
      </w:pPr>
    </w:p>
    <w:p>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pPr>
        <w:spacing w:line="440" w:lineRule="exact"/>
        <w:rPr>
          <w:rFonts w:hint="eastAsia" w:ascii="宋体" w:hAnsi="宋体" w:eastAsia="宋体" w:cs="宋体"/>
          <w:szCs w:val="21"/>
          <w:highlight w:val="none"/>
        </w:rPr>
      </w:pPr>
    </w:p>
    <w:p>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pPr>
        <w:spacing w:line="440" w:lineRule="exact"/>
        <w:ind w:firstLine="4305" w:firstLineChars="2050"/>
        <w:rPr>
          <w:rFonts w:hint="eastAsia" w:ascii="宋体" w:hAnsi="宋体" w:eastAsia="宋体" w:cs="宋体"/>
          <w:szCs w:val="21"/>
          <w:highlight w:val="none"/>
        </w:rPr>
      </w:pPr>
    </w:p>
    <w:p>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pPr>
        <w:topLinePunct/>
        <w:spacing w:line="440" w:lineRule="exact"/>
        <w:ind w:left="422"/>
        <w:jc w:val="left"/>
        <w:rPr>
          <w:rFonts w:hint="eastAsia" w:ascii="宋体" w:hAnsi="宋体" w:eastAsia="宋体" w:cs="宋体"/>
          <w:highlight w:val="none"/>
        </w:rPr>
      </w:pPr>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szCs w:val="21"/>
          <w:highlight w:val="none"/>
        </w:rPr>
        <w:br w:type="page"/>
      </w:r>
      <w:bookmarkStart w:id="36" w:name="_Toc27262"/>
      <w:bookmarkStart w:id="37" w:name="_Toc68688805"/>
      <w:bookmarkStart w:id="38" w:name="_Toc438052122"/>
      <w:bookmarkStart w:id="39" w:name="_Toc8603"/>
      <w:bookmarkStart w:id="40" w:name="_Toc1651900"/>
      <w:bookmarkStart w:id="41" w:name="_Toc475472675"/>
      <w:bookmarkStart w:id="42" w:name="_Toc56432235"/>
      <w:bookmarkStart w:id="43" w:name="_Toc3806"/>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36"/>
      <w:bookmarkEnd w:id="37"/>
      <w:bookmarkEnd w:id="38"/>
      <w:bookmarkEnd w:id="39"/>
      <w:bookmarkEnd w:id="40"/>
      <w:bookmarkEnd w:id="41"/>
      <w:bookmarkEnd w:id="42"/>
      <w:bookmarkEnd w:id="43"/>
    </w:p>
    <w:p>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pPr>
        <w:jc w:val="center"/>
        <w:rPr>
          <w:rFonts w:hint="eastAsia" w:ascii="宋体" w:hAnsi="宋体" w:eastAsia="宋体" w:cs="宋体"/>
          <w:b/>
          <w:sz w:val="24"/>
          <w:highlight w:val="none"/>
        </w:rPr>
      </w:pPr>
    </w:p>
    <w:p>
      <w:pPr>
        <w:numPr>
          <w:ilvl w:val="-1"/>
          <w:numId w:val="0"/>
        </w:numPr>
        <w:spacing w:line="50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cs="宋体"/>
          <w:bCs/>
          <w:szCs w:val="21"/>
          <w:highlight w:val="none"/>
          <w:u w:val="single"/>
          <w:lang w:val="en-US" w:eastAsia="zh-CN"/>
        </w:rPr>
        <w:t xml:space="preserve">               </w:t>
      </w:r>
      <w:r>
        <w:rPr>
          <w:rFonts w:hint="eastAsia" w:ascii="宋体" w:hAnsi="宋体" w:cs="宋体"/>
          <w:bCs/>
          <w:szCs w:val="21"/>
          <w:highlight w:val="none"/>
          <w:u w:val="single"/>
          <w:lang w:eastAsia="zh-CN"/>
        </w:rPr>
        <w:t>项目</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项目编号：</w:t>
      </w:r>
      <w:r>
        <w:rPr>
          <w:rFonts w:hint="eastAsia" w:ascii="宋体" w:hAnsi="宋体" w:cs="宋体"/>
          <w:bCs/>
          <w:szCs w:val="21"/>
          <w:highlight w:val="none"/>
          <w:u w:val="single"/>
          <w:lang w:val="en-US" w:eastAsia="zh-CN"/>
        </w:rPr>
        <w:t xml:space="preserve">           </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lang w:eastAsia="zh-CN"/>
        </w:rPr>
        <w:t>供应商</w:t>
      </w:r>
      <w:r>
        <w:rPr>
          <w:rFonts w:hint="eastAsia" w:ascii="宋体" w:hAnsi="宋体" w:eastAsia="宋体" w:cs="宋体"/>
          <w:bCs/>
          <w:szCs w:val="21"/>
          <w:highlight w:val="none"/>
        </w:rPr>
        <w:t>名称：                               （盖单位公章）</w:t>
      </w:r>
    </w:p>
    <w:p>
      <w:pPr>
        <w:pStyle w:val="6"/>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pPr>
        <w:pStyle w:val="6"/>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pPr>
        <w:pStyle w:val="6"/>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6"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AaiYCSKQIAAFA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pPr>
                        <w:jc w:val="center"/>
                        <w:rPr>
                          <w:szCs w:val="21"/>
                        </w:rPr>
                      </w:pPr>
                      <w:r>
                        <w:rPr>
                          <w:rFonts w:hint="eastAsia"/>
                          <w:szCs w:val="21"/>
                        </w:rPr>
                        <w:t>委托代理人身份证正面复印件贴于此处</w:t>
                      </w:r>
                    </w:p>
                    <w:p>
                      <w:pPr>
                        <w:jc w:val="center"/>
                        <w:rPr>
                          <w:szCs w:val="21"/>
                        </w:rPr>
                      </w:pPr>
                    </w:p>
                  </w:txbxContent>
                </v:textbox>
              </v:shape>
            </w:pict>
          </mc:Fallback>
        </mc:AlternateContent>
      </w:r>
    </w:p>
    <w:p>
      <w:pPr>
        <w:spacing w:line="440" w:lineRule="exact"/>
        <w:rPr>
          <w:rFonts w:hint="eastAsia" w:ascii="宋体" w:hAnsi="宋体" w:eastAsia="宋体" w:cs="宋体"/>
          <w:szCs w:val="21"/>
          <w:highlight w:val="none"/>
        </w:rPr>
      </w:pP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topLinePunct/>
        <w:snapToGrid w:val="0"/>
        <w:spacing w:line="440" w:lineRule="exact"/>
        <w:rPr>
          <w:rFonts w:hint="eastAsia" w:ascii="宋体" w:hAnsi="宋体" w:eastAsia="宋体" w:cs="宋体"/>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widowControl/>
        <w:jc w:val="left"/>
        <w:rPr>
          <w:rFonts w:hint="eastAsia" w:ascii="宋体" w:hAnsi="宋体" w:eastAsia="宋体" w:cs="宋体"/>
          <w:b/>
          <w:bCs/>
          <w:sz w:val="32"/>
          <w:szCs w:val="32"/>
          <w:highlight w:val="none"/>
        </w:rPr>
      </w:pPr>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4" w:name="_Toc8223"/>
      <w:bookmarkStart w:id="45" w:name="_Toc18794"/>
      <w:r>
        <w:rPr>
          <w:rFonts w:hint="eastAsia" w:ascii="宋体" w:hAnsi="宋体" w:eastAsia="宋体" w:cs="宋体"/>
          <w:highlight w:val="none"/>
        </w:rPr>
        <w:t>供应商基本情况</w:t>
      </w:r>
      <w:bookmarkEnd w:id="35"/>
      <w:bookmarkEnd w:id="44"/>
      <w:bookmarkEnd w:id="45"/>
      <w:r>
        <w:rPr>
          <w:rFonts w:hint="eastAsia" w:ascii="宋体" w:hAnsi="宋体" w:eastAsia="宋体" w:cs="宋体"/>
          <w:highlight w:val="none"/>
          <w:lang w:val="en-US" w:eastAsia="zh-CN"/>
        </w:rPr>
        <w:t>和资质证明材料</w:t>
      </w:r>
    </w:p>
    <w:p>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lang w:eastAsia="zh-CN"/>
        </w:rPr>
      </w:pPr>
      <w:r>
        <w:rPr>
          <w:rFonts w:hint="eastAsia" w:ascii="宋体" w:hAnsi="宋体" w:eastAsia="宋体" w:cs="宋体"/>
          <w:color w:val="333333"/>
          <w:highlight w:val="none"/>
        </w:rPr>
        <w:t>4.</w:t>
      </w:r>
      <w:r>
        <w:rPr>
          <w:rFonts w:hint="eastAsia" w:ascii="宋体" w:hAnsi="宋体" w:cs="宋体"/>
          <w:color w:val="333333"/>
          <w:highlight w:val="none"/>
          <w:lang w:val="en-US" w:eastAsia="zh-CN"/>
        </w:rPr>
        <w:t>2</w:t>
      </w:r>
      <w:bookmarkStart w:id="46" w:name="_Toc476321847"/>
      <w:r>
        <w:rPr>
          <w:rFonts w:hint="eastAsia" w:ascii="宋体" w:hAnsi="宋体" w:cs="宋体"/>
          <w:color w:val="333333"/>
          <w:highlight w:val="none"/>
          <w:lang w:val="en-US" w:eastAsia="zh-CN"/>
        </w:rPr>
        <w:t>供应商</w:t>
      </w:r>
      <w:r>
        <w:rPr>
          <w:rFonts w:hint="eastAsia" w:ascii="宋体" w:hAnsi="宋体" w:eastAsia="宋体" w:cs="宋体"/>
          <w:highlight w:val="none"/>
        </w:rPr>
        <w:t>控股及管理关系情况申报表</w:t>
      </w:r>
      <w:bookmarkEnd w:id="46"/>
      <w:r>
        <w:rPr>
          <w:rFonts w:hint="eastAsia" w:ascii="宋体" w:hAnsi="宋体" w:cs="宋体"/>
          <w:highlight w:val="none"/>
          <w:lang w:eastAsia="zh-CN"/>
        </w:rPr>
        <w:t>；</w:t>
      </w:r>
    </w:p>
    <w:p>
      <w:pPr>
        <w:pStyle w:val="12"/>
        <w:rPr>
          <w:rFonts w:hint="eastAsia" w:ascii="宋体" w:hAnsi="宋体" w:cs="宋体"/>
          <w:highlight w:val="none"/>
          <w:lang w:val="en-US" w:eastAsia="zh-CN"/>
        </w:rPr>
      </w:pPr>
      <w:r>
        <w:rPr>
          <w:rFonts w:hint="eastAsia" w:ascii="宋体" w:hAnsi="宋体" w:cs="宋体"/>
          <w:highlight w:val="none"/>
          <w:lang w:val="en-US" w:eastAsia="zh-CN"/>
        </w:rPr>
        <w:t>4.3供应商参与本采购活动时，未被列入“信用中国”网站(www.creditchina.gov.cn)失信被执行人、重大税收违法案件当事人名单、政府采购严重违法失信行为记录名单；不处于中国政府采购网(www.ccgp.gov.cn)“政府采购严重违法失信行为信息记录”中的禁止参加政府采购活动期间。（</w:t>
      </w:r>
      <w:r>
        <w:rPr>
          <w:rFonts w:hint="eastAsia" w:ascii="宋体" w:hAnsi="宋体" w:cs="宋体"/>
          <w:b/>
          <w:bCs/>
          <w:color w:val="auto"/>
          <w:highlight w:val="none"/>
          <w:lang w:val="en-US" w:eastAsia="zh-CN"/>
        </w:rPr>
        <w:t>需要提供近期的信用中国查询报告</w:t>
      </w:r>
      <w:r>
        <w:rPr>
          <w:rFonts w:hint="eastAsia" w:ascii="宋体" w:hAnsi="宋体" w:cs="宋体"/>
          <w:highlight w:val="none"/>
          <w:lang w:val="en-US" w:eastAsia="zh-CN"/>
        </w:rPr>
        <w:t>）</w:t>
      </w:r>
    </w:p>
    <w:p>
      <w:pPr>
        <w:pStyle w:val="12"/>
        <w:rPr>
          <w:rFonts w:hint="eastAsia" w:ascii="宋体" w:hAnsi="宋体" w:cs="宋体"/>
          <w:b/>
          <w:bCs/>
          <w:highlight w:val="none"/>
          <w:lang w:val="en-US" w:eastAsia="zh-CN"/>
        </w:rPr>
      </w:pPr>
      <w:r>
        <w:rPr>
          <w:rFonts w:hint="eastAsia" w:ascii="宋体" w:hAnsi="宋体" w:cs="宋体"/>
          <w:highlight w:val="none"/>
          <w:lang w:val="en-US" w:eastAsia="zh-CN"/>
        </w:rPr>
        <w:t>4.4</w:t>
      </w:r>
      <w:r>
        <w:rPr>
          <w:rFonts w:hint="eastAsia" w:ascii="宋体" w:hAnsi="宋体" w:cs="宋体"/>
          <w:b/>
          <w:bCs/>
          <w:highlight w:val="none"/>
          <w:lang w:val="en-US" w:eastAsia="zh-CN"/>
        </w:rPr>
        <w:t>供应商需要提供本年度至少任意一个月财务报表（资产负债表、利润表、 现金流量表），或近一年内银行出具的资信证明，或上一年度第三方审计报告等相关财务证明文件，三者任选一。</w:t>
      </w:r>
    </w:p>
    <w:p>
      <w:pPr>
        <w:pStyle w:val="12"/>
        <w:rPr>
          <w:rFonts w:hint="eastAsia" w:ascii="宋体" w:hAnsi="宋体" w:cs="宋体"/>
          <w:highlight w:val="none"/>
          <w:lang w:val="en-US" w:eastAsia="zh-CN"/>
        </w:rPr>
      </w:pPr>
      <w:r>
        <w:rPr>
          <w:rFonts w:hint="eastAsia" w:ascii="宋体" w:hAnsi="宋体" w:cs="宋体"/>
          <w:highlight w:val="none"/>
          <w:lang w:val="en-US" w:eastAsia="zh-CN"/>
        </w:rPr>
        <w:t>4.5</w:t>
      </w:r>
      <w:r>
        <w:rPr>
          <w:rFonts w:hint="eastAsia" w:ascii="宋体" w:hAnsi="宋体" w:cs="宋体"/>
          <w:b/>
          <w:bCs/>
          <w:highlight w:val="none"/>
          <w:lang w:val="en-US" w:eastAsia="zh-CN"/>
        </w:rPr>
        <w:t>本采购项目需求中要求的资质证明材料或者评审办法中要求的资质证明文件复印件等。</w:t>
      </w:r>
    </w:p>
    <w:p>
      <w:pPr>
        <w:pStyle w:val="12"/>
        <w:rPr>
          <w:rFonts w:hint="eastAsia" w:ascii="宋体" w:hAnsi="宋体" w:cs="宋体"/>
          <w:highlight w:val="none"/>
          <w:lang w:val="en-US" w:eastAsia="zh-CN"/>
        </w:rPr>
      </w:pPr>
      <w:r>
        <w:rPr>
          <w:rFonts w:hint="eastAsia" w:ascii="宋体" w:hAnsi="宋体" w:cs="宋体"/>
          <w:highlight w:val="none"/>
          <w:lang w:val="en-US" w:eastAsia="zh-CN"/>
        </w:rPr>
        <w:t>4.6其他需要提供的证明材料等（如有）。</w:t>
      </w: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default" w:ascii="宋体" w:hAnsi="宋体" w:cs="宋体"/>
          <w:highlight w:val="none"/>
          <w:lang w:val="en-US" w:eastAsia="zh-CN"/>
        </w:rPr>
      </w:pPr>
    </w:p>
    <w:p>
      <w:pPr>
        <w:pStyle w:val="21"/>
        <w:spacing w:line="360" w:lineRule="auto"/>
        <w:ind w:left="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w:t>
      </w:r>
      <w:r>
        <w:rPr>
          <w:rFonts w:hint="eastAsia" w:ascii="宋体" w:hAnsi="宋体" w:cs="宋体"/>
          <w:b/>
          <w:szCs w:val="21"/>
          <w:highlight w:val="none"/>
          <w:lang w:val="en-US" w:eastAsia="zh-CN"/>
        </w:rPr>
        <w:t>和</w:t>
      </w:r>
      <w:r>
        <w:rPr>
          <w:rFonts w:hint="eastAsia" w:ascii="宋体" w:hAnsi="宋体" w:eastAsia="宋体" w:cs="宋体"/>
          <w:b/>
          <w:szCs w:val="21"/>
          <w:highlight w:val="none"/>
        </w:rPr>
        <w:t>管理关系</w:t>
      </w:r>
      <w:r>
        <w:rPr>
          <w:rFonts w:hint="eastAsia" w:ascii="宋体" w:hAnsi="宋体" w:cs="宋体"/>
          <w:b/>
          <w:szCs w:val="21"/>
          <w:highlight w:val="none"/>
          <w:lang w:val="en-US" w:eastAsia="zh-CN"/>
        </w:rPr>
        <w:t>及基本</w:t>
      </w:r>
      <w:r>
        <w:rPr>
          <w:rFonts w:hint="eastAsia" w:ascii="宋体" w:hAnsi="宋体" w:eastAsia="宋体" w:cs="宋体"/>
          <w:b/>
          <w:szCs w:val="21"/>
          <w:highlight w:val="none"/>
        </w:rPr>
        <w:t>情况申报表</w:t>
      </w:r>
    </w:p>
    <w:p>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13"/>
        <w:tblW w:w="4874"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542"/>
        <w:gridCol w:w="2350"/>
        <w:gridCol w:w="3831"/>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42"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4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95"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pPr>
              <w:spacing w:line="360" w:lineRule="auto"/>
              <w:rPr>
                <w:rFonts w:hint="eastAsia" w:ascii="宋体" w:hAnsi="宋体" w:eastAsia="宋体" w:cs="宋体"/>
                <w:szCs w:val="21"/>
                <w:highlight w:val="none"/>
              </w:rPr>
            </w:pPr>
          </w:p>
        </w:tc>
        <w:tc>
          <w:tcPr>
            <w:tcW w:w="134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95"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4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95"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pPr>
              <w:spacing w:line="360" w:lineRule="auto"/>
              <w:rPr>
                <w:rFonts w:hint="eastAsia" w:ascii="宋体" w:hAnsi="宋体" w:eastAsia="宋体" w:cs="宋体"/>
                <w:szCs w:val="21"/>
                <w:highlight w:val="none"/>
              </w:rPr>
            </w:pPr>
          </w:p>
        </w:tc>
        <w:tc>
          <w:tcPr>
            <w:tcW w:w="134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95"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pPr>
        <w:pStyle w:val="21"/>
        <w:widowControl/>
        <w:numPr>
          <w:ilvl w:val="0"/>
          <w:numId w:val="6"/>
        </w:numPr>
        <w:snapToGrid w:val="0"/>
        <w:spacing w:line="360" w:lineRule="auto"/>
        <w:ind w:firstLineChars="0"/>
        <w:jc w:val="left"/>
        <w:rPr>
          <w:rFonts w:hint="eastAsia" w:ascii="宋体" w:hAnsi="宋体" w:eastAsia="宋体" w:cs="宋体"/>
          <w:highlight w:val="none"/>
        </w:rPr>
      </w:pPr>
      <w:r>
        <w:rPr>
          <w:rFonts w:hint="eastAsia" w:ascii="宋体" w:hAnsi="宋体" w:eastAsia="宋体" w:cs="宋体"/>
          <w:highlight w:val="none"/>
        </w:rPr>
        <w:br w:type="page"/>
      </w:r>
      <w:bookmarkStart w:id="47" w:name="_Toc13174"/>
      <w:bookmarkStart w:id="48" w:name="_Toc12072"/>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highlight w:val="none"/>
        </w:rPr>
        <w:t>技术商务偏离表</w:t>
      </w:r>
      <w:bookmarkEnd w:id="47"/>
      <w:bookmarkEnd w:id="48"/>
    </w:p>
    <w:p>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pPr>
              <w:spacing w:after="120" w:line="360" w:lineRule="atLeast"/>
              <w:ind w:left="851" w:hanging="851"/>
              <w:jc w:val="center"/>
              <w:rPr>
                <w:rFonts w:hint="eastAsia" w:ascii="宋体" w:hAnsi="宋体" w:eastAsia="宋体" w:cs="宋体"/>
                <w:szCs w:val="21"/>
                <w:highlight w:val="none"/>
              </w:rPr>
            </w:pPr>
          </w:p>
        </w:tc>
      </w:tr>
    </w:tbl>
    <w:p>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9" w:name="_Toc476321849"/>
      <w:bookmarkStart w:id="50" w:name="_Toc11834"/>
      <w:bookmarkStart w:id="51" w:name="_Toc10360"/>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49"/>
      <w:bookmarkEnd w:id="50"/>
      <w:bookmarkEnd w:id="51"/>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3364"/>
        <w:gridCol w:w="1761"/>
        <w:gridCol w:w="1444"/>
        <w:gridCol w:w="1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bl>
    <w:p>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2" w:name="_Toc26958"/>
      <w:bookmarkStart w:id="53" w:name="_Toc476321850"/>
      <w:bookmarkStart w:id="54" w:name="_Toc3792"/>
      <w:r>
        <w:rPr>
          <w:rFonts w:hint="eastAsia" w:ascii="宋体" w:hAnsi="宋体" w:eastAsia="宋体" w:cs="宋体"/>
          <w:highlight w:val="none"/>
        </w:rPr>
        <w:t>项目负责人及成员组成情况表</w:t>
      </w:r>
      <w:bookmarkEnd w:id="52"/>
      <w:bookmarkEnd w:id="53"/>
      <w:bookmarkEnd w:id="54"/>
    </w:p>
    <w:p>
      <w:pPr>
        <w:pStyle w:val="21"/>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pPr>
        <w:pStyle w:val="21"/>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1663"/>
        <w:gridCol w:w="1233"/>
        <w:gridCol w:w="1371"/>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929"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689"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766"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1039"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both"/>
              <w:rPr>
                <w:rFonts w:hint="eastAsia" w:ascii="宋体" w:hAnsi="宋体" w:eastAsia="宋体" w:cs="宋体"/>
                <w:szCs w:val="21"/>
                <w:highlight w:val="none"/>
              </w:rPr>
            </w:pP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bl>
    <w:p>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r>
        <w:rPr>
          <w:rFonts w:hint="eastAsia" w:ascii="宋体" w:hAnsi="宋体" w:eastAsia="宋体" w:cs="宋体"/>
          <w:highlight w:val="none"/>
        </w:rPr>
        <w:br w:type="page"/>
      </w:r>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5" w:name="_Toc104"/>
      <w:bookmarkStart w:id="56" w:name="_Toc18330"/>
      <w:bookmarkStart w:id="57" w:name="_Toc68688822"/>
      <w:bookmarkStart w:id="58" w:name="_Toc56432254"/>
      <w:bookmarkStart w:id="59" w:name="_Toc1651923"/>
      <w:bookmarkStart w:id="60" w:name="_Toc15928"/>
      <w:r>
        <w:rPr>
          <w:rFonts w:hint="eastAsia" w:ascii="宋体" w:hAnsi="宋体" w:eastAsia="宋体" w:cs="宋体"/>
          <w:highlight w:val="none"/>
        </w:rPr>
        <w:t>本项目的实施方案</w:t>
      </w:r>
      <w:bookmarkEnd w:id="55"/>
      <w:bookmarkEnd w:id="56"/>
    </w:p>
    <w:p>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pPr>
        <w:widowControl/>
        <w:numPr>
          <w:ilvl w:val="0"/>
          <w:numId w:val="0"/>
        </w:numPr>
        <w:jc w:val="left"/>
        <w:rPr>
          <w:rFonts w:hint="eastAsia" w:ascii="宋体" w:hAnsi="宋体" w:cs="宋体"/>
          <w:kern w:val="2"/>
          <w:sz w:val="21"/>
          <w:szCs w:val="24"/>
          <w:lang w:val="en-US" w:eastAsia="zh-CN" w:bidi="ar-SA"/>
        </w:rPr>
      </w:pPr>
    </w:p>
    <w:p>
      <w:pPr>
        <w:widowControl/>
        <w:numPr>
          <w:ilvl w:val="0"/>
          <w:numId w:val="0"/>
        </w:numPr>
        <w:jc w:val="left"/>
        <w:rPr>
          <w:rFonts w:hint="eastAsia" w:ascii="宋体" w:hAnsi="宋体" w:cs="宋体"/>
          <w:kern w:val="2"/>
          <w:sz w:val="21"/>
          <w:szCs w:val="24"/>
          <w:lang w:val="en-US" w:eastAsia="zh-CN" w:bidi="ar-SA"/>
        </w:rPr>
      </w:pPr>
    </w:p>
    <w:p>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供应商需根据项目目标和服务内容关键技术指标，拟定具体合理的服务方案。项目服务方案内容自拟，主要内容应包括：</w:t>
      </w:r>
    </w:p>
    <w:p>
      <w:pPr>
        <w:widowControl/>
        <w:numPr>
          <w:ilvl w:val="0"/>
          <w:numId w:val="0"/>
        </w:numPr>
        <w:jc w:val="left"/>
        <w:rPr>
          <w:rFonts w:hint="eastAsia" w:ascii="宋体" w:hAnsi="宋体" w:cs="宋体"/>
          <w:kern w:val="2"/>
          <w:sz w:val="21"/>
          <w:szCs w:val="24"/>
          <w:lang w:val="en-US" w:eastAsia="zh-CN" w:bidi="ar-SA"/>
        </w:rPr>
      </w:pPr>
    </w:p>
    <w:p>
      <w:pPr>
        <w:widowControl/>
        <w:numPr>
          <w:ilvl w:val="0"/>
          <w:numId w:val="0"/>
        </w:numPr>
        <w:jc w:val="left"/>
        <w:rPr>
          <w:rFonts w:hint="default" w:ascii="宋体" w:hAnsi="宋体" w:cs="宋体"/>
          <w:kern w:val="2"/>
          <w:sz w:val="21"/>
          <w:szCs w:val="24"/>
          <w:lang w:val="en-US" w:eastAsia="zh-CN" w:bidi="ar-SA"/>
        </w:rPr>
      </w:pPr>
      <w:r>
        <w:rPr>
          <w:rFonts w:hint="eastAsia" w:ascii="宋体" w:hAnsi="宋体" w:cs="宋体"/>
          <w:b/>
          <w:bCs/>
          <w:kern w:val="2"/>
          <w:sz w:val="21"/>
          <w:szCs w:val="24"/>
          <w:lang w:val="en-US" w:eastAsia="zh-CN" w:bidi="ar-SA"/>
        </w:rPr>
        <w:t>1.项目实施方案。</w:t>
      </w:r>
      <w:r>
        <w:rPr>
          <w:rFonts w:hint="eastAsia" w:ascii="宋体" w:hAnsi="宋体" w:cs="宋体"/>
        </w:rPr>
        <w:t>包括但不限于对项目服务要求的理解、项目服务要求的具体解决方案等内容。</w:t>
      </w:r>
    </w:p>
    <w:p>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b/>
          <w:bCs/>
          <w:kern w:val="2"/>
          <w:sz w:val="21"/>
          <w:szCs w:val="24"/>
          <w:lang w:val="en-US" w:eastAsia="zh-CN" w:bidi="ar-SA"/>
        </w:rPr>
        <w:t>2.项目执行进度计划。</w:t>
      </w:r>
      <w:r>
        <w:rPr>
          <w:rFonts w:hint="eastAsia" w:ascii="宋体" w:hAnsi="宋体" w:cs="宋体"/>
          <w:kern w:val="2"/>
          <w:sz w:val="21"/>
          <w:szCs w:val="24"/>
          <w:lang w:val="en-US" w:eastAsia="zh-CN" w:bidi="ar-SA"/>
        </w:rPr>
        <w:t>编制的详细计划进度表，应包含不同阶段计划、完成该阶段计划对应的时间节点等内容。</w:t>
      </w:r>
    </w:p>
    <w:p>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b/>
          <w:bCs/>
          <w:kern w:val="2"/>
          <w:sz w:val="21"/>
          <w:szCs w:val="24"/>
          <w:lang w:val="en-US" w:eastAsia="zh-CN" w:bidi="ar-SA"/>
        </w:rPr>
        <w:t>3.保密管理及应急保障措施。</w:t>
      </w:r>
      <w:r>
        <w:rPr>
          <w:rFonts w:hint="eastAsia" w:ascii="宋体" w:hAnsi="宋体" w:cs="宋体"/>
          <w:kern w:val="2"/>
          <w:sz w:val="21"/>
          <w:szCs w:val="24"/>
          <w:lang w:val="en-US" w:eastAsia="zh-CN" w:bidi="ar-SA"/>
        </w:rPr>
        <w:t>内容包含不限于项目保密措施、应急保障措施等。</w:t>
      </w:r>
    </w:p>
    <w:p>
      <w:pPr>
        <w:pStyle w:val="2"/>
        <w:ind w:left="0" w:leftChars="0" w:firstLine="0" w:firstLineChars="0"/>
        <w:rPr>
          <w:rFonts w:hint="default" w:ascii="宋体" w:hAnsi="宋体" w:eastAsia="宋体" w:cs="宋体"/>
          <w:b/>
          <w:bCs/>
          <w:kern w:val="2"/>
          <w:sz w:val="21"/>
          <w:szCs w:val="24"/>
          <w:lang w:val="en-US" w:eastAsia="zh-CN" w:bidi="ar-SA"/>
        </w:rPr>
      </w:pPr>
      <w:r>
        <w:rPr>
          <w:rFonts w:hint="eastAsia" w:ascii="宋体" w:hAnsi="宋体" w:eastAsia="宋体" w:cs="宋体"/>
          <w:b/>
          <w:bCs/>
          <w:kern w:val="2"/>
          <w:sz w:val="21"/>
          <w:szCs w:val="24"/>
          <w:lang w:val="en-US" w:eastAsia="zh-CN" w:bidi="ar-SA"/>
        </w:rPr>
        <w:t>4.本地化服务能力</w:t>
      </w:r>
      <w:r>
        <w:rPr>
          <w:rFonts w:hint="eastAsia" w:ascii="宋体" w:hAnsi="宋体" w:cs="宋体"/>
          <w:b/>
          <w:bCs/>
          <w:kern w:val="2"/>
          <w:sz w:val="21"/>
          <w:szCs w:val="24"/>
          <w:lang w:val="en-US" w:eastAsia="zh-CN" w:bidi="ar-SA"/>
        </w:rPr>
        <w:t>。</w:t>
      </w:r>
    </w:p>
    <w:p>
      <w:pPr>
        <w:widowControl/>
        <w:numPr>
          <w:ilvl w:val="0"/>
          <w:numId w:val="0"/>
        </w:numPr>
        <w:jc w:val="left"/>
        <w:rPr>
          <w:rFonts w:hint="eastAsia" w:ascii="宋体" w:hAnsi="宋体" w:eastAsia="宋体" w:cs="宋体"/>
          <w:b/>
          <w:bCs/>
          <w:sz w:val="32"/>
          <w:szCs w:val="32"/>
          <w:highlight w:val="none"/>
        </w:rPr>
      </w:pPr>
      <w:r>
        <w:rPr>
          <w:rFonts w:hint="eastAsia" w:ascii="宋体" w:hAnsi="宋体" w:eastAsia="宋体" w:cs="宋体"/>
          <w:highlight w:val="none"/>
        </w:rPr>
        <w:br w:type="page"/>
      </w:r>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61" w:name="_Toc17083"/>
      <w:bookmarkStart w:id="62" w:name="_Toc29130"/>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57"/>
      <w:bookmarkEnd w:id="58"/>
      <w:bookmarkEnd w:id="59"/>
      <w:bookmarkEnd w:id="60"/>
      <w:bookmarkEnd w:id="61"/>
      <w:r>
        <w:rPr>
          <w:rFonts w:hint="eastAsia" w:ascii="宋体" w:hAnsi="宋体" w:eastAsia="宋体" w:cs="宋体"/>
          <w:highlight w:val="none"/>
        </w:rPr>
        <w:t>函</w:t>
      </w:r>
      <w:bookmarkEnd w:id="62"/>
    </w:p>
    <w:p>
      <w:pPr>
        <w:spacing w:line="360" w:lineRule="auto"/>
        <w:jc w:val="center"/>
        <w:rPr>
          <w:rFonts w:hint="eastAsia" w:ascii="方正小标宋简体" w:hAnsi="方正小标宋简体" w:eastAsia="方正小标宋简体" w:cs="方正小标宋简体"/>
          <w:b w:val="0"/>
          <w:bCs/>
          <w:sz w:val="32"/>
          <w:szCs w:val="32"/>
          <w:lang w:val="en-US" w:eastAsia="zh-CN"/>
        </w:rPr>
      </w:pPr>
      <w:r>
        <w:rPr>
          <w:rFonts w:hint="eastAsia" w:ascii="方正小标宋简体" w:hAnsi="方正小标宋简体" w:eastAsia="方正小标宋简体" w:cs="方正小标宋简体"/>
          <w:b w:val="0"/>
          <w:bCs/>
          <w:sz w:val="32"/>
          <w:szCs w:val="32"/>
          <w:lang w:val="en-US" w:eastAsia="zh-CN"/>
        </w:rPr>
        <w:t>新媒体日常监测服务项目</w:t>
      </w:r>
    </w:p>
    <w:p>
      <w:pPr>
        <w:spacing w:line="360" w:lineRule="auto"/>
        <w:jc w:val="center"/>
        <w:rPr>
          <w:rFonts w:hint="eastAsia" w:ascii="仿宋_GB2312" w:hAnsi="仿宋_GB2312" w:eastAsia="仿宋_GB2312" w:cs="仿宋_GB2312"/>
          <w:b w:val="0"/>
          <w:bCs/>
          <w:sz w:val="28"/>
          <w:szCs w:val="28"/>
        </w:rPr>
      </w:pPr>
      <w:r>
        <w:rPr>
          <w:rFonts w:hint="eastAsia" w:ascii="方正小标宋简体" w:hAnsi="方正小标宋简体" w:eastAsia="方正小标宋简体" w:cs="方正小标宋简体"/>
          <w:b w:val="0"/>
          <w:bCs/>
          <w:sz w:val="32"/>
          <w:szCs w:val="32"/>
          <w:lang w:eastAsia="zh-CN"/>
        </w:rPr>
        <w:t>响应</w:t>
      </w:r>
      <w:r>
        <w:rPr>
          <w:rFonts w:hint="eastAsia" w:ascii="方正小标宋简体" w:hAnsi="方正小标宋简体" w:eastAsia="方正小标宋简体" w:cs="方正小标宋简体"/>
          <w:b w:val="0"/>
          <w:bCs/>
          <w:sz w:val="32"/>
          <w:szCs w:val="32"/>
        </w:rPr>
        <w:t>报价</w:t>
      </w:r>
      <w:r>
        <w:rPr>
          <w:rFonts w:hint="eastAsia" w:ascii="方正小标宋简体" w:hAnsi="方正小标宋简体" w:eastAsia="方正小标宋简体" w:cs="方正小标宋简体"/>
          <w:b w:val="0"/>
          <w:bCs/>
          <w:sz w:val="32"/>
          <w:szCs w:val="32"/>
          <w:lang w:eastAsia="zh-CN"/>
        </w:rPr>
        <w:t>函（</w:t>
      </w:r>
      <w:r>
        <w:rPr>
          <w:rFonts w:hint="eastAsia" w:ascii="方正小标宋简体" w:hAnsi="方正小标宋简体" w:eastAsia="方正小标宋简体" w:cs="方正小标宋简体"/>
          <w:b w:val="0"/>
          <w:bCs/>
          <w:sz w:val="32"/>
          <w:szCs w:val="32"/>
          <w:lang w:val="en-US" w:eastAsia="zh-CN"/>
        </w:rPr>
        <w:t>服务类</w:t>
      </w:r>
      <w:r>
        <w:rPr>
          <w:rFonts w:hint="eastAsia" w:ascii="方正小标宋简体" w:hAnsi="方正小标宋简体" w:eastAsia="方正小标宋简体" w:cs="方正小标宋简体"/>
          <w:b w:val="0"/>
          <w:bCs/>
          <w:sz w:val="32"/>
          <w:szCs w:val="32"/>
          <w:lang w:eastAsia="zh-CN"/>
        </w:rPr>
        <w:t>）</w:t>
      </w:r>
    </w:p>
    <w:p>
      <w:pPr>
        <w:spacing w:line="360" w:lineRule="auto"/>
        <w:rPr>
          <w:rFonts w:hint="eastAsia" w:ascii="宋体" w:hAnsi="宋体" w:eastAsia="宋体" w:cs="宋体"/>
          <w:b/>
          <w:sz w:val="21"/>
          <w:szCs w:val="21"/>
        </w:rPr>
      </w:pPr>
      <w:r>
        <w:rPr>
          <w:rFonts w:hint="eastAsia" w:ascii="宋体" w:hAnsi="宋体" w:cs="宋体"/>
          <w:b/>
          <w:sz w:val="21"/>
          <w:szCs w:val="21"/>
          <w:lang w:val="en-US" w:eastAsia="zh-CN"/>
        </w:rPr>
        <w:t>广东南方网络信息科技有限公司</w:t>
      </w:r>
      <w:r>
        <w:rPr>
          <w:rFonts w:hint="eastAsia" w:ascii="宋体" w:hAnsi="宋体" w:eastAsia="宋体" w:cs="宋体"/>
          <w:b/>
          <w:sz w:val="21"/>
          <w:szCs w:val="21"/>
        </w:rPr>
        <w:t>：</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val="en-US" w:eastAsia="zh-CN"/>
        </w:rPr>
        <w:t xml:space="preserve">  新媒体日常监测服务项目</w:t>
      </w:r>
      <w:r>
        <w:rPr>
          <w:rFonts w:hint="eastAsia" w:ascii="宋体" w:hAnsi="宋体" w:eastAsia="宋体" w:cs="宋体"/>
          <w:sz w:val="21"/>
          <w:szCs w:val="21"/>
          <w:u w:val="single"/>
          <w:lang w:eastAsia="zh-CN"/>
        </w:rPr>
        <w:t>（</w:t>
      </w:r>
      <w:r>
        <w:rPr>
          <w:rFonts w:hint="eastAsia" w:ascii="宋体" w:hAnsi="宋体" w:eastAsia="宋体" w:cs="宋体"/>
          <w:sz w:val="21"/>
          <w:szCs w:val="21"/>
          <w:u w:val="single"/>
        </w:rPr>
        <w:t>项目编号：</w:t>
      </w:r>
      <w:r>
        <w:rPr>
          <w:rFonts w:hint="eastAsia" w:ascii="宋体" w:hAnsi="宋体" w:cs="宋体"/>
          <w:sz w:val="21"/>
          <w:szCs w:val="21"/>
          <w:u w:val="single"/>
          <w:lang w:val="en-US" w:eastAsia="zh-CN"/>
        </w:rPr>
        <w:t xml:space="preserve">NFWJYCG2026028 </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1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7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1"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default" w:ascii="宋体" w:hAnsi="宋体" w:eastAsia="宋体" w:cs="宋体"/>
                <w:b w:val="0"/>
                <w:bCs w:val="0"/>
                <w:color w:val="000000"/>
                <w:kern w:val="0"/>
                <w:sz w:val="21"/>
                <w:szCs w:val="21"/>
                <w:lang w:val="en-US" w:bidi="ar"/>
              </w:rPr>
            </w:pPr>
            <w:r>
              <w:rPr>
                <w:rFonts w:hint="eastAsia" w:ascii="宋体" w:hAnsi="宋体" w:cs="宋体"/>
                <w:sz w:val="21"/>
                <w:szCs w:val="21"/>
                <w:u w:val="single"/>
                <w:lang w:val="en-US" w:eastAsia="zh-CN"/>
              </w:rPr>
              <w:t>新媒体日常监测服务项目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sz w:val="21"/>
                <w:szCs w:val="21"/>
                <w:u w:val="singl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pStyle w:val="12"/>
              <w:jc w:val="center"/>
              <w:rPr>
                <w:rFonts w:hint="default"/>
                <w:lang w:val="en-US" w:eastAsia="zh-CN"/>
              </w:rPr>
            </w:pPr>
            <w:r>
              <w:rPr>
                <w:rFonts w:hint="eastAsia" w:ascii="宋体" w:hAnsi="宋体" w:cs="宋体"/>
                <w:b w:val="0"/>
                <w:bCs w:val="0"/>
                <w:color w:val="000000"/>
                <w:sz w:val="21"/>
                <w:szCs w:val="21"/>
                <w:u w:val="single"/>
                <w:lang w:val="en-US" w:eastAsia="zh-CN"/>
              </w:rPr>
              <w:t xml:space="preserve">      </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pPr>
        <w:spacing w:line="360" w:lineRule="auto"/>
        <w:jc w:val="center"/>
        <w:rPr>
          <w:rFonts w:hint="eastAsia" w:ascii="方正小标宋简体" w:hAnsi="方正小标宋简体" w:eastAsia="方正小标宋简体" w:cs="方正小标宋简体"/>
          <w:b/>
          <w:sz w:val="32"/>
          <w:szCs w:val="32"/>
          <w:lang w:val="en-US" w:eastAsia="zh-CN"/>
        </w:rPr>
      </w:pPr>
    </w:p>
    <w:bookmarkEnd w:id="0"/>
    <w:bookmarkEnd w:id="1"/>
    <w:bookmarkEnd w:id="2"/>
    <w:bookmarkEnd w:id="3"/>
    <w:p>
      <w:pPr>
        <w:spacing w:line="360" w:lineRule="auto"/>
        <w:jc w:val="center"/>
        <w:rPr>
          <w:rFonts w:hint="eastAsia" w:ascii="方正小标宋简体" w:hAnsi="方正小标宋简体" w:eastAsia="方正小标宋简体" w:cs="方正小标宋简体"/>
          <w:b/>
          <w:sz w:val="32"/>
          <w:szCs w:val="32"/>
          <w:lang w:val="en-US" w:eastAsia="zh-CN"/>
        </w:rPr>
      </w:pPr>
    </w:p>
    <w:sectPr>
      <w:footerReference r:id="rId3" w:type="default"/>
      <w:pgSz w:w="11906" w:h="16838"/>
      <w:pgMar w:top="1587" w:right="1587" w:bottom="1304" w:left="1587" w:header="851" w:footer="70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362A18-ADA1-41B2-905A-C27B6B00F9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D5EDFDE6-89F5-4E18-AF86-FA12D2BA9B32}"/>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3" w:fontKey="{82227D08-ED1B-4D21-BBC2-99E8BB4C5F78}"/>
  </w:font>
  <w:font w:name="仿宋_GB2312">
    <w:panose1 w:val="02010609030101010101"/>
    <w:charset w:val="86"/>
    <w:family w:val="modern"/>
    <w:pitch w:val="default"/>
    <w:sig w:usb0="00000001" w:usb1="080E0000" w:usb2="00000000" w:usb3="00000000" w:csb0="00040000" w:csb1="00000000"/>
    <w:embedRegular r:id="rId4" w:fontKey="{03D529F2-847C-431C-B715-7A0EEB7D4584}"/>
  </w:font>
  <w:font w:name="方正仿宋_GB2312">
    <w:panose1 w:val="02000000000000000000"/>
    <w:charset w:val="86"/>
    <w:family w:val="auto"/>
    <w:pitch w:val="default"/>
    <w:sig w:usb0="A00002BF" w:usb1="184F6CFA" w:usb2="00000012" w:usb3="00000000" w:csb0="00040001" w:csb1="00000000"/>
    <w:embedRegular r:id="rId5" w:fontKey="{370F9F01-B4A0-452F-B50D-C906D15D9AA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25</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25</w:t>
                    </w:r>
                    <w:r>
                      <w:t>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7EC89450"/>
    <w:multiLevelType w:val="singleLevel"/>
    <w:tmpl w:val="7EC89450"/>
    <w:lvl w:ilvl="0" w:tentative="0">
      <w:start w:val="1"/>
      <w:numFmt w:val="decimal"/>
      <w:suff w:val="nothing"/>
      <w:lvlText w:val="（%1）"/>
      <w:lvlJc w:val="left"/>
    </w:lvl>
  </w:abstractNum>
  <w:num w:numId="1">
    <w:abstractNumId w:val="2"/>
  </w:num>
  <w:num w:numId="2">
    <w:abstractNumId w:val="5"/>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NzRiYmI0MzQxODI0NmY4MTRkZmExMDk4MzVlZjcifQ=="/>
  </w:docVars>
  <w:rsids>
    <w:rsidRoot w:val="41076707"/>
    <w:rsid w:val="0432510A"/>
    <w:rsid w:val="08124DC5"/>
    <w:rsid w:val="0EB16484"/>
    <w:rsid w:val="0F030443"/>
    <w:rsid w:val="12025557"/>
    <w:rsid w:val="14F361E8"/>
    <w:rsid w:val="17456D2B"/>
    <w:rsid w:val="18BE7081"/>
    <w:rsid w:val="1FBF5B37"/>
    <w:rsid w:val="259505AF"/>
    <w:rsid w:val="2B8359DF"/>
    <w:rsid w:val="30350128"/>
    <w:rsid w:val="32215A82"/>
    <w:rsid w:val="39395969"/>
    <w:rsid w:val="41076707"/>
    <w:rsid w:val="41CE0B4A"/>
    <w:rsid w:val="44DA4549"/>
    <w:rsid w:val="4D3567AE"/>
    <w:rsid w:val="4DF816BE"/>
    <w:rsid w:val="5B661FB2"/>
    <w:rsid w:val="5B751601"/>
    <w:rsid w:val="5B86306C"/>
    <w:rsid w:val="5C9D4D14"/>
    <w:rsid w:val="5D015E5C"/>
    <w:rsid w:val="5F4B37FB"/>
    <w:rsid w:val="61E508DE"/>
    <w:rsid w:val="66803392"/>
    <w:rsid w:val="6A9C5F39"/>
    <w:rsid w:val="6C732E81"/>
    <w:rsid w:val="6CF92856"/>
    <w:rsid w:val="6F1108CD"/>
    <w:rsid w:val="738F33FE"/>
    <w:rsid w:val="77534E09"/>
    <w:rsid w:val="7917674D"/>
    <w:rsid w:val="7A3D417F"/>
    <w:rsid w:val="7B8E1D26"/>
    <w:rsid w:val="7C650727"/>
    <w:rsid w:val="7F8756D1"/>
    <w:rsid w:val="7FF81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after="120" w:line="360" w:lineRule="auto"/>
      <w:outlineLvl w:val="0"/>
    </w:pPr>
    <w:rPr>
      <w:rFonts w:ascii="方正小标宋简体" w:eastAsia="方正小标宋简体"/>
      <w:color w:val="auto"/>
      <w:kern w:val="44"/>
      <w:sz w:val="44"/>
      <w:szCs w:val="44"/>
    </w:rPr>
  </w:style>
  <w:style w:type="paragraph" w:styleId="5">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570"/>
    </w:pPr>
    <w:rPr>
      <w:sz w:val="28"/>
    </w:rPr>
  </w:style>
  <w:style w:type="paragraph" w:styleId="6">
    <w:name w:val="Normal Indent"/>
    <w:basedOn w:val="1"/>
    <w:next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9"/>
    <w:qFormat/>
    <w:uiPriority w:val="99"/>
    <w:pPr>
      <w:spacing w:after="120"/>
    </w:pPr>
  </w:style>
  <w:style w:type="paragraph" w:styleId="9">
    <w:name w:val="Quote"/>
    <w:basedOn w:val="1"/>
    <w:next w:val="1"/>
    <w:qFormat/>
    <w:uiPriority w:val="29"/>
    <w:rPr>
      <w:i/>
      <w:iCs/>
      <w:color w:val="000000"/>
    </w:rPr>
  </w:style>
  <w:style w:type="paragraph" w:styleId="10">
    <w:name w:val="footer"/>
    <w:basedOn w:val="1"/>
    <w:unhideWhenUsed/>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First Indent"/>
    <w:basedOn w:val="8"/>
    <w:qFormat/>
    <w:uiPriority w:val="0"/>
    <w:pPr>
      <w:spacing w:after="120"/>
      <w:ind w:firstLine="420"/>
      <w:jc w:val="both"/>
    </w:pPr>
    <w:rPr>
      <w:sz w:val="21"/>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paragraph" w:customStyle="1" w:styleId="17">
    <w:name w:val="_Style 3"/>
    <w:basedOn w:val="1"/>
    <w:next w:val="18"/>
    <w:qFormat/>
    <w:uiPriority w:val="0"/>
    <w:pPr>
      <w:ind w:firstLine="420" w:firstLineChars="200"/>
    </w:pPr>
    <w:rPr>
      <w:rFonts w:ascii="等线" w:hAnsi="等线" w:eastAsia="等线" w:cs="Times New Roman"/>
      <w:sz w:val="20"/>
    </w:rPr>
  </w:style>
  <w:style w:type="paragraph" w:customStyle="1" w:styleId="18">
    <w:name w:val="List Paragraph1"/>
    <w:basedOn w:val="1"/>
    <w:qFormat/>
    <w:uiPriority w:val="99"/>
    <w:pPr>
      <w:ind w:firstLine="420" w:firstLineChars="200"/>
    </w:pPr>
  </w:style>
  <w:style w:type="paragraph" w:customStyle="1" w:styleId="19">
    <w:name w:val="bt1bt1"/>
    <w:basedOn w:val="4"/>
    <w:qFormat/>
    <w:uiPriority w:val="0"/>
    <w:pPr>
      <w:spacing w:line="240" w:lineRule="auto"/>
      <w:jc w:val="center"/>
    </w:pPr>
    <w:rPr>
      <w:rFonts w:ascii="黑体" w:eastAsia="黑体"/>
      <w:sz w:val="36"/>
      <w:szCs w:val="36"/>
    </w:rPr>
  </w:style>
  <w:style w:type="paragraph" w:customStyle="1" w:styleId="20">
    <w:name w:val="正文00"/>
    <w:basedOn w:val="1"/>
    <w:qFormat/>
    <w:uiPriority w:val="0"/>
    <w:pPr>
      <w:topLinePunct/>
      <w:spacing w:line="360" w:lineRule="auto"/>
      <w:ind w:firstLine="200" w:firstLineChars="200"/>
    </w:pPr>
    <w:rPr>
      <w:sz w:val="24"/>
      <w:szCs w:val="21"/>
    </w:rPr>
  </w:style>
  <w:style w:type="paragraph" w:styleId="2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2642</Words>
  <Characters>2744</Characters>
  <Lines>0</Lines>
  <Paragraphs>0</Paragraphs>
  <TotalTime>43</TotalTime>
  <ScaleCrop>false</ScaleCrop>
  <LinksUpToDate>false</LinksUpToDate>
  <CharactersWithSpaces>2842</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2026-01-07T10:11:00Z</dcterms:created>
  <dc:creator>用户</dc:creator>
  <cp:lastModifiedBy>刘斯维</cp:lastModifiedBy>
  <cp:lastPrinted>2026-07-15T07:29:00Z</cp:lastPrinted>
  <dcterms:modified xsi:type="dcterms:W3CDTF">2026-07-17T06:39:42Z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DADDA433E12B4E108EB700CC79D1A39E_13</vt:lpwstr>
  </property>
  <property fmtid="{D5CDD505-2E9C-101B-9397-08002B2CF9AE}" pid="4" name="KSOTemplateDocerSaveRecord">
    <vt:lpwstr>eyJoZGlkIjoiN2FiNjI3ZWJlZTc3N2EyYjIwMzRlZjY4NjhmZDRkMWIiLCJ1c2VySWQiOiI5OTEwNzE5MDgifQ==</vt:lpwstr>
  </property>
</Properties>
</file>