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ascii="黑体" w:hAnsi="黑体" w:eastAsia="黑体"/>
          <w:spacing w:val="40"/>
          <w:sz w:val="52"/>
        </w:rPr>
      </w:pPr>
      <w:r>
        <w:rPr>
          <w:rFonts w:hint="eastAsia" w:ascii="黑体" w:hAnsi="黑体" w:eastAsia="黑体"/>
          <w:spacing w:val="40"/>
          <w:sz w:val="44"/>
          <w:szCs w:val="44"/>
        </w:rPr>
        <w:t>文艺创作征集及宣推项目</w:t>
      </w:r>
      <w:r>
        <w:rPr>
          <w:rFonts w:hint="eastAsia" w:ascii="黑体" w:hAnsi="黑体" w:eastAsia="黑体"/>
          <w:spacing w:val="40"/>
          <w:sz w:val="36"/>
        </w:rPr>
        <w:t xml:space="preserve">                           </w:t>
      </w: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项目编号：ND26070071GZ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ascii="宋体" w:hAnsi="宋体" w:cs="宋体"/>
          <w:sz w:val="28"/>
          <w:szCs w:val="28"/>
        </w:rPr>
      </w:pPr>
      <w:bookmarkStart w:id="1" w:name="_Toc1651923"/>
      <w:bookmarkStart w:id="2" w:name="_Toc54357675"/>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经认真阅读文艺创作征集及宣推项目采购公告及附件（项目编号：</w:t>
      </w:r>
      <w:r>
        <w:rPr>
          <w:rFonts w:hint="eastAsia"/>
          <w:bCs/>
          <w:sz w:val="24"/>
          <w:u w:val="single"/>
        </w:rPr>
        <w:t>ND26070071GZ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sz w:val="24"/>
              </w:rPr>
            </w:pPr>
            <w:r>
              <w:rPr>
                <w:rFonts w:hint="eastAsia" w:ascii="宋体" w:hAnsi="宋体" w:cs="仿宋"/>
                <w:sz w:val="24"/>
              </w:rPr>
              <w:t>成交供应商（乙方）应按照采购方（甲方)要求及时签署合同，并接受下列条款。</w:t>
            </w:r>
          </w:p>
          <w:p>
            <w:pPr>
              <w:ind w:firstLine="480" w:firstLineChars="200"/>
              <w:rPr>
                <w:rFonts w:ascii="宋体" w:hAnsi="宋体" w:cs="仿宋"/>
                <w:sz w:val="24"/>
              </w:rPr>
            </w:pPr>
            <w:r>
              <w:rPr>
                <w:rFonts w:hint="eastAsia" w:ascii="宋体" w:hAnsi="宋体" w:cs="仿宋"/>
                <w:sz w:val="24"/>
              </w:rPr>
              <w:t>1.服务期限：以实际签订合同时间为准。</w:t>
            </w:r>
          </w:p>
          <w:p>
            <w:pPr>
              <w:ind w:firstLine="480" w:firstLineChars="200"/>
              <w:rPr>
                <w:rFonts w:ascii="宋体" w:hAnsi="宋体" w:cs="仿宋"/>
                <w:color w:val="auto"/>
                <w:sz w:val="24"/>
              </w:rPr>
            </w:pPr>
            <w:r>
              <w:rPr>
                <w:rFonts w:hint="eastAsia" w:ascii="宋体" w:hAnsi="宋体" w:cs="仿宋"/>
                <w:color w:val="auto"/>
                <w:sz w:val="24"/>
              </w:rPr>
              <w:t>2.服务地点：</w:t>
            </w:r>
            <w:r>
              <w:rPr>
                <w:rFonts w:hint="eastAsia" w:ascii="宋体" w:hAnsi="宋体" w:cs="仿宋"/>
                <w:color w:val="auto"/>
                <w:sz w:val="24"/>
                <w:lang w:val="en-US" w:eastAsia="zh-CN"/>
              </w:rPr>
              <w:t>广东省</w:t>
            </w:r>
            <w:r>
              <w:rPr>
                <w:rFonts w:hint="eastAsia" w:ascii="宋体" w:hAnsi="宋体" w:cs="仿宋"/>
                <w:color w:val="auto"/>
                <w:sz w:val="24"/>
              </w:rPr>
              <w:t>。</w:t>
            </w:r>
          </w:p>
          <w:p>
            <w:pPr>
              <w:ind w:firstLine="480" w:firstLineChars="200"/>
              <w:rPr>
                <w:rFonts w:ascii="宋体" w:hAnsi="宋体" w:cs="仿宋"/>
                <w:color w:val="auto"/>
                <w:sz w:val="24"/>
              </w:rPr>
            </w:pPr>
            <w:r>
              <w:rPr>
                <w:rFonts w:hint="eastAsia" w:ascii="宋体" w:hAnsi="宋体" w:cs="仿宋"/>
                <w:color w:val="auto"/>
                <w:sz w:val="24"/>
              </w:rPr>
              <w:t>3.付款方式：预留合同总额的</w:t>
            </w:r>
            <w:r>
              <w:rPr>
                <w:rFonts w:hint="eastAsia" w:ascii="宋体" w:hAnsi="宋体" w:cs="仿宋"/>
                <w:color w:val="auto"/>
                <w:sz w:val="24"/>
                <w:lang w:val="en-US" w:eastAsia="zh-CN"/>
              </w:rPr>
              <w:t>5</w:t>
            </w:r>
            <w:r>
              <w:rPr>
                <w:rFonts w:hint="eastAsia" w:ascii="宋体" w:hAnsi="宋体" w:cs="仿宋"/>
                <w:color w:val="auto"/>
                <w:sz w:val="24"/>
              </w:rPr>
              <w:t>0%，在项目验收通过后支付。</w:t>
            </w:r>
          </w:p>
          <w:p>
            <w:pPr>
              <w:ind w:firstLine="480" w:firstLineChars="200"/>
              <w:rPr>
                <w:rFonts w:ascii="宋体" w:hAnsi="宋体" w:cs="仿宋"/>
                <w:sz w:val="24"/>
              </w:rPr>
            </w:pPr>
            <w:r>
              <w:rPr>
                <w:rFonts w:hint="eastAsia" w:ascii="宋体" w:hAnsi="宋体" w:cs="仿宋"/>
                <w:color w:val="auto"/>
                <w:sz w:val="24"/>
              </w:rPr>
              <w:t>4.甲方的权利和义务:(1)确定本项目中各项服务的具体</w:t>
            </w:r>
            <w:r>
              <w:rPr>
                <w:rFonts w:hint="eastAsia" w:ascii="宋体" w:hAnsi="宋体" w:cs="仿宋"/>
                <w:sz w:val="24"/>
              </w:rPr>
              <w:t>内容;(2)甲方须向乙方提供相关人员询问的便利，并提供专人配合;(3)在合同服务期限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仿宋" w:hAnsi="仿宋" w:eastAsia="仿宋" w:cs="仿宋"/>
          <w:b/>
          <w:bCs/>
          <w:szCs w:val="21"/>
        </w:rPr>
      </w:pPr>
    </w:p>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经认真阅读文艺创作征集及宣推项目采购公告及附件（项目编号：ND26070071GZ）我方已完全了解本项目的商务与技术要求，承诺按照采购文件的要求提供产品和服务，报价如下。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rPr>
          <w:rFonts w:cs="宋体"/>
          <w:bCs/>
          <w:sz w:val="24"/>
        </w:rPr>
      </w:pPr>
      <w:r>
        <w:rPr>
          <w:rFonts w:hint="eastAsia" w:cs="宋体"/>
          <w:bCs/>
          <w:sz w:val="24"/>
        </w:rPr>
        <w:t>分项明细报价如下（单价和小计由我司填写，其他与采购公告文件一致）：</w:t>
      </w:r>
    </w:p>
    <w:p>
      <w:pPr>
        <w:numPr>
          <w:ilvl w:val="255"/>
          <w:numId w:val="0"/>
        </w:numPr>
      </w:pPr>
    </w:p>
    <w:tbl>
      <w:tblPr>
        <w:tblStyle w:val="38"/>
        <w:tblW w:w="9218" w:type="dxa"/>
        <w:jc w:val="center"/>
        <w:tblLayout w:type="autofit"/>
        <w:tblCellMar>
          <w:top w:w="15" w:type="dxa"/>
          <w:left w:w="15" w:type="dxa"/>
          <w:bottom w:w="15" w:type="dxa"/>
          <w:right w:w="15" w:type="dxa"/>
        </w:tblCellMar>
      </w:tblPr>
      <w:tblGrid>
        <w:gridCol w:w="752"/>
        <w:gridCol w:w="1671"/>
        <w:gridCol w:w="3672"/>
        <w:gridCol w:w="804"/>
        <w:gridCol w:w="1084"/>
        <w:gridCol w:w="1235"/>
      </w:tblGrid>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1671"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lang w:eastAsia="zh-Hans"/>
              </w:rPr>
            </w:pPr>
            <w:r>
              <w:rPr>
                <w:rFonts w:hint="eastAsia" w:ascii="宋体" w:hAnsi="宋体" w:cs="宋体"/>
                <w:b/>
                <w:color w:val="000000"/>
                <w:sz w:val="24"/>
                <w:lang w:eastAsia="zh-Hans"/>
              </w:rPr>
              <w:t>类别</w:t>
            </w:r>
          </w:p>
        </w:tc>
        <w:tc>
          <w:tcPr>
            <w:tcW w:w="367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服务内容</w:t>
            </w:r>
          </w:p>
        </w:tc>
        <w:tc>
          <w:tcPr>
            <w:tcW w:w="80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c>
          <w:tcPr>
            <w:tcW w:w="108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单价</w:t>
            </w:r>
          </w:p>
        </w:tc>
        <w:tc>
          <w:tcPr>
            <w:tcW w:w="123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1</w:t>
            </w:r>
          </w:p>
        </w:tc>
        <w:tc>
          <w:tcPr>
            <w:tcW w:w="1671" w:type="dxa"/>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b w:val="0"/>
                <w:bCs/>
                <w:color w:val="000000"/>
                <w:sz w:val="21"/>
                <w:szCs w:val="21"/>
                <w:lang w:val="en-US" w:eastAsia="zh-CN"/>
              </w:rPr>
            </w:pPr>
            <w:r>
              <w:rPr>
                <w:rFonts w:hint="eastAsia" w:ascii="仿宋" w:hAnsi="仿宋" w:eastAsia="仿宋" w:cs="仿宋"/>
                <w:b w:val="0"/>
                <w:bCs/>
                <w:color w:val="000000"/>
                <w:sz w:val="21"/>
                <w:szCs w:val="21"/>
                <w:lang w:val="en-US" w:eastAsia="zh-CN"/>
              </w:rPr>
              <w:t>评审及配套保障</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numPr>
                <w:ilvl w:val="0"/>
                <w:numId w:val="0"/>
              </w:numPr>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依据项目内容、服务周期及行业推广渠道标准测算，包括协助提供评审服务保障、评审专家邀约服务及相关配套服务费用等，具体如下：</w:t>
            </w:r>
          </w:p>
          <w:p>
            <w:pPr>
              <w:widowControl/>
              <w:numPr>
                <w:ilvl w:val="0"/>
                <w:numId w:val="3"/>
              </w:numPr>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评审保障服务：协助采购方开展项目评审服务，包括但不限于线上征集服务支撑、征集渠道协助、邀请不少于5名国内权威自身文艺创作专家，组建项目专家评审团，开展文艺作品评审。</w:t>
            </w:r>
          </w:p>
          <w:p>
            <w:pPr>
              <w:widowControl/>
              <w:numPr>
                <w:numId w:val="0"/>
              </w:numPr>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注：约有100部文艺作品参与评选</w:t>
            </w:r>
            <w:bookmarkStart w:id="9" w:name="_GoBack"/>
            <w:bookmarkEnd w:id="9"/>
            <w:r>
              <w:rPr>
                <w:rFonts w:hint="eastAsia" w:ascii="仿宋" w:hAnsi="仿宋" w:eastAsia="仿宋" w:cs="仿宋"/>
                <w:i w:val="0"/>
                <w:iCs w:val="0"/>
                <w:color w:val="000000"/>
                <w:kern w:val="0"/>
                <w:sz w:val="21"/>
                <w:szCs w:val="21"/>
                <w:u w:val="none"/>
                <w:lang w:val="en-US" w:eastAsia="zh-CN" w:bidi="ar"/>
              </w:rPr>
              <w:t>，评审时间不少于3天；</w:t>
            </w:r>
          </w:p>
          <w:p>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2.配套服务：辅助会务执行，配备执行人员，包括不限于保障参与评审专家的相关服务费用及落地物料等等。</w:t>
            </w:r>
          </w:p>
          <w:p>
            <w:pPr>
              <w:widowControl/>
              <w:numPr>
                <w:ilvl w:val="0"/>
                <w:numId w:val="0"/>
              </w:numPr>
              <w:jc w:val="both"/>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注：1.请在服务方案内提供拟邀请专家名单及个人简介。2.本项限价10万元。</w:t>
            </w:r>
          </w:p>
        </w:tc>
        <w:tc>
          <w:tcPr>
            <w:tcW w:w="804" w:type="dxa"/>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宋体" w:hAnsi="宋体" w:eastAsia="宋体" w:cs="宋体"/>
                <w:b/>
                <w:color w:val="000000"/>
                <w:kern w:val="0"/>
                <w:sz w:val="24"/>
                <w:lang w:val="en-US" w:eastAsia="zh-CN" w:bidi="ar"/>
              </w:rPr>
            </w:pPr>
            <w:r>
              <w:rPr>
                <w:rFonts w:hint="eastAsia" w:ascii="仿宋" w:hAnsi="仿宋" w:eastAsia="仿宋" w:cs="仿宋"/>
                <w:i w:val="0"/>
                <w:iCs w:val="0"/>
                <w:color w:val="000000"/>
                <w:kern w:val="0"/>
                <w:sz w:val="21"/>
                <w:szCs w:val="21"/>
                <w:u w:val="none"/>
                <w:lang w:val="en-US" w:eastAsia="zh-CN" w:bidi="ar"/>
              </w:rPr>
              <w:t>1项</w:t>
            </w:r>
          </w:p>
        </w:tc>
        <w:tc>
          <w:tcPr>
            <w:tcW w:w="1084" w:type="dxa"/>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kern w:val="0"/>
                <w:sz w:val="24"/>
                <w:lang w:bidi="ar"/>
              </w:rPr>
            </w:pPr>
          </w:p>
        </w:tc>
        <w:tc>
          <w:tcPr>
            <w:tcW w:w="1235" w:type="dxa"/>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kern w:val="0"/>
                <w:sz w:val="24"/>
                <w:lang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eastAsia="宋体" w:cs="宋体"/>
                <w:b/>
                <w:color w:val="000000"/>
                <w:kern w:val="0"/>
                <w:sz w:val="24"/>
                <w:lang w:val="en-US" w:eastAsia="zh-CN" w:bidi="ar"/>
              </w:rPr>
            </w:pPr>
            <w:r>
              <w:rPr>
                <w:rFonts w:hint="eastAsia" w:ascii="宋体" w:hAnsi="宋体" w:cs="宋体"/>
                <w:b/>
                <w:color w:val="000000"/>
                <w:kern w:val="0"/>
                <w:sz w:val="24"/>
                <w:lang w:val="en-US" w:eastAsia="zh-CN" w:bidi="ar"/>
              </w:rPr>
              <w:t>2</w:t>
            </w:r>
          </w:p>
        </w:tc>
        <w:tc>
          <w:tcPr>
            <w:tcW w:w="1671"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b w:val="0"/>
                <w:bCs/>
                <w:color w:val="000000"/>
                <w:sz w:val="21"/>
                <w:szCs w:val="21"/>
                <w:lang w:val="en-US" w:eastAsia="zh-CN"/>
              </w:rPr>
            </w:pPr>
            <w:r>
              <w:rPr>
                <w:rFonts w:hint="eastAsia" w:ascii="仿宋" w:hAnsi="仿宋" w:eastAsia="仿宋" w:cs="仿宋"/>
                <w:b w:val="0"/>
                <w:bCs/>
                <w:color w:val="000000"/>
                <w:sz w:val="21"/>
                <w:szCs w:val="21"/>
                <w:lang w:val="en-US" w:eastAsia="zh-CN"/>
              </w:rPr>
              <w:t>媒体宣推及宣传物料制作服务</w:t>
            </w: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default" w:ascii="宋体" w:hAnsi="宋体" w:eastAsia="宋体" w:cs="宋体"/>
                <w:b/>
                <w:color w:val="000000"/>
                <w:kern w:val="0"/>
                <w:sz w:val="24"/>
                <w:lang w:val="en-US" w:eastAsia="zh-CN" w:bidi="ar"/>
              </w:rPr>
            </w:pPr>
            <w:r>
              <w:rPr>
                <w:rFonts w:hint="eastAsia" w:ascii="仿宋" w:hAnsi="仿宋" w:eastAsia="仿宋" w:cs="仿宋"/>
                <w:i w:val="0"/>
                <w:iCs w:val="0"/>
                <w:color w:val="000000"/>
                <w:kern w:val="0"/>
                <w:sz w:val="21"/>
                <w:szCs w:val="21"/>
                <w:u w:val="none"/>
                <w:lang w:val="en-US" w:eastAsia="zh-CN" w:bidi="ar"/>
              </w:rPr>
              <w:t>1.外媒宣传及推广服务：整体活动节点上提供传统媒体宣传、线上新媒体平台发布，包括但不限于传统媒体、线上新媒体等；</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注：整体活动节点上提供传统媒体宣传、线上新媒体平台发布。</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bidi="ar"/>
              </w:rPr>
            </w:pPr>
            <w:r>
              <w:rPr>
                <w:rFonts w:hint="eastAsia" w:ascii="仿宋" w:hAnsi="仿宋" w:eastAsia="仿宋" w:cs="仿宋"/>
                <w:i w:val="0"/>
                <w:iCs w:val="0"/>
                <w:color w:val="000000"/>
                <w:kern w:val="0"/>
                <w:sz w:val="21"/>
                <w:szCs w:val="21"/>
                <w:u w:val="none"/>
                <w:lang w:val="en-US" w:eastAsia="zh-CN" w:bidi="ar"/>
              </w:rPr>
              <w:t>1项</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eastAsia="zh-CN" w:bidi="ar"/>
              </w:rPr>
            </w:pPr>
            <w:r>
              <w:rPr>
                <w:rFonts w:hint="eastAsia" w:ascii="宋体" w:hAnsi="宋体" w:cs="宋体"/>
                <w:b/>
                <w:color w:val="000000"/>
                <w:kern w:val="0"/>
                <w:sz w:val="24"/>
                <w:lang w:val="en-US" w:eastAsia="zh-CN" w:bidi="ar"/>
              </w:rPr>
              <w:t>3</w:t>
            </w:r>
          </w:p>
        </w:tc>
        <w:tc>
          <w:tcPr>
            <w:tcW w:w="1671" w:type="dxa"/>
            <w:vMerge w:val="continue"/>
            <w:tcBorders>
              <w:left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sz w:val="24"/>
                <w:lang w:val="en-US" w:eastAsia="zh-CN"/>
              </w:rPr>
            </w:pP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宣传物料制作：配合项目宣传效果需要，结合实际情况制作一批宣传物料，包括不限于主画面、宣传立牌不少于1个、KT板预计2个、易拉宝不少于8个、亚克力水牌预计20个等以及作品资料印刷以报名资料数量为准，打印与制作内容需采购方确认后方可制作并据实结算。</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bidi="ar"/>
              </w:rPr>
            </w:pPr>
            <w:r>
              <w:rPr>
                <w:rFonts w:hint="eastAsia" w:ascii="仿宋" w:hAnsi="仿宋" w:eastAsia="仿宋" w:cs="仿宋"/>
                <w:i w:val="0"/>
                <w:iCs w:val="0"/>
                <w:color w:val="000000"/>
                <w:kern w:val="0"/>
                <w:sz w:val="21"/>
                <w:szCs w:val="21"/>
                <w:u w:val="none"/>
                <w:lang w:val="en-US" w:eastAsia="zh-CN" w:bidi="ar"/>
              </w:rPr>
              <w:t>1项</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eastAsia="zh-Hans" w:bidi="ar"/>
              </w:rPr>
            </w:pP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eastAsia="zh-CN" w:bidi="ar"/>
              </w:rPr>
            </w:pPr>
            <w:r>
              <w:rPr>
                <w:rFonts w:hint="eastAsia" w:ascii="宋体" w:hAnsi="宋体" w:cs="宋体"/>
                <w:b/>
                <w:color w:val="000000"/>
                <w:kern w:val="0"/>
                <w:sz w:val="24"/>
                <w:lang w:val="en-US" w:eastAsia="zh-CN" w:bidi="ar"/>
              </w:rPr>
              <w:t>4</w:t>
            </w:r>
          </w:p>
        </w:tc>
        <w:tc>
          <w:tcPr>
            <w:tcW w:w="1671" w:type="dxa"/>
            <w:vMerge w:val="continue"/>
            <w:tcBorders>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cs="宋体"/>
                <w:b/>
                <w:color w:val="000000"/>
                <w:sz w:val="24"/>
                <w:lang w:val="en-US" w:eastAsia="zh-CN"/>
              </w:rPr>
            </w:pPr>
          </w:p>
        </w:tc>
        <w:tc>
          <w:tcPr>
            <w:tcW w:w="3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numPr>
                <w:ilvl w:val="0"/>
                <w:numId w:val="4"/>
              </w:numPr>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宣传视频制作：</w:t>
            </w:r>
          </w:p>
          <w:p>
            <w:pPr>
              <w:widowControl/>
              <w:numPr>
                <w:ilvl w:val="0"/>
                <w:numId w:val="5"/>
              </w:numPr>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协助甲方视频制作工作，视频为作品内容宣传视频，包括不限于提供素材、版权等，保证均为正版授权，无版权纠纷；成片及相关素材的完整知识产权（包括著作权、所有权等）均归采购方所有。</w:t>
            </w:r>
          </w:p>
          <w:p>
            <w:pPr>
              <w:widowControl/>
              <w:numPr>
                <w:ilvl w:val="0"/>
                <w:numId w:val="5"/>
              </w:numPr>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提供视频剪辑所需的制作条件。</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bidi="ar"/>
              </w:rPr>
            </w:pPr>
            <w:r>
              <w:rPr>
                <w:rFonts w:hint="eastAsia" w:ascii="仿宋" w:hAnsi="仿宋" w:eastAsia="仿宋" w:cs="仿宋"/>
                <w:i w:val="0"/>
                <w:iCs w:val="0"/>
                <w:color w:val="000000"/>
                <w:kern w:val="0"/>
                <w:sz w:val="21"/>
                <w:szCs w:val="21"/>
                <w:u w:val="none"/>
                <w:lang w:val="en-US" w:eastAsia="zh-CN" w:bidi="ar"/>
              </w:rPr>
              <w:t>1项</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bidi="ar"/>
              </w:rPr>
            </w:pP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宋体" w:hAnsi="宋体" w:cs="宋体"/>
                <w:b/>
                <w:color w:val="000000"/>
                <w:kern w:val="0"/>
                <w:sz w:val="24"/>
                <w:lang w:val="en-US" w:eastAsia="zh-Hans" w:bidi="ar"/>
              </w:rPr>
            </w:pPr>
          </w:p>
        </w:tc>
      </w:tr>
    </w:tbl>
    <w:p>
      <w:pPr>
        <w:numPr>
          <w:ilvl w:val="255"/>
          <w:numId w:val="0"/>
        </w:numPr>
      </w:pP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ascii="宋体" w:hAnsi="宋体" w:cs="宋体"/>
          <w:sz w:val="24"/>
        </w:rPr>
      </w:pPr>
      <w:r>
        <w:rPr>
          <w:rFonts w:hint="eastAsia" w:ascii="宋体" w:hAnsi="宋体" w:cs="宋体"/>
          <w:sz w:val="24"/>
        </w:rPr>
        <w:t>2、项目服务要求的具体解决方案，</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ascii="宋体" w:hAnsi="宋体" w:cs="宋体"/>
          <w:sz w:val="24"/>
        </w:rPr>
      </w:pPr>
      <w:r>
        <w:rPr>
          <w:rFonts w:hint="eastAsia" w:ascii="宋体" w:hAnsi="宋体" w:cs="宋体"/>
          <w:sz w:val="24"/>
        </w:rPr>
        <w:t>4、项目实施进度计划；</w:t>
      </w:r>
    </w:p>
    <w:p>
      <w:pPr>
        <w:spacing w:line="360" w:lineRule="auto"/>
        <w:rPr>
          <w:rFonts w:ascii="宋体" w:hAnsi="宋体" w:cs="宋体"/>
          <w:sz w:val="24"/>
        </w:rPr>
      </w:pPr>
      <w:r>
        <w:rPr>
          <w:rFonts w:hint="eastAsia" w:ascii="宋体" w:hAnsi="宋体" w:cs="宋体"/>
          <w:sz w:val="24"/>
        </w:rPr>
        <w:t>5、服务质量保证措施；</w:t>
      </w:r>
    </w:p>
    <w:p>
      <w:pPr>
        <w:spacing w:line="360" w:lineRule="auto"/>
        <w:rPr>
          <w:rFonts w:ascii="宋体" w:hAnsi="宋体" w:cs="宋体"/>
          <w:sz w:val="24"/>
        </w:rPr>
      </w:pPr>
      <w:r>
        <w:rPr>
          <w:rFonts w:hint="eastAsia" w:ascii="宋体" w:hAnsi="宋体" w:cs="宋体"/>
          <w:sz w:val="24"/>
        </w:rPr>
        <w:t>6、项目服务团队及技术资质。</w:t>
      </w:r>
    </w:p>
    <w:p>
      <w:pPr>
        <w:spacing w:line="360" w:lineRule="auto"/>
        <w:rPr>
          <w:rStyle w:val="44"/>
        </w:rPr>
      </w:pPr>
    </w:p>
    <w:p>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3" w:name="_Toc54357656"/>
      <w:bookmarkStart w:id="4" w:name="_Toc475472674"/>
      <w:bookmarkStart w:id="5" w:name="_Toc1651899"/>
      <w:r>
        <w:rPr>
          <w:rFonts w:hint="eastAsia" w:ascii="宋体" w:hAnsi="宋体" w:cs="宋体"/>
          <w:sz w:val="28"/>
          <w:szCs w:val="28"/>
        </w:rPr>
        <w:t>五、授权代表证明资料</w:t>
      </w:r>
    </w:p>
    <w:p>
      <w:pPr>
        <w:pStyle w:val="3"/>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3"/>
      <w:bookmarkEnd w:id="4"/>
      <w:bookmarkEnd w:id="5"/>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3"/>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3"/>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4"/>
        <w:rPr>
          <w:rFonts w:ascii="宋体" w:hAnsi="宋体" w:eastAsia="宋体" w:cs="宋体"/>
          <w:sz w:val="18"/>
          <w:szCs w:val="18"/>
        </w:rPr>
      </w:pPr>
    </w:p>
    <w:p>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eastAsia"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eastAsia" w:hAnsi="宋体"/>
                        <w:b/>
                        <w:spacing w:val="40"/>
                        <w:sz w:val="24"/>
                        <w:szCs w:val="24"/>
                        <w:u w:val="single"/>
                      </w:rPr>
                    </w:sdtEndPr>
                    <w:sdtContent>
                      <w:r>
                        <w:rPr>
                          <w:rFonts w:hint="eastAsia" w:hAnsi="宋体"/>
                          <w:b/>
                          <w:sz w:val="24"/>
                          <w:szCs w:val="24"/>
                          <w:u w:val="single"/>
                        </w:rPr>
                        <w:t>文艺创作征集及宣推项目</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：ND26070071GZ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docGrid w:type="lines" w:linePitch="312" w:charSpace="0"/>
        </w:sectPr>
      </w:pPr>
    </w:p>
    <w:p>
      <w:pPr>
        <w:pStyle w:val="36"/>
        <w:tabs>
          <w:tab w:val="left" w:pos="588"/>
        </w:tabs>
        <w:snapToGrid w:val="0"/>
        <w:spacing w:before="0" w:after="156" w:afterLines="50" w:line="360" w:lineRule="auto"/>
        <w:rPr>
          <w:rFonts w:ascii="宋体" w:hAnsi="宋体" w:cs="宋体"/>
          <w:kern w:val="0"/>
          <w:sz w:val="28"/>
          <w:szCs w:val="28"/>
        </w:rPr>
      </w:pPr>
      <w:bookmarkStart w:id="6" w:name="_Toc1651903"/>
      <w:bookmarkStart w:id="7" w:name="_Toc475472676"/>
      <w:bookmarkStart w:id="8" w:name="_Toc34146941"/>
      <w:r>
        <w:rPr>
          <w:rFonts w:hint="eastAsia" w:ascii="宋体" w:hAnsi="宋体" w:cs="宋体"/>
          <w:kern w:val="0"/>
          <w:sz w:val="28"/>
          <w:szCs w:val="28"/>
        </w:rPr>
        <w:t>六、供应商项目实施能力证明资料</w:t>
      </w:r>
      <w:bookmarkEnd w:id="6"/>
      <w:bookmarkEnd w:id="7"/>
      <w:bookmarkEnd w:id="8"/>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rPr>
      <w:t>文艺创作征集及宣推项目（项目编号：ND26070071GZ）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CFB552AE"/>
    <w:multiLevelType w:val="singleLevel"/>
    <w:tmpl w:val="CFB552AE"/>
    <w:lvl w:ilvl="0" w:tentative="0">
      <w:start w:val="1"/>
      <w:numFmt w:val="decimal"/>
      <w:suff w:val="nothing"/>
      <w:lvlText w:val="（%1）"/>
      <w:lvlJc w:val="left"/>
    </w:lvl>
  </w:abstractNum>
  <w:abstractNum w:abstractNumId="2">
    <w:nsid w:val="E2A85D89"/>
    <w:multiLevelType w:val="singleLevel"/>
    <w:tmpl w:val="E2A85D89"/>
    <w:lvl w:ilvl="0" w:tentative="0">
      <w:start w:val="1"/>
      <w:numFmt w:val="decimal"/>
      <w:lvlText w:val="%1."/>
      <w:lvlJc w:val="left"/>
      <w:pPr>
        <w:tabs>
          <w:tab w:val="left" w:pos="312"/>
        </w:tabs>
      </w:pPr>
    </w:lvl>
  </w:abstractNum>
  <w:abstractNum w:abstractNumId="3">
    <w:nsid w:val="E69AAB65"/>
    <w:multiLevelType w:val="singleLevel"/>
    <w:tmpl w:val="E69AAB65"/>
    <w:lvl w:ilvl="0" w:tentative="0">
      <w:start w:val="3"/>
      <w:numFmt w:val="decimal"/>
      <w:lvlText w:val="%1."/>
      <w:lvlJc w:val="left"/>
      <w:pPr>
        <w:tabs>
          <w:tab w:val="left" w:pos="312"/>
        </w:tabs>
      </w:pPr>
    </w:lvl>
  </w:abstractNum>
  <w:abstractNum w:abstractNumId="4">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58362D4"/>
    <w:rsid w:val="05D07568"/>
    <w:rsid w:val="06B32422"/>
    <w:rsid w:val="07517424"/>
    <w:rsid w:val="07C17E77"/>
    <w:rsid w:val="07FE3355"/>
    <w:rsid w:val="08527B4E"/>
    <w:rsid w:val="08A93718"/>
    <w:rsid w:val="08AF6AF4"/>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DF217FC"/>
    <w:rsid w:val="1E377AD8"/>
    <w:rsid w:val="1E775BE3"/>
    <w:rsid w:val="1F455CC3"/>
    <w:rsid w:val="1FB1080F"/>
    <w:rsid w:val="1FD15227"/>
    <w:rsid w:val="20145149"/>
    <w:rsid w:val="20BB00B5"/>
    <w:rsid w:val="21E35085"/>
    <w:rsid w:val="22902F53"/>
    <w:rsid w:val="22EF6AEB"/>
    <w:rsid w:val="2352343C"/>
    <w:rsid w:val="236456FB"/>
    <w:rsid w:val="237B003D"/>
    <w:rsid w:val="23BD55D8"/>
    <w:rsid w:val="25450FC9"/>
    <w:rsid w:val="25823461"/>
    <w:rsid w:val="25CB11E0"/>
    <w:rsid w:val="25F85394"/>
    <w:rsid w:val="272D31B5"/>
    <w:rsid w:val="278018E1"/>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C063C7"/>
    <w:rsid w:val="30E772EF"/>
    <w:rsid w:val="31796B17"/>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D295EE1"/>
    <w:rsid w:val="3D354FE5"/>
    <w:rsid w:val="3D5D7829"/>
    <w:rsid w:val="3D787FB2"/>
    <w:rsid w:val="3E76470F"/>
    <w:rsid w:val="3EB910C1"/>
    <w:rsid w:val="3ED85C6D"/>
    <w:rsid w:val="3F886276"/>
    <w:rsid w:val="405B13A1"/>
    <w:rsid w:val="41352DD4"/>
    <w:rsid w:val="413952AD"/>
    <w:rsid w:val="41744039"/>
    <w:rsid w:val="419049AE"/>
    <w:rsid w:val="42620FCF"/>
    <w:rsid w:val="429F43E5"/>
    <w:rsid w:val="430739E7"/>
    <w:rsid w:val="43EB501D"/>
    <w:rsid w:val="446261AD"/>
    <w:rsid w:val="45097338"/>
    <w:rsid w:val="46331B9A"/>
    <w:rsid w:val="467D083E"/>
    <w:rsid w:val="46D65B92"/>
    <w:rsid w:val="46E01197"/>
    <w:rsid w:val="472D063D"/>
    <w:rsid w:val="4749127A"/>
    <w:rsid w:val="47AF137D"/>
    <w:rsid w:val="486F5922"/>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2214C56"/>
    <w:rsid w:val="52495CC9"/>
    <w:rsid w:val="524E0549"/>
    <w:rsid w:val="52D05BD0"/>
    <w:rsid w:val="52D6665D"/>
    <w:rsid w:val="533B5338"/>
    <w:rsid w:val="535610E6"/>
    <w:rsid w:val="53C07BE7"/>
    <w:rsid w:val="54AF0E06"/>
    <w:rsid w:val="56230387"/>
    <w:rsid w:val="56DF6C36"/>
    <w:rsid w:val="57672288"/>
    <w:rsid w:val="57B510CE"/>
    <w:rsid w:val="57BD0B53"/>
    <w:rsid w:val="588F648C"/>
    <w:rsid w:val="58C02270"/>
    <w:rsid w:val="59332823"/>
    <w:rsid w:val="593A090E"/>
    <w:rsid w:val="59577C3B"/>
    <w:rsid w:val="59A861F5"/>
    <w:rsid w:val="5A7A6B08"/>
    <w:rsid w:val="5AC32670"/>
    <w:rsid w:val="5B0311E8"/>
    <w:rsid w:val="5B394A7C"/>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B0644B"/>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B12A11"/>
    <w:rsid w:val="72B76139"/>
    <w:rsid w:val="72C165D1"/>
    <w:rsid w:val="72D8767B"/>
    <w:rsid w:val="72E94EAC"/>
    <w:rsid w:val="737C76EA"/>
    <w:rsid w:val="73D75975"/>
    <w:rsid w:val="73FD1CE2"/>
    <w:rsid w:val="74C81746"/>
    <w:rsid w:val="750D6210"/>
    <w:rsid w:val="75450A55"/>
    <w:rsid w:val="756770E2"/>
    <w:rsid w:val="75D646E4"/>
    <w:rsid w:val="762D41F7"/>
    <w:rsid w:val="766647A8"/>
    <w:rsid w:val="76DE04A2"/>
    <w:rsid w:val="76E47868"/>
    <w:rsid w:val="77500FB2"/>
    <w:rsid w:val="77CA5A3B"/>
    <w:rsid w:val="77ECA3E2"/>
    <w:rsid w:val="780312B1"/>
    <w:rsid w:val="786647DA"/>
    <w:rsid w:val="7882033F"/>
    <w:rsid w:val="78955B4B"/>
    <w:rsid w:val="78D106D4"/>
    <w:rsid w:val="79CF4822"/>
    <w:rsid w:val="7A034977"/>
    <w:rsid w:val="7A1D5443"/>
    <w:rsid w:val="7A5364AE"/>
    <w:rsid w:val="7AC64A37"/>
    <w:rsid w:val="7B066E3D"/>
    <w:rsid w:val="7B9A5C29"/>
    <w:rsid w:val="7C00277F"/>
    <w:rsid w:val="7C225B08"/>
    <w:rsid w:val="7C36A8BC"/>
    <w:rsid w:val="7CC54A2C"/>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Pages>
  <Words>501</Words>
  <Characters>2857</Characters>
  <Lines>23</Lines>
  <Paragraphs>6</Paragraphs>
  <TotalTime>39</TotalTime>
  <ScaleCrop>false</ScaleCrop>
  <LinksUpToDate>false</LinksUpToDate>
  <CharactersWithSpaces>3352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chendzhi</cp:lastModifiedBy>
  <cp:lastPrinted>2021-06-11T08:09:00Z</cp:lastPrinted>
  <dcterms:modified xsi:type="dcterms:W3CDTF">2026-07-17T08:53:40Z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26A886A542504BDB8EE0E03E47EAC1DE</vt:lpwstr>
  </property>
</Properties>
</file>