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0"/>
        </w:numPr>
        <w:jc w:val="center"/>
        <w:outlineLvl w:val="0"/>
        <w:rPr>
          <w:rFonts w:hint="eastAsia" w:ascii="方正小标宋简体" w:hAnsi="方正小标宋简体" w:eastAsia="方正小标宋简体" w:cs="方正小标宋简体"/>
          <w:b/>
          <w:sz w:val="36"/>
          <w:szCs w:val="36"/>
          <w:lang w:val="en-US" w:eastAsia="zh-CN"/>
        </w:rPr>
      </w:pPr>
      <w:bookmarkStart w:id="0" w:name="_Toc20396_WPSOffice_Level1"/>
      <w:bookmarkStart w:id="1" w:name="_Toc28241_WPSOffice_Level1"/>
      <w:bookmarkStart w:id="2" w:name="_Toc11357_WPSOffice_Level1"/>
      <w:bookmarkStart w:id="3" w:name="_Toc19720_WPSOffice_Level1"/>
      <w:r>
        <w:rPr>
          <w:rFonts w:hint="eastAsia" w:ascii="方正小标宋简体" w:hAnsi="方正小标宋简体" w:eastAsia="方正小标宋简体" w:cs="方正小标宋简体"/>
          <w:b/>
          <w:sz w:val="36"/>
          <w:szCs w:val="36"/>
          <w:lang w:val="en-US" w:eastAsia="zh-CN"/>
        </w:rPr>
        <w:t>第一章 供应商须知</w:t>
      </w:r>
    </w:p>
    <w:tbl>
      <w:tblPr>
        <w:tblStyle w:val="13"/>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pPr>
              <w:rPr>
                <w:rFonts w:hint="eastAsia" w:ascii="宋体" w:hAnsi="宋体" w:eastAsia="宋体" w:cs="宋体"/>
                <w:highlight w:val="none"/>
              </w:rPr>
            </w:pPr>
            <w:r>
              <w:rPr>
                <w:rFonts w:hint="eastAsia" w:ascii="宋体" w:hAnsi="宋体" w:eastAsia="宋体" w:cs="宋体"/>
                <w:highlight w:val="none"/>
              </w:rPr>
              <w:t>1、报价具体要求</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pPr>
              <w:numPr>
                <w:ilvl w:val="0"/>
                <w:numId w:val="1"/>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pPr>
              <w:pStyle w:val="6"/>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成交候选人推荐原则</w:t>
            </w:r>
          </w:p>
        </w:tc>
        <w:tc>
          <w:tcPr>
            <w:tcW w:w="5881" w:type="dxa"/>
            <w:vAlign w:val="center"/>
          </w:tcPr>
          <w:p>
            <w:pPr>
              <w:autoSpaceDE w:val="0"/>
              <w:autoSpaceDN w:val="0"/>
              <w:adjustRightInd w:val="0"/>
              <w:snapToGrid w:val="0"/>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6"/>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pPr>
        <w:numPr>
          <w:ilvl w:val="0"/>
          <w:numId w:val="0"/>
        </w:numPr>
        <w:jc w:val="center"/>
        <w:outlineLvl w:val="9"/>
        <w:rPr>
          <w:rFonts w:hint="eastAsia" w:ascii="方正小标宋简体" w:hAnsi="方正小标宋简体" w:eastAsia="方正小标宋简体" w:cs="方正小标宋简体"/>
          <w:b/>
          <w:sz w:val="36"/>
          <w:szCs w:val="36"/>
          <w:lang w:val="en-US" w:eastAsia="zh-CN"/>
        </w:rPr>
      </w:pPr>
      <w:bookmarkStart w:id="4" w:name="_Toc447265557"/>
      <w:bookmarkStart w:id="5" w:name="_Toc447265271"/>
      <w:bookmarkStart w:id="6" w:name="_Toc26678"/>
      <w:r>
        <w:rPr>
          <w:rFonts w:hint="eastAsia" w:ascii="方正小标宋简体" w:hAnsi="方正小标宋简体" w:eastAsia="方正小标宋简体" w:cs="方正小标宋简体"/>
          <w:b/>
          <w:sz w:val="36"/>
          <w:szCs w:val="36"/>
          <w:lang w:val="en-US" w:eastAsia="zh-CN"/>
        </w:rPr>
        <w:br w:type="page"/>
      </w:r>
    </w:p>
    <w:p>
      <w:pPr>
        <w:pStyle w:val="8"/>
        <w:numPr>
          <w:ilvl w:val="0"/>
          <w:numId w:val="0"/>
        </w:numPr>
        <w:jc w:val="center"/>
        <w:outlineLvl w:val="0"/>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第二章 评审办法</w:t>
      </w:r>
      <w:bookmarkEnd w:id="4"/>
      <w:bookmarkEnd w:id="5"/>
      <w:bookmarkEnd w:id="6"/>
    </w:p>
    <w:p>
      <w:pPr>
        <w:pStyle w:val="19"/>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3"/>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6" w:hRule="atLeast"/>
        </w:trPr>
        <w:tc>
          <w:tcPr>
            <w:tcW w:w="1110" w:type="pct"/>
            <w:gridSpan w:val="2"/>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pPr>
        <w:pStyle w:val="19"/>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478565718"/>
      <w:bookmarkStart w:id="9" w:name="_Toc474148037"/>
      <w:bookmarkStart w:id="10" w:name="_Toc478566081"/>
      <w:bookmarkStart w:id="11" w:name="_Toc20635"/>
      <w:bookmarkStart w:id="12" w:name="_Toc478566439"/>
      <w:bookmarkStart w:id="13" w:name="_Toc68859970"/>
      <w:bookmarkStart w:id="14" w:name="_Toc478566273"/>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pPr>
        <w:pStyle w:val="8"/>
        <w:numPr>
          <w:ilvl w:val="0"/>
          <w:numId w:val="2"/>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4"/>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pPr>
              <w:autoSpaceDE w:val="0"/>
              <w:autoSpaceDN w:val="0"/>
              <w:spacing w:before="93" w:beforeLines="30" w:after="93" w:afterLines="30"/>
              <w:jc w:val="center"/>
              <w:rPr>
                <w:rFonts w:hint="default" w:ascii="仿宋" w:hAnsi="仿宋" w:eastAsia="仿宋" w:cs="宋体"/>
                <w:b/>
                <w:color w:val="auto"/>
                <w:szCs w:val="21"/>
                <w:lang w:val="en-US"/>
              </w:rPr>
            </w:pPr>
            <w:r>
              <w:rPr>
                <w:rFonts w:hint="eastAsia" w:ascii="仿宋" w:hAnsi="仿宋" w:eastAsia="仿宋" w:cs="宋体"/>
                <w:b/>
                <w:color w:val="auto"/>
                <w:szCs w:val="21"/>
                <w:lang w:val="en-US" w:eastAsia="zh-CN"/>
              </w:rPr>
              <w:t>30</w:t>
            </w:r>
          </w:p>
        </w:tc>
        <w:tc>
          <w:tcPr>
            <w:tcW w:w="3091" w:type="dxa"/>
            <w:vMerge w:val="restart"/>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0×60%=</w:t>
            </w:r>
            <w:r>
              <w:rPr>
                <w:rFonts w:hint="eastAsia" w:ascii="仿宋" w:hAnsi="仿宋" w:eastAsia="仿宋" w:cs="宋体"/>
                <w:b/>
                <w:color w:val="auto"/>
                <w:szCs w:val="21"/>
                <w:lang w:val="en-US" w:eastAsia="zh-CN"/>
              </w:rPr>
              <w:t>18</w:t>
            </w:r>
            <w:r>
              <w:rPr>
                <w:rFonts w:hint="eastAsia" w:ascii="仿宋" w:hAnsi="仿宋" w:eastAsia="仿宋" w:cs="宋体"/>
                <w:b/>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5</w:t>
            </w:r>
            <w:r>
              <w:rPr>
                <w:rFonts w:hint="eastAsia" w:ascii="仿宋" w:hAnsi="仿宋" w:eastAsia="仿宋" w:cs="宋体"/>
                <w:b/>
                <w:color w:val="auto"/>
                <w:szCs w:val="21"/>
              </w:rPr>
              <w:t>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2</w:t>
            </w:r>
            <w:r>
              <w:rPr>
                <w:rFonts w:hint="eastAsia" w:ascii="仿宋" w:hAnsi="仿宋" w:eastAsia="仿宋" w:cs="宋体"/>
                <w:b/>
                <w:color w:val="auto"/>
                <w:szCs w:val="21"/>
              </w:rPr>
              <w:t>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pPr>
              <w:autoSpaceDE w:val="0"/>
              <w:autoSpaceDN w:val="0"/>
              <w:spacing w:before="93" w:beforeLines="30" w:after="93" w:afterLines="30"/>
              <w:jc w:val="center"/>
              <w:rPr>
                <w:rFonts w:hint="eastAsia" w:ascii="仿宋" w:hAnsi="仿宋" w:eastAsia="仿宋" w:cs="宋体"/>
                <w:b/>
                <w:szCs w:val="21"/>
              </w:rPr>
            </w:pPr>
          </w:p>
        </w:tc>
      </w:tr>
    </w:tbl>
    <w:p>
      <w:pPr>
        <w:pStyle w:val="8"/>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default" w:ascii="仿宋" w:hAnsi="仿宋" w:eastAsia="仿宋" w:cs="宋体"/>
                <w:b/>
                <w:szCs w:val="21"/>
                <w:lang w:val="en-US"/>
              </w:rPr>
            </w:pPr>
            <w:r>
              <w:rPr>
                <w:rFonts w:hint="eastAsia" w:ascii="仿宋" w:hAnsi="仿宋" w:eastAsia="仿宋" w:cs="宋体"/>
                <w:b/>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szCs w:val="21"/>
                <w:lang w:val="en-US" w:eastAsia="zh-CN"/>
              </w:rPr>
              <w:t>1</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企业综合实力</w:t>
            </w:r>
          </w:p>
        </w:tc>
        <w:tc>
          <w:tcPr>
            <w:tcW w:w="928" w:type="dxa"/>
            <w:vAlign w:val="center"/>
          </w:tcPr>
          <w:p>
            <w:pPr>
              <w:spacing w:before="93" w:beforeLines="30" w:after="93" w:afterLines="30"/>
              <w:jc w:val="center"/>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4</w:t>
            </w:r>
          </w:p>
        </w:tc>
        <w:tc>
          <w:tcPr>
            <w:tcW w:w="6184" w:type="dxa"/>
            <w:vAlign w:val="top"/>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根据投标人具备有效期内的以下认证证书情况进行评分，每具备一项以下证书得</w:t>
            </w:r>
            <w:r>
              <w:rPr>
                <w:rFonts w:hint="eastAsia" w:ascii="仿宋" w:hAnsi="仿宋" w:eastAsia="仿宋" w:cs="宋体"/>
                <w:bCs/>
                <w:szCs w:val="21"/>
                <w:lang w:val="en-US" w:eastAsia="zh-CN"/>
              </w:rPr>
              <w:t>2</w:t>
            </w:r>
            <w:r>
              <w:rPr>
                <w:rFonts w:hint="eastAsia" w:ascii="仿宋" w:hAnsi="仿宋" w:eastAsia="仿宋" w:cs="宋体"/>
                <w:bCs/>
                <w:szCs w:val="21"/>
              </w:rPr>
              <w:t>分，本项满分</w:t>
            </w:r>
            <w:r>
              <w:rPr>
                <w:rFonts w:hint="eastAsia" w:ascii="仿宋" w:hAnsi="仿宋" w:eastAsia="仿宋" w:cs="宋体"/>
                <w:bCs/>
                <w:szCs w:val="21"/>
                <w:lang w:val="en-US" w:eastAsia="zh-CN"/>
              </w:rPr>
              <w:t>4</w:t>
            </w:r>
            <w:r>
              <w:rPr>
                <w:rFonts w:hint="eastAsia" w:ascii="仿宋" w:hAnsi="仿宋" w:eastAsia="仿宋" w:cs="宋体"/>
                <w:bCs/>
                <w:szCs w:val="21"/>
              </w:rPr>
              <w:t>分。具体如下：</w:t>
            </w:r>
          </w:p>
          <w:p>
            <w:pPr>
              <w:spacing w:before="93" w:beforeLines="30" w:after="93" w:afterLines="30"/>
              <w:ind w:firstLine="210" w:firstLineChars="100"/>
              <w:rPr>
                <w:rFonts w:hint="eastAsia" w:ascii="仿宋" w:hAnsi="仿宋" w:eastAsia="仿宋" w:cs="宋体"/>
                <w:bCs/>
                <w:color w:val="auto"/>
                <w:szCs w:val="21"/>
              </w:rPr>
            </w:pPr>
            <w:r>
              <w:rPr>
                <w:rFonts w:hint="eastAsia" w:ascii="仿宋" w:hAnsi="仿宋" w:eastAsia="仿宋" w:cs="宋体"/>
                <w:bCs/>
                <w:color w:val="auto"/>
                <w:szCs w:val="21"/>
              </w:rPr>
              <w:t>1.供应商具有有效期内的质量管理体系认证证书，得2分。</w:t>
            </w:r>
          </w:p>
          <w:p>
            <w:pPr>
              <w:spacing w:before="93" w:beforeLines="30" w:after="93" w:afterLines="30"/>
              <w:ind w:firstLine="210" w:firstLineChars="100"/>
              <w:rPr>
                <w:rFonts w:hint="eastAsia" w:ascii="仿宋" w:hAnsi="仿宋" w:eastAsia="仿宋" w:cs="宋体"/>
                <w:bCs/>
                <w:color w:val="auto"/>
                <w:szCs w:val="21"/>
                <w:lang w:eastAsia="zh-CN"/>
              </w:rPr>
            </w:pPr>
            <w:r>
              <w:rPr>
                <w:rFonts w:hint="eastAsia" w:ascii="仿宋" w:hAnsi="仿宋" w:eastAsia="仿宋" w:cs="宋体"/>
                <w:bCs/>
                <w:color w:val="auto"/>
                <w:szCs w:val="21"/>
              </w:rPr>
              <w:t>注</w:t>
            </w: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需提供有效的证书复印件/扫描件作为证明材料，同时提供在全国认证认可信息公共服务平台（http://cx.cnca.cn/）对体系证书的信息查询截图作为评审依据，查询截图显示证书已暂停、失效或撤销的或证明材料不完整的均不得分。</w:t>
            </w:r>
          </w:p>
          <w:p>
            <w:pPr>
              <w:spacing w:before="93" w:beforeLines="30" w:after="93" w:afterLines="30"/>
              <w:ind w:firstLine="210" w:firstLineChars="100"/>
              <w:rPr>
                <w:rFonts w:hint="eastAsia" w:ascii="仿宋" w:hAnsi="仿宋" w:eastAsia="仿宋" w:cs="宋体"/>
                <w:bCs/>
                <w:color w:val="auto"/>
                <w:szCs w:val="21"/>
              </w:rPr>
            </w:pPr>
            <w:r>
              <w:rPr>
                <w:rFonts w:hint="eastAsia" w:ascii="仿宋" w:hAnsi="仿宋" w:eastAsia="仿宋" w:cs="宋体"/>
                <w:bCs/>
                <w:color w:val="auto"/>
                <w:szCs w:val="21"/>
              </w:rPr>
              <w:t>2.具有信息技术服务运行维护服务能力成熟度（ITSS）证书（三级及以上）的，得2分。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color w:val="auto"/>
                <w:szCs w:val="21"/>
                <w:lang w:val="en-US" w:eastAsia="zh-CN"/>
              </w:rPr>
              <w:t>注2：</w:t>
            </w:r>
            <w:r>
              <w:rPr>
                <w:rFonts w:hint="eastAsia" w:ascii="仿宋" w:hAnsi="仿宋" w:eastAsia="仿宋" w:cs="宋体"/>
                <w:bCs/>
                <w:color w:val="auto"/>
                <w:szCs w:val="21"/>
              </w:rPr>
              <w:t>提供有效期内的证书复印件/扫描件作为证明材料，不符合或无提供不得分。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szCs w:val="21"/>
                <w:lang w:val="en-US" w:eastAsia="zh-CN"/>
              </w:rPr>
              <w:t>2</w:t>
            </w:r>
          </w:p>
        </w:tc>
        <w:tc>
          <w:tcPr>
            <w:tcW w:w="1068"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拟投入</w:t>
            </w:r>
          </w:p>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服务团</w:t>
            </w:r>
          </w:p>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lang w:val="en-US" w:eastAsia="zh-CN"/>
              </w:rPr>
              <w:t>队情况</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color w:val="auto"/>
                <w:szCs w:val="21"/>
                <w:lang w:val="en-US" w:eastAsia="zh-CN"/>
              </w:rPr>
              <w:t>10</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供应商</w:t>
            </w:r>
            <w:r>
              <w:rPr>
                <w:rFonts w:hint="eastAsia" w:ascii="仿宋" w:hAnsi="仿宋" w:eastAsia="仿宋" w:cs="宋体"/>
                <w:bCs/>
                <w:szCs w:val="21"/>
              </w:rPr>
              <w:t>拟投入到本项目的服务人员情况，具体如下：</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w:t>
            </w:r>
            <w:r>
              <w:rPr>
                <w:rFonts w:hint="eastAsia" w:ascii="仿宋" w:hAnsi="仿宋" w:eastAsia="仿宋" w:cs="宋体"/>
                <w:bCs/>
                <w:szCs w:val="21"/>
              </w:rPr>
              <w:t>项目经理情况（</w:t>
            </w:r>
            <w:r>
              <w:rPr>
                <w:rFonts w:hint="eastAsia" w:ascii="仿宋" w:hAnsi="仿宋" w:eastAsia="仿宋" w:cs="宋体"/>
                <w:bCs/>
                <w:szCs w:val="21"/>
                <w:lang w:val="en-US" w:eastAsia="zh-CN"/>
              </w:rPr>
              <w:t>3</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按照以下所列标准，根据本项目配置的项目经理情况进行打分，最终累加合计以下2项的得分。具体如下：</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（1）具备本科（含）及以上学历的，得</w:t>
            </w:r>
            <w:r>
              <w:rPr>
                <w:rFonts w:hint="eastAsia" w:ascii="仿宋" w:hAnsi="仿宋" w:eastAsia="仿宋" w:cs="宋体"/>
                <w:bCs/>
                <w:szCs w:val="21"/>
                <w:lang w:val="en-US" w:eastAsia="zh-CN"/>
              </w:rPr>
              <w:t>1</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（2）具有工业和信息化部教育与考试中心</w:t>
            </w:r>
            <w:r>
              <w:rPr>
                <w:rFonts w:hint="eastAsia" w:ascii="仿宋" w:hAnsi="仿宋" w:eastAsia="仿宋" w:cs="宋体"/>
                <w:bCs/>
                <w:szCs w:val="21"/>
                <w:lang w:val="en-US" w:eastAsia="zh-CN"/>
              </w:rPr>
              <w:t>颁发的</w:t>
            </w:r>
            <w:r>
              <w:rPr>
                <w:rFonts w:hint="eastAsia" w:ascii="仿宋" w:hAnsi="仿宋" w:eastAsia="仿宋" w:cs="宋体"/>
                <w:bCs/>
                <w:szCs w:val="21"/>
              </w:rPr>
              <w:t>大数据分析师（高级）证书的，得</w:t>
            </w:r>
            <w:r>
              <w:rPr>
                <w:rFonts w:hint="eastAsia" w:ascii="仿宋" w:hAnsi="仿宋" w:eastAsia="仿宋" w:cs="宋体"/>
                <w:bCs/>
                <w:szCs w:val="21"/>
                <w:lang w:val="en-US" w:eastAsia="zh-CN"/>
              </w:rPr>
              <w:t>2</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注1：①需提供项目经理的学历证书复印件或学信网查询截图作为证明材料，未提供则不得分。②提供</w:t>
            </w:r>
            <w:r>
              <w:rPr>
                <w:rFonts w:hint="eastAsia" w:ascii="仿宋" w:hAnsi="仿宋" w:eastAsia="仿宋" w:cs="宋体"/>
                <w:b/>
                <w:bCs w:val="0"/>
                <w:szCs w:val="21"/>
                <w:lang w:val="en-US" w:eastAsia="zh-CN"/>
              </w:rPr>
              <w:t>近半年</w:t>
            </w:r>
            <w:r>
              <w:rPr>
                <w:rFonts w:hint="eastAsia" w:ascii="仿宋" w:hAnsi="仿宋" w:eastAsia="仿宋" w:cs="宋体"/>
                <w:bCs/>
                <w:szCs w:val="21"/>
              </w:rPr>
              <w:t>以来任意一个月的有效缴纳社保的证明复印件，未提供则不得分。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w:t>
            </w:r>
            <w:r>
              <w:rPr>
                <w:rFonts w:hint="eastAsia" w:ascii="仿宋" w:hAnsi="仿宋" w:eastAsia="仿宋" w:cs="宋体"/>
                <w:bCs/>
                <w:szCs w:val="21"/>
              </w:rPr>
              <w:t>其他团队成员情况（</w:t>
            </w:r>
            <w:r>
              <w:rPr>
                <w:rFonts w:hint="eastAsia" w:ascii="仿宋" w:hAnsi="仿宋" w:eastAsia="仿宋" w:cs="宋体"/>
                <w:bCs/>
                <w:szCs w:val="21"/>
                <w:lang w:val="en-US" w:eastAsia="zh-CN"/>
              </w:rPr>
              <w:t>7</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按照以下所列标准，根据本项目配置的其他团队成员情况进行打分，最终累加合计以下</w:t>
            </w:r>
            <w:r>
              <w:rPr>
                <w:rFonts w:hint="eastAsia" w:ascii="仿宋" w:hAnsi="仿宋" w:eastAsia="仿宋" w:cs="宋体"/>
                <w:bCs/>
                <w:szCs w:val="21"/>
                <w:lang w:val="en-US" w:eastAsia="zh-CN"/>
              </w:rPr>
              <w:t>2</w:t>
            </w:r>
            <w:r>
              <w:rPr>
                <w:rFonts w:hint="eastAsia" w:ascii="仿宋" w:hAnsi="仿宋" w:eastAsia="仿宋" w:cs="宋体"/>
                <w:bCs/>
                <w:szCs w:val="21"/>
              </w:rPr>
              <w:t>项的得分。具体如下：</w:t>
            </w:r>
          </w:p>
          <w:p>
            <w:pPr>
              <w:spacing w:before="93" w:beforeLines="30" w:after="93" w:afterLines="30"/>
              <w:ind w:firstLine="210" w:firstLineChars="100"/>
              <w:rPr>
                <w:rFonts w:hint="eastAsia" w:ascii="仿宋" w:hAnsi="仿宋" w:eastAsia="仿宋" w:cs="宋体"/>
                <w:bCs/>
                <w:szCs w:val="21"/>
                <w:lang w:eastAsia="zh-CN"/>
              </w:rPr>
            </w:pPr>
            <w:r>
              <w:rPr>
                <w:rFonts w:hint="eastAsia" w:ascii="仿宋" w:hAnsi="仿宋" w:eastAsia="仿宋" w:cs="宋体"/>
                <w:bCs/>
                <w:szCs w:val="21"/>
              </w:rPr>
              <w:t>（1）除项目经理外，所配置的团队成员数量大于</w:t>
            </w:r>
            <w:r>
              <w:rPr>
                <w:rFonts w:hint="eastAsia" w:ascii="仿宋" w:hAnsi="仿宋" w:eastAsia="仿宋" w:cs="宋体"/>
                <w:bCs/>
                <w:szCs w:val="21"/>
                <w:lang w:val="en-US" w:eastAsia="zh-CN"/>
              </w:rPr>
              <w:t>4</w:t>
            </w:r>
            <w:r>
              <w:rPr>
                <w:rFonts w:hint="eastAsia" w:ascii="仿宋" w:hAnsi="仿宋" w:eastAsia="仿宋" w:cs="宋体"/>
                <w:bCs/>
                <w:szCs w:val="21"/>
              </w:rPr>
              <w:t>人的（含</w:t>
            </w:r>
            <w:r>
              <w:rPr>
                <w:rFonts w:hint="eastAsia" w:ascii="仿宋" w:hAnsi="仿宋" w:eastAsia="仿宋" w:cs="宋体"/>
                <w:bCs/>
                <w:szCs w:val="21"/>
                <w:lang w:val="en-US" w:eastAsia="zh-CN"/>
              </w:rPr>
              <w:t>4</w:t>
            </w:r>
            <w:r>
              <w:rPr>
                <w:rFonts w:hint="eastAsia" w:ascii="仿宋" w:hAnsi="仿宋" w:eastAsia="仿宋" w:cs="宋体"/>
                <w:bCs/>
                <w:szCs w:val="21"/>
              </w:rPr>
              <w:t>人），得</w:t>
            </w:r>
            <w:r>
              <w:rPr>
                <w:rFonts w:hint="eastAsia" w:ascii="仿宋" w:hAnsi="仿宋" w:eastAsia="仿宋" w:cs="宋体"/>
                <w:bCs/>
                <w:szCs w:val="21"/>
                <w:lang w:val="en-US" w:eastAsia="zh-CN"/>
              </w:rPr>
              <w:t>3</w:t>
            </w:r>
            <w:r>
              <w:rPr>
                <w:rFonts w:hint="eastAsia" w:ascii="仿宋" w:hAnsi="仿宋" w:eastAsia="仿宋" w:cs="宋体"/>
                <w:bCs/>
                <w:szCs w:val="21"/>
              </w:rPr>
              <w:t>分</w:t>
            </w:r>
            <w:r>
              <w:rPr>
                <w:rFonts w:hint="eastAsia" w:ascii="仿宋" w:hAnsi="仿宋" w:eastAsia="仿宋" w:cs="宋体"/>
                <w:bCs/>
                <w:szCs w:val="21"/>
                <w:lang w:eastAsia="zh-CN"/>
              </w:rPr>
              <w:t>，</w:t>
            </w:r>
            <w:r>
              <w:rPr>
                <w:rFonts w:hint="eastAsia" w:ascii="仿宋" w:hAnsi="仿宋" w:eastAsia="仿宋" w:cs="宋体"/>
                <w:bCs/>
                <w:szCs w:val="21"/>
                <w:lang w:val="en-US" w:eastAsia="zh-CN"/>
              </w:rPr>
              <w:t>少于4人得2分，不提供则不得分</w:t>
            </w:r>
            <w:r>
              <w:rPr>
                <w:rFonts w:hint="eastAsia" w:ascii="仿宋" w:hAnsi="仿宋" w:eastAsia="仿宋" w:cs="宋体"/>
                <w:bCs/>
                <w:szCs w:val="21"/>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（2）除项目经理外</w:t>
            </w:r>
            <w:r>
              <w:rPr>
                <w:rFonts w:hint="eastAsia" w:ascii="仿宋" w:hAnsi="仿宋" w:eastAsia="仿宋" w:cs="宋体"/>
                <w:bCs/>
                <w:szCs w:val="21"/>
                <w:lang w:eastAsia="zh-CN"/>
              </w:rPr>
              <w:t>，</w:t>
            </w:r>
            <w:r>
              <w:rPr>
                <w:rFonts w:hint="eastAsia" w:ascii="仿宋" w:hAnsi="仿宋" w:eastAsia="仿宋" w:cs="宋体"/>
                <w:bCs/>
                <w:szCs w:val="21"/>
              </w:rPr>
              <w:t>服务团队中具有本科或以上学历，且同时具有计算机技术与软件专业技术资格（水平）中级（或高级）</w:t>
            </w:r>
            <w:r>
              <w:rPr>
                <w:rFonts w:hint="eastAsia" w:ascii="仿宋" w:hAnsi="仿宋" w:eastAsia="仿宋" w:cs="宋体"/>
                <w:bCs/>
                <w:szCs w:val="21"/>
                <w:lang w:val="en-US" w:eastAsia="zh-CN"/>
              </w:rPr>
              <w:t>证书</w:t>
            </w:r>
            <w:r>
              <w:rPr>
                <w:rFonts w:hint="eastAsia" w:ascii="仿宋" w:hAnsi="仿宋" w:eastAsia="仿宋" w:cs="宋体"/>
                <w:bCs/>
                <w:szCs w:val="21"/>
              </w:rPr>
              <w:t>或工业和信息化部教育与考试中心</w:t>
            </w:r>
            <w:r>
              <w:rPr>
                <w:rFonts w:hint="eastAsia" w:ascii="仿宋" w:hAnsi="仿宋" w:eastAsia="仿宋" w:cs="宋体"/>
                <w:bCs/>
                <w:szCs w:val="21"/>
                <w:lang w:val="en-US" w:eastAsia="zh-CN"/>
              </w:rPr>
              <w:t>颁发的</w:t>
            </w:r>
            <w:r>
              <w:rPr>
                <w:rFonts w:hint="eastAsia" w:ascii="仿宋" w:hAnsi="仿宋" w:eastAsia="仿宋" w:cs="宋体"/>
                <w:bCs/>
                <w:szCs w:val="21"/>
              </w:rPr>
              <w:t>大数据分析师（高级）证书的，每提供一人得</w:t>
            </w:r>
            <w:r>
              <w:rPr>
                <w:rFonts w:hint="eastAsia" w:ascii="仿宋" w:hAnsi="仿宋" w:eastAsia="仿宋" w:cs="宋体"/>
                <w:bCs/>
                <w:szCs w:val="21"/>
                <w:lang w:val="en-US" w:eastAsia="zh-CN"/>
              </w:rPr>
              <w:t>2</w:t>
            </w:r>
            <w:r>
              <w:rPr>
                <w:rFonts w:hint="eastAsia" w:ascii="仿宋" w:hAnsi="仿宋" w:eastAsia="仿宋" w:cs="宋体"/>
                <w:bCs/>
                <w:szCs w:val="21"/>
              </w:rPr>
              <w:t>分</w:t>
            </w:r>
            <w:r>
              <w:rPr>
                <w:rFonts w:hint="eastAsia" w:ascii="仿宋" w:hAnsi="仿宋" w:eastAsia="仿宋" w:cs="宋体"/>
                <w:bCs/>
                <w:szCs w:val="21"/>
                <w:lang w:eastAsia="zh-CN"/>
              </w:rPr>
              <w:t>，</w:t>
            </w:r>
            <w:r>
              <w:rPr>
                <w:rFonts w:hint="eastAsia" w:ascii="仿宋" w:hAnsi="仿宋" w:eastAsia="仿宋" w:cs="宋体"/>
                <w:bCs/>
                <w:szCs w:val="21"/>
              </w:rPr>
              <w:t>最高得</w:t>
            </w:r>
            <w:r>
              <w:rPr>
                <w:rFonts w:hint="eastAsia" w:ascii="仿宋" w:hAnsi="仿宋" w:eastAsia="仿宋" w:cs="宋体"/>
                <w:bCs/>
                <w:szCs w:val="21"/>
                <w:lang w:val="en-US" w:eastAsia="zh-CN"/>
              </w:rPr>
              <w:t>4</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注2：①需提供</w:t>
            </w:r>
            <w:r>
              <w:rPr>
                <w:rFonts w:hint="eastAsia" w:ascii="仿宋" w:hAnsi="仿宋" w:eastAsia="仿宋" w:cs="宋体"/>
                <w:bCs/>
                <w:szCs w:val="21"/>
                <w:lang w:val="en-US" w:eastAsia="zh-CN"/>
              </w:rPr>
              <w:t>团队成员</w:t>
            </w:r>
            <w:r>
              <w:rPr>
                <w:rFonts w:hint="eastAsia" w:ascii="仿宋" w:hAnsi="仿宋" w:eastAsia="仿宋" w:cs="宋体"/>
                <w:bCs/>
                <w:szCs w:val="21"/>
              </w:rPr>
              <w:t>的学历证书复印件或学信网查询截图作为证明材料，未提供则不得分。②提供</w:t>
            </w:r>
            <w:r>
              <w:rPr>
                <w:rFonts w:hint="eastAsia" w:ascii="仿宋" w:hAnsi="仿宋" w:eastAsia="仿宋" w:cs="宋体"/>
                <w:b/>
                <w:bCs w:val="0"/>
                <w:szCs w:val="21"/>
                <w:lang w:val="en-US" w:eastAsia="zh-CN"/>
              </w:rPr>
              <w:t>近半年</w:t>
            </w:r>
            <w:r>
              <w:rPr>
                <w:rFonts w:hint="eastAsia" w:ascii="仿宋" w:hAnsi="仿宋" w:eastAsia="仿宋" w:cs="宋体"/>
                <w:bCs/>
                <w:szCs w:val="21"/>
              </w:rPr>
              <w:t>以来任意一个月的有效缴纳社保的证明复印件，未提供则不得分。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3</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rPr>
              <w:t>同类项目经验</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6</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
                <w:szCs w:val="21"/>
              </w:rPr>
              <w:t>202</w:t>
            </w:r>
            <w:r>
              <w:rPr>
                <w:rFonts w:hint="eastAsia" w:ascii="仿宋" w:hAnsi="仿宋" w:eastAsia="仿宋" w:cs="宋体"/>
                <w:b/>
                <w:szCs w:val="21"/>
                <w:lang w:val="en-US" w:eastAsia="zh-CN"/>
              </w:rPr>
              <w:t>3</w:t>
            </w:r>
            <w:r>
              <w:rPr>
                <w:rFonts w:hint="eastAsia" w:ascii="仿宋" w:hAnsi="仿宋" w:eastAsia="仿宋" w:cs="宋体"/>
                <w:b/>
                <w:szCs w:val="21"/>
              </w:rPr>
              <w:t>年1月1日至今</w:t>
            </w:r>
            <w:r>
              <w:rPr>
                <w:rFonts w:hint="eastAsia" w:ascii="仿宋" w:hAnsi="仿宋" w:eastAsia="仿宋" w:cs="宋体"/>
                <w:bCs/>
                <w:szCs w:val="21"/>
              </w:rPr>
              <w:t>（以合同签订日期为准），承接过的同类项目业绩（</w:t>
            </w:r>
            <w:r>
              <w:rPr>
                <w:rFonts w:hint="eastAsia" w:ascii="仿宋" w:hAnsi="仿宋" w:eastAsia="仿宋" w:cs="宋体"/>
                <w:b/>
                <w:szCs w:val="21"/>
              </w:rPr>
              <w:t>同类项目指：网站或新媒体</w:t>
            </w:r>
            <w:r>
              <w:rPr>
                <w:rFonts w:hint="eastAsia" w:ascii="仿宋" w:hAnsi="仿宋" w:eastAsia="仿宋" w:cs="宋体"/>
                <w:b/>
                <w:szCs w:val="21"/>
                <w:lang w:val="en-US" w:eastAsia="zh-CN"/>
              </w:rPr>
              <w:t>检查、</w:t>
            </w:r>
            <w:r>
              <w:rPr>
                <w:rFonts w:hint="eastAsia" w:ascii="仿宋" w:hAnsi="仿宋" w:eastAsia="仿宋" w:cs="宋体"/>
                <w:b/>
                <w:szCs w:val="21"/>
              </w:rPr>
              <w:t>评估</w:t>
            </w:r>
            <w:r>
              <w:rPr>
                <w:rFonts w:hint="eastAsia" w:ascii="仿宋" w:hAnsi="仿宋" w:eastAsia="仿宋" w:cs="宋体"/>
                <w:b/>
                <w:szCs w:val="21"/>
                <w:lang w:eastAsia="zh-CN"/>
              </w:rPr>
              <w:t>、</w:t>
            </w:r>
            <w:r>
              <w:rPr>
                <w:rFonts w:hint="eastAsia" w:ascii="仿宋" w:hAnsi="仿宋" w:eastAsia="仿宋" w:cs="宋体"/>
                <w:b/>
                <w:szCs w:val="21"/>
              </w:rPr>
              <w:t>诊断或监测服务类项目</w:t>
            </w:r>
            <w:r>
              <w:rPr>
                <w:rFonts w:hint="eastAsia" w:ascii="仿宋" w:hAnsi="仿宋" w:eastAsia="仿宋" w:cs="宋体"/>
                <w:bCs/>
                <w:szCs w:val="21"/>
              </w:rPr>
              <w:t>）的业绩情况。</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投标人每具备一份有效的同类项目业绩，得</w:t>
            </w:r>
            <w:r>
              <w:rPr>
                <w:rFonts w:hint="eastAsia" w:ascii="仿宋" w:hAnsi="仿宋" w:eastAsia="仿宋" w:cs="宋体"/>
                <w:bCs/>
                <w:szCs w:val="21"/>
                <w:lang w:val="en-US" w:eastAsia="zh-CN"/>
              </w:rPr>
              <w:t>2</w:t>
            </w:r>
            <w:r>
              <w:rPr>
                <w:rFonts w:hint="eastAsia" w:ascii="仿宋" w:hAnsi="仿宋" w:eastAsia="仿宋" w:cs="宋体"/>
                <w:bCs/>
                <w:szCs w:val="21"/>
              </w:rPr>
              <w:t>分；本项最高不超过</w:t>
            </w:r>
            <w:r>
              <w:rPr>
                <w:rFonts w:hint="eastAsia" w:ascii="仿宋" w:hAnsi="仿宋" w:eastAsia="仿宋" w:cs="宋体"/>
                <w:bCs/>
                <w:szCs w:val="21"/>
                <w:lang w:val="en-US" w:eastAsia="zh-CN"/>
              </w:rPr>
              <w:t>6</w:t>
            </w:r>
            <w:r>
              <w:rPr>
                <w:rFonts w:hint="eastAsia" w:ascii="仿宋" w:hAnsi="仿宋" w:eastAsia="仿宋" w:cs="宋体"/>
                <w:bCs/>
                <w:szCs w:val="21"/>
              </w:rPr>
              <w:t>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注：①须提供合同关键页（不限于签订合同双方的单位名称、合同名称、合同标的内容、合同金额页、合同签订页等）复印件作为证明材料，不提供不得分。</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②若合同无法说明项目内容符合上述同类项目经验范围，可提供甲方出具的相应证明文件作依据（证明文件须加盖合同甲方公司章或合同章，或甲方项目使用部门部门章）。</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③若合同无相关签订时间，则以合同中能够体现的服务起始时间进行认定。</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④证明材料不完整、不清晰、</w:t>
            </w:r>
            <w:r>
              <w:rPr>
                <w:rFonts w:hint="eastAsia" w:ascii="仿宋" w:hAnsi="仿宋" w:eastAsia="仿宋" w:cs="宋体"/>
                <w:bCs/>
                <w:szCs w:val="21"/>
                <w:lang w:val="en-US" w:eastAsia="zh-CN"/>
              </w:rPr>
              <w:t>项目小组</w:t>
            </w:r>
            <w:r>
              <w:rPr>
                <w:rFonts w:hint="eastAsia" w:ascii="仿宋" w:hAnsi="仿宋" w:eastAsia="仿宋" w:cs="宋体"/>
                <w:bCs/>
                <w:szCs w:val="21"/>
              </w:rPr>
              <w:t>无法确定业绩关键信息的将不予认可。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4</w:t>
            </w:r>
          </w:p>
        </w:tc>
        <w:tc>
          <w:tcPr>
            <w:tcW w:w="1068"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软件著</w:t>
            </w:r>
          </w:p>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作权</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84" w:type="dxa"/>
            <w:vAlign w:val="center"/>
          </w:tcPr>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供应商为本项目服务所使用的</w:t>
            </w:r>
            <w:r>
              <w:rPr>
                <w:rFonts w:hint="eastAsia" w:ascii="仿宋" w:hAnsi="仿宋" w:eastAsia="仿宋" w:cs="宋体"/>
                <w:b w:val="0"/>
                <w:bCs/>
                <w:szCs w:val="21"/>
              </w:rPr>
              <w:t>大数据</w:t>
            </w:r>
            <w:r>
              <w:rPr>
                <w:rFonts w:hint="eastAsia" w:ascii="仿宋" w:hAnsi="仿宋" w:eastAsia="仿宋" w:cs="宋体"/>
                <w:b w:val="0"/>
                <w:bCs/>
                <w:szCs w:val="21"/>
                <w:lang w:eastAsia="zh-CN"/>
              </w:rPr>
              <w:t>、</w:t>
            </w:r>
            <w:r>
              <w:rPr>
                <w:rFonts w:hint="eastAsia" w:ascii="仿宋" w:hAnsi="仿宋" w:eastAsia="仿宋" w:cs="宋体"/>
                <w:b w:val="0"/>
                <w:bCs/>
                <w:szCs w:val="21"/>
              </w:rPr>
              <w:t>行为分析</w:t>
            </w:r>
            <w:r>
              <w:rPr>
                <w:rFonts w:hint="eastAsia" w:ascii="仿宋" w:hAnsi="仿宋" w:eastAsia="仿宋" w:cs="宋体"/>
                <w:b w:val="0"/>
                <w:bCs/>
                <w:szCs w:val="21"/>
                <w:lang w:eastAsia="zh-CN"/>
              </w:rPr>
              <w:t>、</w:t>
            </w:r>
            <w:r>
              <w:rPr>
                <w:rFonts w:hint="eastAsia" w:ascii="仿宋" w:hAnsi="仿宋" w:eastAsia="仿宋" w:cs="宋体"/>
                <w:b w:val="0"/>
                <w:bCs/>
                <w:szCs w:val="21"/>
              </w:rPr>
              <w:t>知识管理</w:t>
            </w:r>
            <w:r>
              <w:rPr>
                <w:rFonts w:hint="eastAsia" w:ascii="仿宋" w:hAnsi="仿宋" w:eastAsia="仿宋" w:cs="宋体"/>
                <w:bCs/>
                <w:szCs w:val="21"/>
              </w:rPr>
              <w:t>等相关软件具有自有计算机软件著作权登记证书的，每提供一个得5分，最高得10分。</w:t>
            </w:r>
          </w:p>
          <w:p>
            <w:pPr>
              <w:spacing w:before="93" w:beforeLines="30" w:after="93" w:afterLines="30"/>
              <w:ind w:firstLine="210" w:firstLineChars="100"/>
              <w:rPr>
                <w:rFonts w:hint="eastAsia" w:ascii="仿宋" w:hAnsi="仿宋" w:eastAsia="仿宋" w:cs="宋体"/>
                <w:bCs/>
                <w:szCs w:val="21"/>
                <w:lang w:eastAsia="zh-CN"/>
              </w:rPr>
            </w:pPr>
            <w:r>
              <w:rPr>
                <w:rFonts w:hint="eastAsia" w:ascii="仿宋" w:hAnsi="仿宋" w:eastAsia="仿宋" w:cs="宋体"/>
                <w:bCs/>
                <w:szCs w:val="21"/>
                <w:lang w:val="en-US" w:eastAsia="zh-CN"/>
              </w:rPr>
              <w:t>注</w:t>
            </w:r>
            <w:r>
              <w:rPr>
                <w:rFonts w:hint="eastAsia" w:ascii="仿宋" w:hAnsi="仿宋" w:eastAsia="仿宋" w:cs="宋体"/>
                <w:bCs/>
                <w:szCs w:val="21"/>
              </w:rPr>
              <w:t>：①要求提供国家版权局颁发的有效的计算机相关的软件著作权登记证书复印件作为得分依据，证书所属人必须为供应商</w:t>
            </w:r>
            <w:r>
              <w:rPr>
                <w:rFonts w:hint="eastAsia" w:ascii="仿宋" w:hAnsi="仿宋" w:eastAsia="仿宋" w:cs="宋体"/>
                <w:bCs/>
                <w:szCs w:val="21"/>
                <w:lang w:eastAsia="zh-CN"/>
              </w:rPr>
              <w:t>。</w:t>
            </w:r>
          </w:p>
          <w:p>
            <w:pPr>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lang w:val="en-US" w:eastAsia="zh-CN"/>
              </w:rPr>
              <w:t>②</w:t>
            </w:r>
            <w:r>
              <w:rPr>
                <w:rFonts w:hint="eastAsia" w:ascii="仿宋" w:hAnsi="仿宋" w:eastAsia="仿宋" w:cs="宋体"/>
                <w:bCs/>
                <w:szCs w:val="21"/>
              </w:rPr>
              <w:t>以上资料均要求提供复印件并加盖供应商公章。评分中出现无证明资料或专家无法凭所提供资料判断是否得分的情况，一律作不得分处理。</w:t>
            </w:r>
          </w:p>
        </w:tc>
      </w:tr>
      <w:bookmarkEnd w:id="15"/>
    </w:tbl>
    <w:p>
      <w:pPr>
        <w:pStyle w:val="8"/>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277"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277" w:type="dxa"/>
            <w:shd w:val="clear" w:color="auto" w:fill="F1F1F1" w:themeFill="background1" w:themeFillShade="F2"/>
            <w:vAlign w:val="center"/>
          </w:tcPr>
          <w:p>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277" w:type="dxa"/>
            <w:shd w:val="clear" w:color="auto" w:fill="F1F1F1" w:themeFill="background1" w:themeFillShade="F2"/>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项目实施方案</w:t>
            </w:r>
          </w:p>
        </w:tc>
        <w:tc>
          <w:tcPr>
            <w:tcW w:w="851"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277" w:type="dxa"/>
            <w:shd w:val="clear" w:color="auto" w:fill="auto"/>
            <w:vAlign w:val="center"/>
          </w:tcPr>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w:t>
            </w:r>
            <w:r>
              <w:rPr>
                <w:rFonts w:hint="eastAsia" w:ascii="仿宋" w:hAnsi="仿宋" w:eastAsia="仿宋" w:cs="宋体"/>
                <w:bCs/>
                <w:szCs w:val="21"/>
                <w:lang w:val="en-US" w:eastAsia="zh-CN"/>
              </w:rPr>
              <w:t>需求</w:t>
            </w:r>
            <w:r>
              <w:rPr>
                <w:rFonts w:hint="eastAsia" w:ascii="仿宋" w:hAnsi="仿宋" w:eastAsia="仿宋" w:cs="宋体"/>
                <w:bCs/>
                <w:szCs w:val="21"/>
              </w:rPr>
              <w:t>所编写的技术实施方案情况。技术实施方案包括但不限于</w:t>
            </w:r>
            <w:r>
              <w:rPr>
                <w:rFonts w:hint="eastAsia" w:ascii="仿宋" w:hAnsi="仿宋" w:eastAsia="仿宋" w:cs="宋体"/>
                <w:b/>
                <w:szCs w:val="21"/>
                <w:lang w:val="en-US" w:eastAsia="zh-CN"/>
              </w:rPr>
              <w:t>对项目服务要求的理解、项目服务要求的具体解决方案</w:t>
            </w:r>
            <w:r>
              <w:rPr>
                <w:rFonts w:hint="eastAsia" w:ascii="仿宋" w:hAnsi="仿宋" w:eastAsia="仿宋" w:cs="宋体"/>
                <w:bCs/>
                <w:szCs w:val="21"/>
              </w:rPr>
              <w:t>等内容。根据上述内容要点进行综合评分，具体如下：</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w:t>
            </w:r>
            <w:r>
              <w:rPr>
                <w:rFonts w:hint="eastAsia" w:ascii="仿宋" w:hAnsi="仿宋" w:eastAsia="仿宋" w:cs="宋体"/>
                <w:bCs/>
                <w:szCs w:val="21"/>
              </w:rPr>
              <w:t>实施方案规划详细、科学合理、契合实际情况，符合项目进度要求，项目管理架构清晰，可行性较高，得</w:t>
            </w:r>
            <w:r>
              <w:rPr>
                <w:rFonts w:hint="eastAsia" w:ascii="仿宋" w:hAnsi="仿宋" w:eastAsia="仿宋" w:cs="宋体"/>
                <w:bCs/>
                <w:szCs w:val="21"/>
                <w:lang w:val="en-US" w:eastAsia="zh-CN"/>
              </w:rPr>
              <w:t>20</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w:t>
            </w:r>
            <w:r>
              <w:rPr>
                <w:rFonts w:hint="eastAsia" w:ascii="仿宋" w:hAnsi="仿宋" w:eastAsia="仿宋" w:cs="宋体"/>
                <w:bCs/>
                <w:szCs w:val="21"/>
              </w:rPr>
              <w:t>实施方案规划较详细、合理，基本契合实际情况，符合项目进度要求，项目管理架构较为清晰，具有一定可行性，得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w:t>
            </w:r>
            <w:r>
              <w:rPr>
                <w:rFonts w:hint="eastAsia" w:ascii="仿宋" w:hAnsi="仿宋" w:eastAsia="仿宋" w:cs="宋体"/>
                <w:bCs/>
                <w:szCs w:val="21"/>
              </w:rPr>
              <w:t>实施方案规划一般，内容较为笼统，上述所列的内容要点存在欠缺，需进一步细化才能满足实际需求，可行性一般，得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hint="eastAsia"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w:t>
            </w:r>
            <w:r>
              <w:rPr>
                <w:rFonts w:hint="eastAsia" w:ascii="仿宋" w:hAnsi="仿宋" w:eastAsia="仿宋" w:cs="宋体"/>
                <w:bCs/>
                <w:szCs w:val="21"/>
              </w:rPr>
              <w:t>实施方案内容不完善，无法有效体现上述所列各要点或存在严重的偏差，与项目要求关联性差，可操作性较差，得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autoSpaceDE w:val="0"/>
              <w:autoSpaceDN w:val="0"/>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w:t>
            </w:r>
            <w:r>
              <w:rPr>
                <w:rFonts w:hint="eastAsia" w:ascii="仿宋" w:hAnsi="仿宋" w:eastAsia="仿宋" w:cs="宋体"/>
                <w:bCs/>
                <w:szCs w:val="21"/>
                <w:lang w:val="en-US" w:eastAsia="zh-CN"/>
              </w:rPr>
              <w:t>.</w:t>
            </w:r>
            <w:r>
              <w:rPr>
                <w:rFonts w:hint="eastAsia" w:ascii="仿宋" w:hAnsi="仿宋" w:eastAsia="仿宋" w:cs="宋体"/>
                <w:bCs/>
                <w:szCs w:val="21"/>
              </w:rPr>
              <w:t>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bookmarkStart w:id="17" w:name="_Hlk163650616"/>
            <w:r>
              <w:rPr>
                <w:rFonts w:hint="eastAsia" w:ascii="仿宋" w:hAnsi="仿宋" w:eastAsia="仿宋" w:cs="宋体"/>
                <w:bCs/>
                <w:szCs w:val="21"/>
              </w:rPr>
              <w:t>2</w:t>
            </w:r>
          </w:p>
        </w:tc>
        <w:tc>
          <w:tcPr>
            <w:tcW w:w="113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项目执行进度计划</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277" w:type="dxa"/>
            <w:vAlign w:val="top"/>
          </w:tcPr>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针对本项目所编制的详细计划进度表。</w:t>
            </w:r>
            <w:r>
              <w:rPr>
                <w:rFonts w:hint="eastAsia" w:ascii="仿宋" w:hAnsi="仿宋" w:eastAsia="仿宋" w:cs="宋体"/>
                <w:bCs/>
                <w:szCs w:val="21"/>
                <w:lang w:val="en-US" w:eastAsia="zh-CN"/>
              </w:rPr>
              <w:t>进度表应包含</w:t>
            </w:r>
            <w:r>
              <w:rPr>
                <w:rFonts w:hint="eastAsia" w:ascii="仿宋" w:hAnsi="仿宋" w:eastAsia="仿宋" w:cs="宋体"/>
                <w:b/>
                <w:bCs w:val="0"/>
                <w:szCs w:val="21"/>
                <w:lang w:val="en-US" w:eastAsia="zh-CN"/>
              </w:rPr>
              <w:t>不同阶段计划、完成该阶段计划对应的时间节点</w:t>
            </w:r>
            <w:r>
              <w:rPr>
                <w:rFonts w:hint="eastAsia" w:ascii="仿宋" w:hAnsi="仿宋" w:eastAsia="仿宋" w:cs="宋体"/>
                <w:bCs/>
                <w:szCs w:val="21"/>
              </w:rPr>
              <w:t>等内容</w:t>
            </w:r>
            <w:r>
              <w:rPr>
                <w:rFonts w:hint="eastAsia" w:ascii="仿宋" w:hAnsi="仿宋" w:eastAsia="仿宋" w:cs="宋体"/>
                <w:bCs/>
                <w:szCs w:val="21"/>
                <w:lang w:eastAsia="zh-CN"/>
              </w:rPr>
              <w:t>。</w:t>
            </w:r>
            <w:r>
              <w:rPr>
                <w:rFonts w:hint="eastAsia" w:ascii="仿宋" w:hAnsi="仿宋" w:eastAsia="仿宋" w:cs="宋体"/>
                <w:bCs/>
                <w:szCs w:val="21"/>
              </w:rPr>
              <w:t>根据上述内容要点进行综合评分，具体如下：</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.计划进度</w:t>
            </w:r>
            <w:r>
              <w:rPr>
                <w:rFonts w:hint="eastAsia" w:ascii="仿宋" w:hAnsi="仿宋" w:eastAsia="仿宋" w:cs="宋体"/>
                <w:bCs/>
                <w:szCs w:val="21"/>
              </w:rPr>
              <w:t>详细、思路清晰，能够覆盖上述所列各要点内容，可行性强，能够满足实际需求，得</w:t>
            </w:r>
            <w:r>
              <w:rPr>
                <w:rFonts w:hint="eastAsia" w:ascii="仿宋" w:hAnsi="仿宋" w:eastAsia="仿宋" w:cs="宋体"/>
                <w:bCs/>
                <w:szCs w:val="21"/>
                <w:lang w:val="en-US" w:eastAsia="zh-CN"/>
              </w:rPr>
              <w:t>20</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.计划进度</w:t>
            </w:r>
            <w:r>
              <w:rPr>
                <w:rFonts w:hint="eastAsia" w:ascii="仿宋" w:hAnsi="仿宋" w:eastAsia="仿宋" w:cs="宋体"/>
                <w:bCs/>
                <w:szCs w:val="21"/>
              </w:rPr>
              <w:t>比较详细，思路也比较清晰，基本能够覆盖上述所列各要点内容，可行性较强，基本能够满足实际需求，得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.计划进度</w:t>
            </w:r>
            <w:r>
              <w:rPr>
                <w:rFonts w:hint="eastAsia" w:ascii="仿宋" w:hAnsi="仿宋" w:eastAsia="仿宋" w:cs="宋体"/>
                <w:bCs/>
                <w:szCs w:val="21"/>
              </w:rPr>
              <w:t>一般，整体内容较为笼统，上述所列的内容要点存在欠缺，可行性一般，得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.计划进度</w:t>
            </w:r>
            <w:r>
              <w:rPr>
                <w:rFonts w:hint="eastAsia" w:ascii="仿宋" w:hAnsi="仿宋" w:eastAsia="仿宋" w:cs="宋体"/>
                <w:bCs/>
                <w:szCs w:val="21"/>
              </w:rPr>
              <w:t>较差，无法体现上述所列各要点或存在严重的偏差，可行性较差，得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w:t>
            </w:r>
            <w:r>
              <w:rPr>
                <w:rFonts w:hint="eastAsia" w:ascii="仿宋" w:hAnsi="仿宋" w:eastAsia="仿宋" w:cs="宋体"/>
                <w:bCs/>
                <w:szCs w:val="21"/>
                <w:lang w:val="en-US" w:eastAsia="zh-CN"/>
              </w:rPr>
              <w:t>.</w:t>
            </w:r>
            <w:r>
              <w:rPr>
                <w:rFonts w:hint="eastAsia" w:ascii="仿宋" w:hAnsi="仿宋" w:eastAsia="仿宋" w:cs="宋体"/>
                <w:bCs/>
                <w:szCs w:val="21"/>
              </w:rPr>
              <w:t>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保密管理及应急保障措施</w:t>
            </w:r>
            <w:r>
              <w:rPr>
                <w:rFonts w:hint="eastAsia" w:ascii="仿宋" w:hAnsi="仿宋" w:eastAsia="仿宋" w:cs="宋体"/>
                <w:bCs/>
                <w:szCs w:val="21"/>
                <w:lang w:val="en-US" w:eastAsia="zh-CN"/>
              </w:rPr>
              <w:t>等</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277" w:type="dxa"/>
            <w:vAlign w:val="center"/>
          </w:tcPr>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针对本项目所编制的保密管理及应急保障措施。内容包含不限于</w:t>
            </w:r>
            <w:r>
              <w:rPr>
                <w:rFonts w:hint="eastAsia" w:ascii="仿宋" w:hAnsi="仿宋" w:eastAsia="仿宋" w:cs="宋体"/>
                <w:b/>
                <w:bCs w:val="0"/>
                <w:szCs w:val="21"/>
              </w:rPr>
              <w:t>项目保密措施、应急保障措施</w:t>
            </w:r>
            <w:r>
              <w:rPr>
                <w:rFonts w:hint="eastAsia" w:ascii="仿宋" w:hAnsi="仿宋" w:eastAsia="仿宋" w:cs="宋体"/>
                <w:bCs/>
                <w:szCs w:val="21"/>
              </w:rPr>
              <w:t>等。根据内容的优劣情况进行横向比较，具体如下：</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w:t>
            </w:r>
            <w:r>
              <w:rPr>
                <w:rFonts w:hint="eastAsia" w:ascii="仿宋" w:hAnsi="仿宋" w:eastAsia="仿宋" w:cs="宋体"/>
                <w:bCs/>
                <w:szCs w:val="21"/>
              </w:rPr>
              <w:t>内容合理，列有详细的项目保密措施、应急保障措施，整体切实可行，能对项目执行起到保障作用，得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w:t>
            </w:r>
            <w:r>
              <w:rPr>
                <w:rFonts w:hint="eastAsia" w:ascii="仿宋" w:hAnsi="仿宋" w:eastAsia="仿宋" w:cs="宋体"/>
                <w:bCs/>
                <w:szCs w:val="21"/>
              </w:rPr>
              <w:t>内容较为合理，列有简单的项目保密措施、应急保障措施，基本可行，能对项目执行起到一定保障作用，得</w:t>
            </w:r>
            <w:r>
              <w:rPr>
                <w:rFonts w:hint="eastAsia" w:ascii="仿宋" w:hAnsi="仿宋" w:eastAsia="仿宋" w:cs="宋体"/>
                <w:bCs/>
                <w:szCs w:val="21"/>
                <w:lang w:val="en-US" w:eastAsia="zh-CN"/>
              </w:rPr>
              <w:t>7</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w:t>
            </w:r>
            <w:r>
              <w:rPr>
                <w:rFonts w:hint="eastAsia" w:ascii="仿宋" w:hAnsi="仿宋" w:eastAsia="仿宋" w:cs="宋体"/>
                <w:bCs/>
                <w:szCs w:val="21"/>
              </w:rPr>
              <w:t>内容一般，整体内容较为笼统，可行性一般，对项目执行起到保障作用较小，得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w:t>
            </w:r>
            <w:r>
              <w:rPr>
                <w:rFonts w:hint="eastAsia" w:ascii="仿宋" w:hAnsi="仿宋" w:eastAsia="仿宋" w:cs="宋体"/>
                <w:bCs/>
                <w:szCs w:val="21"/>
              </w:rPr>
              <w:t>方案内容较差，存在严重的欠缺，可行性差，得</w:t>
            </w:r>
            <w:r>
              <w:rPr>
                <w:rFonts w:hint="eastAsia" w:ascii="仿宋" w:hAnsi="仿宋" w:eastAsia="仿宋" w:cs="宋体"/>
                <w:bCs/>
                <w:szCs w:val="21"/>
                <w:lang w:val="en-US" w:eastAsia="zh-CN"/>
              </w:rPr>
              <w:t>3</w:t>
            </w:r>
            <w:r>
              <w:rPr>
                <w:rFonts w:hint="eastAsia" w:ascii="仿宋" w:hAnsi="仿宋" w:eastAsia="仿宋" w:cs="宋体"/>
                <w:bCs/>
                <w:szCs w:val="21"/>
              </w:rPr>
              <w:t>分；</w:t>
            </w:r>
          </w:p>
          <w:p>
            <w:pPr>
              <w:spacing w:before="93" w:beforeLines="30" w:after="93" w:afterLines="30"/>
              <w:ind w:firstLine="210" w:firstLineChars="100"/>
              <w:rPr>
                <w:rFonts w:ascii="仿宋" w:hAnsi="仿宋" w:eastAsia="仿宋" w:cs="宋体"/>
                <w:bCs/>
                <w:szCs w:val="21"/>
              </w:rPr>
            </w:pPr>
            <w:r>
              <w:rPr>
                <w:rFonts w:hint="eastAsia" w:ascii="仿宋" w:hAnsi="仿宋" w:eastAsia="仿宋" w:cs="宋体"/>
                <w:bCs/>
                <w:szCs w:val="21"/>
              </w:rPr>
              <w:t>5</w:t>
            </w:r>
            <w:r>
              <w:rPr>
                <w:rFonts w:hint="eastAsia" w:ascii="仿宋" w:hAnsi="仿宋" w:eastAsia="仿宋" w:cs="宋体"/>
                <w:bCs/>
                <w:szCs w:val="21"/>
                <w:lang w:val="en-US" w:eastAsia="zh-CN"/>
              </w:rPr>
              <w:t>.</w:t>
            </w:r>
            <w:r>
              <w:rPr>
                <w:rFonts w:hint="eastAsia" w:ascii="仿宋" w:hAnsi="仿宋" w:eastAsia="仿宋" w:cs="宋体"/>
                <w:bCs/>
                <w:szCs w:val="21"/>
              </w:rPr>
              <w:t>未提供相关内容则不得分。</w:t>
            </w:r>
          </w:p>
        </w:tc>
      </w:tr>
      <w:bookmarkEnd w:id="16"/>
      <w:bookmarkEnd w:id="17"/>
    </w:tbl>
    <w:p>
      <w:pPr>
        <w:pStyle w:val="8"/>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lang w:val="en-US" w:eastAsia="zh-CN"/>
              </w:rPr>
              <w:t>2</w:t>
            </w:r>
            <w:r>
              <w:rPr>
                <w:rFonts w:hint="eastAsia" w:ascii="仿宋" w:hAnsi="仿宋" w:eastAsia="仿宋" w:cs="宋体"/>
                <w:b/>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lang w:val="en-US" w:eastAsia="zh-CN"/>
              </w:rPr>
              <w:t>2</w:t>
            </w:r>
            <w:r>
              <w:rPr>
                <w:rFonts w:hint="eastAsia" w:ascii="仿宋" w:hAnsi="仿宋" w:eastAsia="仿宋" w:cs="宋体"/>
                <w:bCs/>
                <w:szCs w:val="21"/>
              </w:rPr>
              <w:t>0</w:t>
            </w:r>
          </w:p>
        </w:tc>
        <w:tc>
          <w:tcPr>
            <w:tcW w:w="6146" w:type="dxa"/>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w:t>
            </w:r>
            <w:r>
              <w:rPr>
                <w:rFonts w:hint="eastAsia" w:ascii="仿宋" w:hAnsi="仿宋" w:eastAsia="仿宋" w:cs="宋体"/>
                <w:bCs/>
                <w:szCs w:val="21"/>
                <w:lang w:val="en-US" w:eastAsia="zh-CN"/>
              </w:rPr>
              <w:t>2</w:t>
            </w:r>
            <w:r>
              <w:rPr>
                <w:rFonts w:hint="eastAsia" w:ascii="仿宋" w:hAnsi="仿宋" w:eastAsia="仿宋" w:cs="宋体"/>
                <w:bCs/>
                <w:szCs w:val="21"/>
              </w:rPr>
              <w:t>0分。具体公式如下：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pPr>
        <w:pStyle w:val="5"/>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pPr>
        <w:rPr>
          <w:rFonts w:hint="eastAsia" w:ascii="仿宋" w:hAnsi="仿宋" w:eastAsia="仿宋" w:cs="仿宋"/>
          <w:b/>
          <w:sz w:val="24"/>
          <w:szCs w:val="24"/>
          <w:highlight w:val="none"/>
        </w:rPr>
      </w:pPr>
      <w:r>
        <w:rPr>
          <w:rFonts w:hint="eastAsia" w:ascii="仿宋" w:hAnsi="仿宋" w:eastAsia="仿宋" w:cs="仿宋"/>
          <w:b/>
          <w:sz w:val="24"/>
          <w:szCs w:val="24"/>
          <w:highlight w:val="none"/>
        </w:rPr>
        <w:t>3.1.1初步评审</w:t>
      </w:r>
    </w:p>
    <w:p>
      <w:pPr>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3.3.1.1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根据本章评审办法前附表规定的标准对</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进行初步评审。对全部</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进行初步评审，检查</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是否完全满足采购文件要求。初步评审分为</w:t>
      </w:r>
      <w:r>
        <w:rPr>
          <w:rFonts w:hint="eastAsia" w:ascii="仿宋" w:hAnsi="仿宋" w:eastAsia="仿宋" w:cs="仿宋"/>
          <w:kern w:val="0"/>
          <w:sz w:val="24"/>
          <w:szCs w:val="24"/>
          <w:highlight w:val="none"/>
        </w:rPr>
        <w:t>形式及响应性评审</w:t>
      </w:r>
      <w:r>
        <w:rPr>
          <w:rFonts w:hint="eastAsia" w:ascii="仿宋" w:hAnsi="仿宋" w:eastAsia="仿宋" w:cs="仿宋"/>
          <w:sz w:val="24"/>
          <w:szCs w:val="24"/>
          <w:highlight w:val="none"/>
        </w:rPr>
        <w:t>和资格</w:t>
      </w:r>
      <w:r>
        <w:rPr>
          <w:rFonts w:hint="eastAsia" w:ascii="仿宋" w:hAnsi="仿宋" w:eastAsia="仿宋" w:cs="仿宋"/>
          <w:sz w:val="24"/>
          <w:szCs w:val="24"/>
          <w:highlight w:val="none"/>
          <w:lang w:val="en-US" w:eastAsia="zh-CN"/>
        </w:rPr>
        <w:t>评审</w:t>
      </w:r>
      <w:r>
        <w:rPr>
          <w:rFonts w:hint="eastAsia" w:ascii="仿宋" w:hAnsi="仿宋" w:eastAsia="仿宋" w:cs="仿宋"/>
          <w:sz w:val="24"/>
          <w:szCs w:val="24"/>
          <w:highlight w:val="none"/>
        </w:rPr>
        <w:t>。初步评审中有一项不符合评审标准的，将做否决应答处理。</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有以下情形之一的，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应当否决其应答：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不按照</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要求澄清、说明或者补正；</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允许联合体应答的，应答联合体没有递交共同应答协议；</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不符合国家或者采购文件规定的资格条件；</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同一</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递交两个以上不同的</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或者应答报价，但采购文件要求递交备选应答的除外；</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应答报价低于成本或者高于采购文件设定的最高应答限价；</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没有对采购文件的实质性要求和条件做出响应；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有串通应答、弄虚作假、行贿等违法行为；</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以他人名义应答；</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没有按照采购文件要求提供应答担保或者所提供的应答担保有瑕疵；</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载明的采购项目完成期限超过采购文件规定的期限；</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明显不符合技术规格、技术标准的要求；</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载明的货物包装方式、检验标准和方法等不符合采购文件的要求；</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附有采购人不能接受的条件；</w:t>
      </w:r>
    </w:p>
    <w:p>
      <w:pPr>
        <w:pStyle w:val="20"/>
        <w:numPr>
          <w:ilvl w:val="0"/>
          <w:numId w:val="3"/>
        </w:numPr>
        <w:spacing w:line="240" w:lineRule="auto"/>
        <w:ind w:left="0"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不符合采购文件中规定的其他实质性要求。</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3.3.1.3  评审过程中，</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收到低于成本价应答的书面质疑材料、发现</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的综合报价明显低于其他应答报价或者设有标底时明显低于标底，认为应答报价可能低于其个别成本的，应当书面要求该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做出书面说明并提供相关证明材料。</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不能合理说明或者不能提供相应证明材料的，由</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认定该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以低于成本报价应答，</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应当否决其应答。</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3.3.1.4  应答报价有算术错误的，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按照以下原则对应答报价进行修正，修正的价格经</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书面确认后具有约束力。报价不一致的处理原则：</w:t>
      </w:r>
    </w:p>
    <w:p>
      <w:pPr>
        <w:spacing w:line="276"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1）当报价一览表报价信息与分项报价表报价信息不一致时，</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将以分项报价表中的单价报价信息为准，修正其他报价信息。</w:t>
      </w:r>
    </w:p>
    <w:p>
      <w:pPr>
        <w:spacing w:line="276"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总价金额与按单价汇总金额不一致的，以单价金额计算结果为准；但单价金额小数点或者百分比有明显错位的，以总价为准，并修改单价。</w:t>
      </w:r>
    </w:p>
    <w:p>
      <w:pPr>
        <w:pStyle w:val="20"/>
        <w:spacing w:line="240" w:lineRule="auto"/>
        <w:ind w:firstLine="42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如果</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不接受对其错误的更正，其应答无效。</w:t>
      </w:r>
    </w:p>
    <w:p>
      <w:pPr>
        <w:pStyle w:val="20"/>
        <w:spacing w:line="240" w:lineRule="auto"/>
        <w:ind w:firstLine="0" w:firstLineChars="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3.3.2详细评审</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按照本章</w:t>
      </w:r>
      <w:r>
        <w:rPr>
          <w:rFonts w:hint="eastAsia" w:ascii="仿宋" w:hAnsi="仿宋" w:eastAsia="仿宋" w:cs="仿宋"/>
          <w:b/>
          <w:bCs/>
          <w:sz w:val="24"/>
          <w:szCs w:val="24"/>
          <w:highlight w:val="none"/>
          <w:lang w:val="en-US" w:eastAsia="zh-CN"/>
        </w:rPr>
        <w:t>前附的评分标准</w:t>
      </w:r>
      <w:r>
        <w:rPr>
          <w:rFonts w:hint="eastAsia" w:ascii="仿宋" w:hAnsi="仿宋" w:eastAsia="仿宋" w:cs="仿宋"/>
          <w:sz w:val="24"/>
          <w:szCs w:val="24"/>
          <w:highlight w:val="none"/>
        </w:rPr>
        <w:t>进行</w:t>
      </w:r>
      <w:r>
        <w:rPr>
          <w:rFonts w:hint="eastAsia" w:ascii="仿宋" w:hAnsi="仿宋" w:eastAsia="仿宋" w:cs="仿宋"/>
          <w:sz w:val="24"/>
          <w:szCs w:val="24"/>
          <w:highlight w:val="none"/>
          <w:lang w:val="en-US" w:eastAsia="zh-CN"/>
        </w:rPr>
        <w:t>打分</w:t>
      </w:r>
      <w:r>
        <w:rPr>
          <w:rFonts w:hint="eastAsia" w:ascii="仿宋" w:hAnsi="仿宋" w:eastAsia="仿宋" w:cs="仿宋"/>
          <w:sz w:val="24"/>
          <w:szCs w:val="24"/>
          <w:highlight w:val="none"/>
        </w:rPr>
        <w:t>。</w:t>
      </w:r>
    </w:p>
    <w:p>
      <w:pPr>
        <w:pStyle w:val="20"/>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3.3.3</w:t>
      </w:r>
      <w:r>
        <w:rPr>
          <w:rFonts w:hint="eastAsia" w:ascii="仿宋" w:hAnsi="仿宋" w:eastAsia="仿宋" w:cs="仿宋"/>
          <w:b/>
          <w:sz w:val="24"/>
          <w:szCs w:val="24"/>
          <w:highlight w:val="none"/>
          <w:lang w:eastAsia="zh-CN"/>
        </w:rPr>
        <w:t>响应文件</w:t>
      </w:r>
      <w:r>
        <w:rPr>
          <w:rFonts w:hint="eastAsia" w:ascii="仿宋" w:hAnsi="仿宋" w:eastAsia="仿宋" w:cs="仿宋"/>
          <w:b/>
          <w:sz w:val="24"/>
          <w:szCs w:val="24"/>
          <w:highlight w:val="none"/>
        </w:rPr>
        <w:t>的澄清</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3.3.3.1  在评审过程中，</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应当以书面形式要求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对所递交的</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中不明确的内容进行书面澄清、说明或者对</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中的细微偏差进行补正。</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不接受</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主动提出的澄清、说明或者补正。</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3.3.3.2  细微偏差：是指</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在实质上响应采购文件要求，但个别地方存在漏项或者提供了不完整的技术信息和数据等情况，并且补正这些遗漏或者不完整不会对其他</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造成不公平的结果。细微偏差不影响</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的有效性。</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3.3.3.3  澄清、说明和补正不得改变</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的实质性内容（算术性错误修正的除外）。</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的书面澄清、说明和补正属于</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的组成部分。</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3.3.3.4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递交的澄清、说明或者补正有疑问的，可以要求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进一步澄清、说明或者补正，直至满足</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的要求。</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3.3.3.5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必要时可以要求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递交有关证明和证件的原件，以便核验。</w:t>
      </w:r>
      <w:bookmarkStart w:id="18" w:name="_Toc478566443"/>
      <w:bookmarkStart w:id="19" w:name="_Toc478566277"/>
      <w:bookmarkStart w:id="20" w:name="_Toc474148041"/>
      <w:bookmarkStart w:id="21" w:name="_Toc478566085"/>
      <w:bookmarkStart w:id="22" w:name="_Toc478565722"/>
    </w:p>
    <w:p>
      <w:pPr>
        <w:pStyle w:val="20"/>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3.3.4成交候选人推荐原则</w:t>
      </w:r>
      <w:bookmarkEnd w:id="18"/>
      <w:bookmarkEnd w:id="19"/>
      <w:bookmarkEnd w:id="20"/>
      <w:bookmarkEnd w:id="21"/>
      <w:bookmarkEnd w:id="22"/>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成交候选人推荐原则见评审办法前附表。</w:t>
      </w:r>
    </w:p>
    <w:p>
      <w:pPr>
        <w:pStyle w:val="20"/>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3.3.5评审结果</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3.3.5.1  </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完成评审后，应当</w:t>
      </w:r>
      <w:r>
        <w:rPr>
          <w:rFonts w:hint="eastAsia" w:ascii="仿宋" w:hAnsi="仿宋" w:eastAsia="仿宋" w:cs="仿宋"/>
          <w:sz w:val="24"/>
          <w:szCs w:val="24"/>
          <w:highlight w:val="none"/>
          <w:lang w:val="en-US" w:eastAsia="zh-CN"/>
        </w:rPr>
        <w:t>形成统一、完整的</w:t>
      </w:r>
      <w:r>
        <w:rPr>
          <w:rFonts w:hint="eastAsia" w:ascii="仿宋" w:hAnsi="仿宋" w:eastAsia="仿宋" w:cs="仿宋"/>
          <w:sz w:val="24"/>
          <w:szCs w:val="24"/>
          <w:highlight w:val="none"/>
        </w:rPr>
        <w:t>书面评审报告</w:t>
      </w:r>
      <w:r>
        <w:rPr>
          <w:rFonts w:hint="eastAsia" w:ascii="仿宋" w:hAnsi="仿宋" w:eastAsia="仿宋" w:cs="仿宋"/>
          <w:sz w:val="24"/>
          <w:szCs w:val="24"/>
          <w:highlight w:val="none"/>
          <w:lang w:val="en-US" w:eastAsia="zh-CN"/>
        </w:rPr>
        <w:t>或评审纪要</w:t>
      </w:r>
      <w:r>
        <w:rPr>
          <w:rFonts w:hint="eastAsia" w:ascii="仿宋" w:hAnsi="仿宋" w:eastAsia="仿宋" w:cs="仿宋"/>
          <w:sz w:val="24"/>
          <w:szCs w:val="24"/>
          <w:highlight w:val="none"/>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3.3.5.2  评审报告</w:t>
      </w:r>
      <w:r>
        <w:rPr>
          <w:rFonts w:hint="eastAsia" w:ascii="仿宋" w:hAnsi="仿宋" w:eastAsia="仿宋" w:cs="仿宋"/>
          <w:sz w:val="24"/>
          <w:szCs w:val="24"/>
          <w:highlight w:val="none"/>
          <w:lang w:val="en-US" w:eastAsia="zh-CN"/>
        </w:rPr>
        <w:t>或评审纪要</w:t>
      </w:r>
      <w:r>
        <w:rPr>
          <w:rFonts w:hint="eastAsia" w:ascii="仿宋" w:hAnsi="仿宋" w:eastAsia="仿宋" w:cs="仿宋"/>
          <w:sz w:val="24"/>
          <w:szCs w:val="24"/>
          <w:highlight w:val="none"/>
        </w:rPr>
        <w:t>应当包括下列内容：</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（1）项目简介；</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（2）采购过程简介；</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项目小组初步评审情况说明（包含</w:t>
      </w:r>
      <w:r>
        <w:rPr>
          <w:rFonts w:hint="eastAsia" w:ascii="仿宋" w:hAnsi="仿宋" w:eastAsia="仿宋" w:cs="仿宋"/>
          <w:sz w:val="24"/>
          <w:szCs w:val="24"/>
          <w:highlight w:val="none"/>
        </w:rPr>
        <w:t>否决应答的情况说明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）推荐的</w:t>
      </w:r>
      <w:r>
        <w:rPr>
          <w:rFonts w:hint="eastAsia" w:ascii="仿宋" w:hAnsi="仿宋" w:eastAsia="仿宋" w:cs="仿宋"/>
          <w:sz w:val="24"/>
          <w:szCs w:val="24"/>
          <w:highlight w:val="none"/>
          <w:lang w:eastAsia="zh-CN"/>
        </w:rPr>
        <w:t>成交</w:t>
      </w:r>
      <w:r>
        <w:rPr>
          <w:rFonts w:hint="eastAsia" w:ascii="仿宋" w:hAnsi="仿宋" w:eastAsia="仿宋" w:cs="仿宋"/>
          <w:sz w:val="24"/>
          <w:szCs w:val="24"/>
          <w:highlight w:val="none"/>
        </w:rPr>
        <w:t>候选人名单；</w:t>
      </w:r>
    </w:p>
    <w:p>
      <w:pPr>
        <w:pStyle w:val="20"/>
        <w:spacing w:line="240" w:lineRule="auto"/>
        <w:ind w:firstLine="42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）签订合同前要处理的事宜；</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）澄清、说明、补正事项纪要；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p>
    <w:p>
      <w:pPr>
        <w:pStyle w:val="20"/>
        <w:spacing w:line="24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成员名单及本人签字、拒绝在评审报告上签字的</w:t>
      </w:r>
      <w:r>
        <w:rPr>
          <w:rFonts w:hint="eastAsia" w:ascii="仿宋" w:hAnsi="仿宋" w:eastAsia="仿宋" w:cs="仿宋"/>
          <w:sz w:val="24"/>
          <w:szCs w:val="24"/>
          <w:highlight w:val="none"/>
          <w:lang w:eastAsia="zh-CN"/>
        </w:rPr>
        <w:t>项目小组</w:t>
      </w:r>
      <w:r>
        <w:rPr>
          <w:rFonts w:hint="eastAsia" w:ascii="仿宋" w:hAnsi="仿宋" w:eastAsia="仿宋" w:cs="仿宋"/>
          <w:sz w:val="24"/>
          <w:szCs w:val="24"/>
          <w:highlight w:val="none"/>
        </w:rPr>
        <w:t>成员名单及其陈述的不同意见和理由。</w:t>
      </w:r>
    </w:p>
    <w:p>
      <w:pPr>
        <w:pStyle w:val="20"/>
        <w:spacing w:line="240" w:lineRule="auto"/>
        <w:ind w:firstLine="420"/>
        <w:rPr>
          <w:rFonts w:hint="eastAsia" w:ascii="仿宋" w:hAnsi="仿宋" w:eastAsia="仿宋" w:cs="仿宋"/>
          <w:sz w:val="21"/>
          <w:highlight w:val="none"/>
        </w:rPr>
      </w:pPr>
    </w:p>
    <w:p>
      <w:pPr>
        <w:rPr>
          <w:rFonts w:hint="eastAsia" w:ascii="宋体" w:hAnsi="宋体" w:eastAsia="宋体" w:cs="宋体"/>
          <w:sz w:val="21"/>
          <w:highlight w:val="none"/>
        </w:rPr>
      </w:pPr>
      <w:r>
        <w:rPr>
          <w:rFonts w:hint="eastAsia" w:ascii="宋体" w:hAnsi="宋体" w:eastAsia="宋体" w:cs="宋体"/>
          <w:sz w:val="21"/>
          <w:highlight w:val="none"/>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23" w:name="_Toc4457"/>
      <w:r>
        <w:rPr>
          <w:rFonts w:hint="eastAsia" w:ascii="方正小标宋简体" w:hAnsi="方正小标宋简体" w:eastAsia="方正小标宋简体" w:cs="方正小标宋简体"/>
          <w:b/>
          <w:kern w:val="2"/>
          <w:sz w:val="36"/>
          <w:szCs w:val="36"/>
          <w:lang w:val="en-US" w:eastAsia="zh-CN" w:bidi="ar-SA"/>
        </w:rPr>
        <w:t>第三章 采购需求书</w:t>
      </w:r>
      <w:bookmarkEnd w:id="23"/>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spacing w:before="62" w:beforeLines="20" w:after="62" w:afterLines="20" w:line="400" w:lineRule="exact"/>
        <w:ind w:firstLine="422" w:firstLineChars="200"/>
        <w:textAlignment w:val="baseline"/>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pPr>
        <w:pStyle w:val="19"/>
        <w:numPr>
          <w:ilvl w:val="0"/>
          <w:numId w:val="0"/>
        </w:numPr>
        <w:snapToGrid w:val="0"/>
        <w:spacing w:before="120" w:after="120"/>
        <w:ind w:leftChars="0"/>
        <w:jc w:val="center"/>
        <w:outlineLvl w:val="9"/>
        <w:rPr>
          <w:rFonts w:hint="eastAsia" w:asciiTheme="minorEastAsia" w:hAnsiTheme="minorEastAsia" w:eastAsiaTheme="minorEastAsia" w:cstheme="minorEastAsia"/>
          <w:b/>
          <w:bCs/>
          <w:sz w:val="32"/>
          <w:szCs w:val="32"/>
          <w:lang w:val="en-US" w:eastAsia="zh-CN"/>
        </w:rPr>
      </w:pPr>
    </w:p>
    <w:p>
      <w:pP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网站优化咨询服务项目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采购需求</w:t>
      </w:r>
    </w:p>
    <w:p>
      <w:pPr>
        <w:pStyle w:val="2"/>
        <w:keepNext w:val="0"/>
        <w:keepLines w:val="0"/>
        <w:pageBreakBefore w:val="0"/>
        <w:widowControl w:val="0"/>
        <w:kinsoku/>
        <w:wordWrap/>
        <w:overflowPunct/>
        <w:topLinePunct w:val="0"/>
        <w:autoSpaceDE w:val="0"/>
        <w:autoSpaceDN w:val="0"/>
        <w:bidi w:val="0"/>
        <w:adjustRightInd w:val="0"/>
        <w:snapToGrid/>
        <w:spacing w:line="240" w:lineRule="exact"/>
        <w:ind w:left="901"/>
        <w:textAlignment w:val="auto"/>
        <w:rPr>
          <w:rFonts w:hint="default"/>
          <w:sz w:val="32"/>
          <w:szCs w:val="32"/>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240" w:lineRule="exact"/>
        <w:ind w:left="901"/>
        <w:textAlignment w:val="auto"/>
        <w:rPr>
          <w:rFonts w:hint="default"/>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一、供应商服务内容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为全面提升网站内容质量、服务水平与群众使用体验，夯实政务服务线上阵地建设，通过采购网站优化咨询服务，针对网站整体质量、服务体验、政务服务框架合理性等维度开展全面诊断评估，梳理形成科学合理、可落地可操作的优化意见建议，助力网站长效提质、精准增效。</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黑体" w:hAnsi="黑体" w:eastAsia="黑体" w:cs="黑体"/>
          <w:b w:val="0"/>
          <w:bCs w:val="0"/>
          <w:sz w:val="28"/>
          <w:szCs w:val="28"/>
        </w:rPr>
      </w:pPr>
      <w:r>
        <w:rPr>
          <w:rFonts w:hint="eastAsia" w:ascii="黑体" w:hAnsi="黑体" w:eastAsia="黑体" w:cs="黑体"/>
          <w:b w:val="0"/>
          <w:bCs w:val="0"/>
          <w:sz w:val="28"/>
          <w:szCs w:val="28"/>
        </w:rPr>
        <w:t>二、项目服务要求和成果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1.服务要求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上级相关政策文件及考核指标要求，对指定网站进行内容质量及服务体验方面的考评，包括不限于发布解读、在线服务、互动交流的覆盖度；网上服务内容可用性；信息发布和信件答复及时性；办事指南要素规范性、样表提供情况；诊断政务服务相关框架合理性等等，通过总结合理化、操作性较强的意见和建议，帮助网站进行优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2.工作成果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形成12份《网站预评估诊断报告》。</w:t>
      </w:r>
    </w:p>
    <w:p>
      <w:pPr>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三、项目服务期限</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自合同签订之日起至2027年6月30日。</w:t>
      </w:r>
    </w:p>
    <w:p>
      <w:pPr>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_GB2312" w:hAnsi="仿宋" w:eastAsia="仿宋_GB2312" w:cs="仿宋"/>
          <w:b/>
          <w:bCs/>
          <w:sz w:val="28"/>
          <w:szCs w:val="28"/>
          <w:lang w:val="zh-CN"/>
        </w:rPr>
      </w:pPr>
      <w:r>
        <w:rPr>
          <w:rFonts w:hint="eastAsia" w:ascii="黑体" w:hAnsi="黑体" w:eastAsia="黑体" w:cs="黑体"/>
          <w:b w:val="0"/>
          <w:bCs w:val="0"/>
          <w:sz w:val="28"/>
          <w:szCs w:val="28"/>
          <w:lang w:val="en-US" w:eastAsia="zh-CN"/>
        </w:rPr>
        <w:t>四</w:t>
      </w:r>
      <w:r>
        <w:rPr>
          <w:rFonts w:hint="eastAsia" w:ascii="黑体" w:hAnsi="黑体" w:eastAsia="黑体" w:cs="黑体"/>
          <w:b w:val="0"/>
          <w:bCs w:val="0"/>
          <w:sz w:val="28"/>
          <w:szCs w:val="28"/>
          <w:lang w:val="zh-CN"/>
        </w:rPr>
        <w:t>、供应商资质要求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lang w:eastAsia="zh-CN"/>
        </w:rPr>
      </w:pPr>
      <w:r>
        <w:rPr>
          <w:rFonts w:hint="eastAsia" w:ascii="仿宋" w:hAnsi="仿宋" w:eastAsia="仿宋" w:cs="仿宋"/>
          <w:sz w:val="28"/>
          <w:szCs w:val="28"/>
        </w:rPr>
        <w:t>基本条件：满足《中华人民共和国政府采购法》第二十二条规定。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32"/>
          <w:szCs w:val="32"/>
        </w:rPr>
      </w:pPr>
      <w:r>
        <w:rPr>
          <w:rFonts w:hint="eastAsia" w:ascii="仿宋" w:hAnsi="仿宋" w:eastAsia="仿宋" w:cs="仿宋"/>
          <w:sz w:val="32"/>
          <w:szCs w:val="32"/>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24" w:name="_Toc1917"/>
      <w:r>
        <w:rPr>
          <w:rFonts w:hint="eastAsia" w:ascii="方正小标宋简体" w:hAnsi="方正小标宋简体" w:eastAsia="方正小标宋简体" w:cs="方正小标宋简体"/>
          <w:b/>
          <w:kern w:val="2"/>
          <w:sz w:val="36"/>
          <w:szCs w:val="36"/>
          <w:lang w:val="en-US" w:eastAsia="zh-CN" w:bidi="ar-SA"/>
        </w:rPr>
        <w:t>第四章 商务合同</w:t>
      </w:r>
      <w:bookmarkEnd w:id="24"/>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宋体" w:hAnsi="宋体" w:eastAsia="宋体" w:cs="宋体"/>
          <w:b/>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网站优化咨询服务项目合同书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 xml:space="preserve">乙双方经过平等友好协商，依照《中华人民共和国民法典》等相关法律法规，现就双方合作事宜达成如下协议，以资共同遵守。 </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 xml:space="preserve">服务要求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（一）服务内容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履行期限</w:t>
      </w:r>
      <w:r>
        <w:rPr>
          <w:rFonts w:hint="eastAsia" w:ascii="仿宋" w:hAnsi="仿宋" w:eastAsia="仿宋" w:cs="仿宋"/>
          <w:sz w:val="28"/>
          <w:szCs w:val="28"/>
          <w:highlight w:val="none"/>
          <w:lang w:eastAsia="zh-CN"/>
        </w:rPr>
        <w:t>：自合同签订之日起至202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lang w:eastAsia="zh-CN"/>
        </w:rPr>
        <w:t>日。</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二、合同金额及付款方式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1.合同金额（含税）为人民币【 】元，上述费用已包含乙方为完成本合同规定的各项内容所需的所有费用。与本合同相关的税费由乙方承担，本合同总价为含税价；</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合同签订后，乙方向甲方提供等额增值税专用发票，甲方收到最终客户方对应款项的前提下，于30个工作日内向乙方支付合同总额的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合同签订六个月后，</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完成</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份《</w:t>
      </w:r>
      <w:r>
        <w:rPr>
          <w:rFonts w:hint="eastAsia" w:ascii="仿宋" w:hAnsi="仿宋" w:eastAsia="仿宋" w:cs="仿宋"/>
          <w:sz w:val="28"/>
          <w:szCs w:val="28"/>
          <w:highlight w:val="none"/>
          <w:lang w:val="en-US" w:eastAsia="zh-CN"/>
        </w:rPr>
        <w:t>网站预评估诊断报告</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甲方对成果验收无误，乙方向甲方提供等额增值税专用发票，甲方收到最终客户方对应款项的前提下，于30个工作日内向乙方支付合同总额的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甲方对本合同第一条所列成果验收无误，乙方向甲方提供等额增值税专用发票，甲方收到最终客户方对应款项的前提下，于30个工作日内向乙方支付合同总额的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与本合同相关的税费由乙方承担，本合同总价为含税价；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3.付款方式：银行转账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名称：</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乙方保证以上账号信息准确无误，若有变更乙方应至少提前5个工作日以书面方式通知甲方，否则由乙方自行承担所有后果及责任</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若甲方接受最终客户方对本项目验收未达到目标导致费用扣减时，乙方同意将同时在甲方支付的款项中进行同等扣减。</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7.涉及产品或着服务发放的，相关税费由乙方负责代扣代缴。</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、知识产权约定</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1.乙方因履行本合同制作的任何工作成果，其全部知识产权</w:t>
      </w:r>
      <w:r>
        <w:rPr>
          <w:rFonts w:hint="eastAsia" w:ascii="仿宋" w:hAnsi="仿宋" w:eastAsia="仿宋" w:cs="仿宋"/>
          <w:sz w:val="28"/>
          <w:szCs w:val="28"/>
          <w:highlight w:val="none"/>
          <w:lang w:val="en-US" w:eastAsia="zh-CN"/>
        </w:rPr>
        <w:t>及所有权</w:t>
      </w:r>
      <w:r>
        <w:rPr>
          <w:rFonts w:hint="eastAsia" w:ascii="仿宋" w:hAnsi="仿宋" w:eastAsia="仿宋" w:cs="仿宋"/>
          <w:sz w:val="28"/>
          <w:szCs w:val="28"/>
          <w:highlight w:val="none"/>
        </w:rPr>
        <w:t>归甲方所有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2.本合同所提交的工作成果由乙方独立制作，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不可交由第三方，否则由此产生的纠纷由乙方负责处理并承担责任</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四</w:t>
      </w:r>
      <w:r>
        <w:rPr>
          <w:rFonts w:hint="eastAsia" w:ascii="仿宋" w:hAnsi="仿宋" w:eastAsia="仿宋" w:cs="仿宋"/>
          <w:sz w:val="28"/>
          <w:szCs w:val="28"/>
          <w:highlight w:val="none"/>
        </w:rPr>
        <w:t>、双方的权利和义务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（一）甲方的权利义务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2.甲方对乙方提供的成果内容有最终审定权，</w:t>
      </w:r>
      <w:r>
        <w:rPr>
          <w:rFonts w:hint="eastAsia" w:ascii="仿宋" w:hAnsi="仿宋" w:eastAsia="仿宋" w:cs="仿宋"/>
          <w:sz w:val="28"/>
          <w:szCs w:val="28"/>
          <w:highlight w:val="none"/>
        </w:rPr>
        <w:t>有权提出</w:t>
      </w:r>
      <w:r>
        <w:rPr>
          <w:rFonts w:hint="eastAsia" w:ascii="仿宋" w:hAnsi="仿宋" w:eastAsia="仿宋" w:cs="仿宋"/>
          <w:sz w:val="28"/>
          <w:szCs w:val="28"/>
          <w:highlight w:val="none"/>
          <w:lang w:val="en-US" w:eastAsia="zh-CN"/>
        </w:rPr>
        <w:t>合理的</w:t>
      </w:r>
      <w:r>
        <w:rPr>
          <w:rFonts w:hint="eastAsia" w:ascii="仿宋" w:hAnsi="仿宋" w:eastAsia="仿宋" w:cs="仿宋"/>
          <w:sz w:val="28"/>
          <w:szCs w:val="28"/>
          <w:highlight w:val="none"/>
        </w:rPr>
        <w:t>修改意见</w:t>
      </w:r>
      <w:r>
        <w:rPr>
          <w:rFonts w:hint="eastAsia" w:ascii="仿宋" w:hAnsi="仿宋" w:eastAsia="仿宋" w:cs="仿宋"/>
          <w:sz w:val="28"/>
          <w:szCs w:val="28"/>
          <w:highlight w:val="none"/>
          <w:lang w:eastAsia="zh-CN"/>
        </w:rPr>
        <w:t>，乙方应按甲方要求对成果进行修改，使</w:t>
      </w:r>
      <w:r>
        <w:rPr>
          <w:rFonts w:hint="eastAsia" w:ascii="仿宋" w:hAnsi="仿宋" w:eastAsia="仿宋" w:cs="仿宋"/>
          <w:sz w:val="28"/>
          <w:szCs w:val="28"/>
          <w:highlight w:val="none"/>
          <w:lang w:val="en-US" w:eastAsia="zh-CN"/>
        </w:rPr>
        <w:t>工作内容</w:t>
      </w:r>
      <w:r>
        <w:rPr>
          <w:rFonts w:hint="eastAsia" w:ascii="仿宋" w:hAnsi="仿宋" w:eastAsia="仿宋" w:cs="仿宋"/>
          <w:sz w:val="28"/>
          <w:szCs w:val="28"/>
          <w:highlight w:val="none"/>
          <w:lang w:eastAsia="zh-CN"/>
        </w:rPr>
        <w:t>符合甲方的预期要求；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（二）乙方</w:t>
      </w:r>
      <w:r>
        <w:rPr>
          <w:rFonts w:hint="eastAsia" w:ascii="仿宋" w:hAnsi="仿宋" w:eastAsia="仿宋" w:cs="仿宋"/>
          <w:sz w:val="28"/>
          <w:szCs w:val="28"/>
          <w:highlight w:val="none"/>
        </w:rPr>
        <w:t>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乙方不得自行使用或许可他人使用</w:t>
      </w:r>
      <w:r>
        <w:rPr>
          <w:rFonts w:hint="eastAsia" w:ascii="仿宋" w:hAnsi="仿宋" w:eastAsia="仿宋" w:cs="仿宋"/>
          <w:sz w:val="28"/>
          <w:szCs w:val="28"/>
          <w:highlight w:val="none"/>
          <w:lang w:val="en-US" w:eastAsia="zh-CN"/>
        </w:rPr>
        <w:t>本合同涉及的内容，不得将成果再创作或用于其他商业用途</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项目验收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3.双方约定的其他验收规则：【详见《采购需求书》】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、保密信息</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2.乙方不得向第三方泄露、给予或转让本协议条款、签订及履行情况</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3.乙方不得擅自使用、复制甲方的商标、标志、商业信息、技术及其他资料，也不得将信息内容用作其他商业目的</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.合同终止后本条款仍具法律效力，直至相关信息不再具有保密意义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、违约责任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1.若乙方不能按时完成本合同第一条所列内容的，需每日按合同总金额的</w:t>
      </w:r>
      <w:r>
        <w:rPr>
          <w:rFonts w:hint="eastAsia" w:ascii="仿宋" w:hAnsi="仿宋" w:eastAsia="仿宋" w:cs="仿宋"/>
          <w:sz w:val="28"/>
          <w:szCs w:val="28"/>
          <w:highlight w:val="none"/>
          <w:lang w:val="en-US" w:eastAsia="zh-CN"/>
        </w:rPr>
        <w:t>千分之三</w:t>
      </w:r>
      <w:r>
        <w:rPr>
          <w:rFonts w:hint="eastAsia" w:ascii="仿宋" w:hAnsi="仿宋" w:eastAsia="仿宋" w:cs="仿宋"/>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、法律适用及争议解决</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1.若发生争议，双方应首先通过协商解决。协商不成可向甲方所在地人民法院提起诉讼，双方无争议的部分，应当继续履行</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2.本合同的成立、生效、履行、解释及纠纷解决等双方均同意适用中华人民共和国法律</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、不可抗力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十、税费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、其他</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2.本合同签订地为广东省广州市越秀区</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3.除非另有说明，本合同中结算货币为人民币</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――――――――本页以下为盖章页――――――――――</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法定代表人/授权代表：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日期：                         </w:t>
      </w: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rPr>
          <w:rFonts w:hint="eastAsia" w:ascii="方正小标宋简体" w:hAnsi="方正小标宋简体" w:eastAsia="方正小标宋简体" w:cs="方正小标宋简体"/>
          <w:b/>
          <w:kern w:val="2"/>
          <w:sz w:val="36"/>
          <w:szCs w:val="36"/>
          <w:lang w:val="en-US" w:eastAsia="zh-CN" w:bidi="ar-SA"/>
        </w:rPr>
      </w:pPr>
      <w:bookmarkStart w:id="25" w:name="_Toc21956"/>
      <w:r>
        <w:rPr>
          <w:rFonts w:hint="eastAsia" w:ascii="方正小标宋简体" w:hAnsi="方正小标宋简体" w:eastAsia="方正小标宋简体" w:cs="方正小标宋简体"/>
          <w:b/>
          <w:kern w:val="2"/>
          <w:sz w:val="36"/>
          <w:szCs w:val="36"/>
          <w:lang w:val="en-US" w:eastAsia="zh-CN" w:bidi="ar-SA"/>
        </w:rPr>
        <w:br w:type="page"/>
      </w:r>
    </w:p>
    <w:p>
      <w:pPr>
        <w:pStyle w:val="19"/>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r>
        <w:rPr>
          <w:rFonts w:hint="eastAsia" w:ascii="方正小标宋简体" w:hAnsi="方正小标宋简体" w:eastAsia="方正小标宋简体" w:cs="方正小标宋简体"/>
          <w:b/>
          <w:kern w:val="2"/>
          <w:sz w:val="36"/>
          <w:szCs w:val="36"/>
          <w:lang w:val="en-US" w:eastAsia="zh-CN" w:bidi="ar-SA"/>
        </w:rPr>
        <w:t>第五章 响应文件格式</w:t>
      </w:r>
      <w:bookmarkEnd w:id="25"/>
    </w:p>
    <w:p>
      <w:pPr>
        <w:pStyle w:val="5"/>
        <w:keepNext/>
        <w:keepLines/>
        <w:pageBreakBefore w:val="0"/>
        <w:widowControl w:val="0"/>
        <w:numPr>
          <w:ilvl w:val="1"/>
          <w:numId w:val="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6" w:name="_Toc32326"/>
      <w:bookmarkStart w:id="27" w:name="_Toc1878"/>
      <w:r>
        <w:rPr>
          <w:rFonts w:hint="eastAsia" w:ascii="宋体" w:hAnsi="宋体" w:eastAsia="宋体" w:cs="宋体"/>
          <w:highlight w:val="none"/>
        </w:rPr>
        <w:t>应答函</w:t>
      </w:r>
      <w:bookmarkEnd w:id="26"/>
      <w:bookmarkEnd w:id="27"/>
    </w:p>
    <w:p>
      <w:pPr>
        <w:pStyle w:val="21"/>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bookmarkStart w:id="63" w:name="_GoBack"/>
      <w:bookmarkEnd w:id="63"/>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pPr>
        <w:pStyle w:val="21"/>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pPr>
        <w:pStyle w:val="21"/>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pPr>
        <w:pStyle w:val="21"/>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8" w:name="_Toc56432234"/>
      <w:bookmarkStart w:id="29" w:name="_Toc475472674"/>
      <w:bookmarkStart w:id="30" w:name="_Toc26153"/>
      <w:bookmarkStart w:id="31" w:name="_Toc1651899"/>
      <w:bookmarkStart w:id="32" w:name="_Toc68688804"/>
      <w:bookmarkStart w:id="33" w:name="_Toc17459"/>
      <w:bookmarkStart w:id="34" w:name="_Toc18365"/>
      <w:bookmarkStart w:id="35"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8"/>
      <w:bookmarkEnd w:id="29"/>
      <w:bookmarkEnd w:id="30"/>
      <w:bookmarkEnd w:id="31"/>
      <w:bookmarkEnd w:id="32"/>
      <w:bookmarkEnd w:id="33"/>
      <w:bookmarkEnd w:id="34"/>
    </w:p>
    <w:p>
      <w:pPr>
        <w:jc w:val="center"/>
        <w:rPr>
          <w:rFonts w:hint="eastAsia" w:ascii="宋体" w:hAnsi="宋体" w:eastAsia="宋体" w:cs="宋体"/>
          <w:b/>
          <w:sz w:val="24"/>
          <w:highlight w:val="none"/>
        </w:rPr>
      </w:pPr>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pacing w:line="440" w:lineRule="exact"/>
        <w:ind w:firstLine="4305" w:firstLineChars="2050"/>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pPr>
        <w:topLinePunct/>
        <w:spacing w:line="440" w:lineRule="exact"/>
        <w:ind w:left="422"/>
        <w:jc w:val="left"/>
        <w:rPr>
          <w:rFonts w:hint="eastAsia" w:ascii="宋体" w:hAnsi="宋体" w:eastAsia="宋体" w:cs="宋体"/>
          <w:highlight w:val="none"/>
        </w:rPr>
      </w:pP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6" w:name="_Toc438052122"/>
      <w:bookmarkStart w:id="37" w:name="_Toc68688805"/>
      <w:bookmarkStart w:id="38" w:name="_Toc56432235"/>
      <w:bookmarkStart w:id="39" w:name="_Toc475472675"/>
      <w:bookmarkStart w:id="40" w:name="_Toc8603"/>
      <w:bookmarkStart w:id="41" w:name="_Toc3806"/>
      <w:bookmarkStart w:id="42" w:name="_Toc1651900"/>
      <w:bookmarkStart w:id="43" w:name="_Toc27262"/>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6"/>
      <w:bookmarkEnd w:id="37"/>
      <w:bookmarkEnd w:id="38"/>
      <w:bookmarkEnd w:id="39"/>
      <w:bookmarkEnd w:id="40"/>
      <w:bookmarkEnd w:id="41"/>
      <w:bookmarkEnd w:id="42"/>
      <w:bookmarkEnd w:id="43"/>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pPr>
        <w:jc w:val="center"/>
        <w:rPr>
          <w:rFonts w:hint="eastAsia" w:ascii="宋体" w:hAnsi="宋体" w:eastAsia="宋体" w:cs="宋体"/>
          <w:b/>
          <w:sz w:val="24"/>
          <w:highlight w:val="none"/>
        </w:rPr>
      </w:pPr>
    </w:p>
    <w:p>
      <w:pPr>
        <w:numPr>
          <w:ilvl w:val="-1"/>
          <w:numId w:val="0"/>
        </w:numPr>
        <w:spacing w:line="5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cs="宋体"/>
          <w:bCs/>
          <w:szCs w:val="21"/>
          <w:highlight w:val="none"/>
          <w:u w:val="single"/>
          <w:lang w:val="en-US" w:eastAsia="zh-CN"/>
        </w:rPr>
        <w:t xml:space="preserve">               </w:t>
      </w:r>
      <w:r>
        <w:rPr>
          <w:rFonts w:hint="eastAsia" w:ascii="宋体" w:hAnsi="宋体" w:cs="宋体"/>
          <w:bCs/>
          <w:szCs w:val="21"/>
          <w:highlight w:val="none"/>
          <w:u w:val="single"/>
          <w:lang w:eastAsia="zh-CN"/>
        </w:rPr>
        <w:t>项目</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项目编号：</w:t>
      </w:r>
      <w:r>
        <w:rPr>
          <w:rFonts w:hint="eastAsia" w:ascii="宋体" w:hAnsi="宋体" w:cs="宋体"/>
          <w:bCs/>
          <w:szCs w:val="21"/>
          <w:highlight w:val="none"/>
          <w:u w:val="single"/>
          <w:lang w:val="en-US" w:eastAsia="zh-CN"/>
        </w:rPr>
        <w:t xml:space="preserve">           </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lang w:eastAsia="zh-CN"/>
        </w:rPr>
        <w:t>供应商</w:t>
      </w:r>
      <w:r>
        <w:rPr>
          <w:rFonts w:hint="eastAsia" w:ascii="宋体" w:hAnsi="宋体" w:eastAsia="宋体" w:cs="宋体"/>
          <w:bCs/>
          <w:szCs w:val="21"/>
          <w:highlight w:val="none"/>
        </w:rPr>
        <w:t>名称：                               （盖单位公章）</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pPr>
        <w:pStyle w:val="6"/>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widowControl/>
        <w:jc w:val="left"/>
        <w:rPr>
          <w:rFonts w:hint="eastAsia" w:ascii="宋体" w:hAnsi="宋体" w:eastAsia="宋体" w:cs="宋体"/>
          <w:b/>
          <w:bCs/>
          <w:sz w:val="32"/>
          <w:szCs w:val="32"/>
          <w:highlight w:val="none"/>
        </w:rPr>
      </w:pP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4" w:name="_Toc18794"/>
      <w:bookmarkStart w:id="45" w:name="_Toc8223"/>
      <w:r>
        <w:rPr>
          <w:rFonts w:hint="eastAsia" w:ascii="宋体" w:hAnsi="宋体" w:eastAsia="宋体" w:cs="宋体"/>
          <w:highlight w:val="none"/>
        </w:rPr>
        <w:t>供应商基本情况</w:t>
      </w:r>
      <w:bookmarkEnd w:id="35"/>
      <w:bookmarkEnd w:id="44"/>
      <w:bookmarkEnd w:id="45"/>
      <w:r>
        <w:rPr>
          <w:rFonts w:hint="eastAsia" w:ascii="宋体" w:hAnsi="宋体" w:eastAsia="宋体" w:cs="宋体"/>
          <w:highlight w:val="none"/>
          <w:lang w:val="en-US" w:eastAsia="zh-CN"/>
        </w:rPr>
        <w:t>和资质证明材料</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6"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6"/>
      <w:r>
        <w:rPr>
          <w:rFonts w:hint="eastAsia" w:ascii="宋体" w:hAnsi="宋体" w:cs="宋体"/>
          <w:highlight w:val="none"/>
          <w:lang w:eastAsia="zh-CN"/>
        </w:rPr>
        <w:t>；</w:t>
      </w:r>
    </w:p>
    <w:p>
      <w:pPr>
        <w:pStyle w:val="12"/>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pPr>
        <w:pStyle w:val="12"/>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pPr>
        <w:pStyle w:val="12"/>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本采购项目需求中要求的资质证明材料或者评审办法中要求的资质证明文件复印件等。</w:t>
      </w:r>
    </w:p>
    <w:p>
      <w:pPr>
        <w:pStyle w:val="12"/>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eastAsia" w:ascii="宋体" w:hAnsi="宋体" w:cs="宋体"/>
          <w:highlight w:val="none"/>
          <w:lang w:val="en-US" w:eastAsia="zh-CN"/>
        </w:rPr>
      </w:pPr>
    </w:p>
    <w:p>
      <w:pPr>
        <w:pStyle w:val="12"/>
        <w:rPr>
          <w:rFonts w:hint="default" w:ascii="宋体" w:hAnsi="宋体" w:cs="宋体"/>
          <w:highlight w:val="none"/>
          <w:lang w:val="en-US" w:eastAsia="zh-CN"/>
        </w:rPr>
      </w:pPr>
    </w:p>
    <w:p>
      <w:pPr>
        <w:pStyle w:val="21"/>
        <w:spacing w:line="360" w:lineRule="auto"/>
        <w:ind w:left="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3"/>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pPr>
        <w:pStyle w:val="21"/>
        <w:widowControl/>
        <w:numPr>
          <w:ilvl w:val="0"/>
          <w:numId w:val="6"/>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7" w:name="_Toc13174"/>
      <w:bookmarkStart w:id="48" w:name="_Toc12072"/>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7"/>
      <w:bookmarkEnd w:id="48"/>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szCs w:val="21"/>
                <w:highlight w:val="none"/>
              </w:rPr>
            </w:pPr>
          </w:p>
        </w:tc>
      </w:tr>
    </w:tbl>
    <w:p>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9" w:name="_Toc476321849"/>
      <w:bookmarkStart w:id="50" w:name="_Toc10360"/>
      <w:bookmarkStart w:id="51" w:name="_Toc11834"/>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9"/>
      <w:bookmarkEnd w:id="50"/>
      <w:bookmarkEnd w:id="51"/>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2" w:name="_Toc3792"/>
      <w:bookmarkStart w:id="53" w:name="_Toc26958"/>
      <w:bookmarkStart w:id="54" w:name="_Toc476321850"/>
      <w:r>
        <w:rPr>
          <w:rFonts w:hint="eastAsia" w:ascii="宋体" w:hAnsi="宋体" w:eastAsia="宋体" w:cs="宋体"/>
          <w:highlight w:val="none"/>
        </w:rPr>
        <w:t>项目负责人及成员组成情况表</w:t>
      </w:r>
      <w:bookmarkEnd w:id="52"/>
      <w:bookmarkEnd w:id="53"/>
      <w:bookmarkEnd w:id="54"/>
    </w:p>
    <w:p>
      <w:pPr>
        <w:pStyle w:val="21"/>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pPr>
        <w:pStyle w:val="21"/>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both"/>
              <w:rPr>
                <w:rFonts w:hint="eastAsia" w:ascii="宋体" w:hAnsi="宋体" w:eastAsia="宋体" w:cs="宋体"/>
                <w:szCs w:val="21"/>
                <w:highlight w:val="none"/>
              </w:rPr>
            </w:pP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5" w:name="_Toc104"/>
      <w:bookmarkStart w:id="56" w:name="_Toc18330"/>
      <w:bookmarkStart w:id="57" w:name="_Toc1651923"/>
      <w:bookmarkStart w:id="58" w:name="_Toc56432254"/>
      <w:bookmarkStart w:id="59" w:name="_Toc15928"/>
      <w:bookmarkStart w:id="60" w:name="_Toc68688822"/>
      <w:r>
        <w:rPr>
          <w:rFonts w:hint="eastAsia" w:ascii="宋体" w:hAnsi="宋体" w:eastAsia="宋体" w:cs="宋体"/>
          <w:highlight w:val="none"/>
        </w:rPr>
        <w:t>本项目的实施方案</w:t>
      </w:r>
      <w:bookmarkEnd w:id="55"/>
      <w:bookmarkEnd w:id="56"/>
    </w:p>
    <w:p>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default" w:ascii="宋体" w:hAnsi="宋体" w:cs="宋体"/>
          <w:kern w:val="2"/>
          <w:sz w:val="21"/>
          <w:szCs w:val="24"/>
          <w:lang w:val="en-US" w:eastAsia="zh-CN" w:bidi="ar-SA"/>
        </w:rPr>
      </w:pPr>
      <w:r>
        <w:rPr>
          <w:rFonts w:hint="eastAsia" w:ascii="宋体" w:hAnsi="宋体" w:cs="宋体"/>
          <w:b/>
          <w:bCs/>
          <w:kern w:val="2"/>
          <w:sz w:val="21"/>
          <w:szCs w:val="24"/>
          <w:lang w:val="en-US" w:eastAsia="zh-CN" w:bidi="ar-SA"/>
        </w:rPr>
        <w:t>1.项目实施方案。</w:t>
      </w:r>
      <w:r>
        <w:rPr>
          <w:rFonts w:hint="eastAsia" w:ascii="宋体" w:hAnsi="宋体" w:cs="宋体"/>
        </w:rPr>
        <w:t>包括但不限于对项目服务要求的理解、项目服务要求的具体解决方案等内容。</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b/>
          <w:bCs/>
          <w:kern w:val="2"/>
          <w:sz w:val="21"/>
          <w:szCs w:val="24"/>
          <w:lang w:val="en-US" w:eastAsia="zh-CN" w:bidi="ar-SA"/>
        </w:rPr>
        <w:t>2.项目执行进度计划。</w:t>
      </w:r>
      <w:r>
        <w:rPr>
          <w:rFonts w:hint="eastAsia" w:ascii="宋体" w:hAnsi="宋体" w:cs="宋体"/>
          <w:kern w:val="2"/>
          <w:sz w:val="21"/>
          <w:szCs w:val="24"/>
          <w:lang w:val="en-US" w:eastAsia="zh-CN" w:bidi="ar-SA"/>
        </w:rPr>
        <w:t>编制的详细计划进度表，应包含不同阶段计划、完成该阶段计划对应的时间节点等内容。</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b/>
          <w:bCs/>
          <w:kern w:val="2"/>
          <w:sz w:val="21"/>
          <w:szCs w:val="24"/>
          <w:lang w:val="en-US" w:eastAsia="zh-CN" w:bidi="ar-SA"/>
        </w:rPr>
        <w:t>3.保密管理及应急保障措施。</w:t>
      </w:r>
      <w:r>
        <w:rPr>
          <w:rFonts w:hint="eastAsia" w:ascii="宋体" w:hAnsi="宋体" w:cs="宋体"/>
          <w:kern w:val="2"/>
          <w:sz w:val="21"/>
          <w:szCs w:val="24"/>
          <w:lang w:val="en-US" w:eastAsia="zh-CN" w:bidi="ar-SA"/>
        </w:rPr>
        <w:t>内容包含不限于项目保密措施、应急保障措施等。</w:t>
      </w:r>
    </w:p>
    <w:p>
      <w:pPr>
        <w:widowControl/>
        <w:numPr>
          <w:ilvl w:val="0"/>
          <w:numId w:val="0"/>
        </w:numPr>
        <w:jc w:val="left"/>
        <w:rPr>
          <w:rFonts w:hint="eastAsia" w:ascii="宋体" w:hAnsi="宋体" w:eastAsia="宋体" w:cs="宋体"/>
          <w:b/>
          <w:bCs/>
          <w:sz w:val="32"/>
          <w:szCs w:val="32"/>
          <w:highlight w:val="none"/>
        </w:rPr>
      </w:pPr>
      <w:r>
        <w:rPr>
          <w:rFonts w:hint="eastAsia" w:ascii="宋体" w:hAnsi="宋体" w:eastAsia="宋体" w:cs="宋体"/>
          <w:highlight w:val="none"/>
        </w:rPr>
        <w:br w:type="page"/>
      </w:r>
    </w:p>
    <w:p>
      <w:pPr>
        <w:pStyle w:val="5"/>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1" w:name="_Toc17083"/>
      <w:bookmarkStart w:id="62"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7"/>
      <w:bookmarkEnd w:id="58"/>
      <w:bookmarkEnd w:id="59"/>
      <w:bookmarkEnd w:id="60"/>
      <w:bookmarkEnd w:id="61"/>
      <w:r>
        <w:rPr>
          <w:rFonts w:hint="eastAsia" w:ascii="宋体" w:hAnsi="宋体" w:eastAsia="宋体" w:cs="宋体"/>
          <w:highlight w:val="none"/>
        </w:rPr>
        <w:t>函</w:t>
      </w:r>
      <w:bookmarkEnd w:id="62"/>
    </w:p>
    <w:p>
      <w:pPr>
        <w:spacing w:line="360" w:lineRule="auto"/>
        <w:jc w:val="center"/>
        <w:rPr>
          <w:rFonts w:hint="eastAsia" w:ascii="方正小标宋简体" w:hAnsi="方正小标宋简体" w:eastAsia="方正小标宋简体" w:cs="方正小标宋简体"/>
          <w:b w:val="0"/>
          <w:bCs/>
          <w:sz w:val="32"/>
          <w:szCs w:val="32"/>
          <w:lang w:val="en-US" w:eastAsia="zh-CN"/>
        </w:rPr>
      </w:pPr>
      <w:r>
        <w:rPr>
          <w:rFonts w:hint="eastAsia" w:ascii="方正小标宋简体" w:hAnsi="方正小标宋简体" w:eastAsia="方正小标宋简体" w:cs="方正小标宋简体"/>
          <w:b w:val="0"/>
          <w:bCs/>
          <w:sz w:val="32"/>
          <w:szCs w:val="32"/>
          <w:lang w:val="en-US" w:eastAsia="zh-CN"/>
        </w:rPr>
        <w:t>网站优化咨询服务项目</w:t>
      </w:r>
    </w:p>
    <w:p>
      <w:pPr>
        <w:spacing w:line="360" w:lineRule="auto"/>
        <w:jc w:val="center"/>
        <w:rPr>
          <w:rFonts w:hint="eastAsia" w:ascii="仿宋_GB2312" w:hAnsi="仿宋_GB2312" w:eastAsia="仿宋_GB2312" w:cs="仿宋_GB2312"/>
          <w:b w:val="0"/>
          <w:bCs/>
          <w:sz w:val="28"/>
          <w:szCs w:val="28"/>
        </w:rPr>
      </w:pPr>
      <w:r>
        <w:rPr>
          <w:rFonts w:hint="eastAsia" w:ascii="方正小标宋简体" w:hAnsi="方正小标宋简体" w:eastAsia="方正小标宋简体" w:cs="方正小标宋简体"/>
          <w:b w:val="0"/>
          <w:bCs/>
          <w:sz w:val="32"/>
          <w:szCs w:val="32"/>
          <w:lang w:eastAsia="zh-CN"/>
        </w:rPr>
        <w:t>响应</w:t>
      </w:r>
      <w:r>
        <w:rPr>
          <w:rFonts w:hint="eastAsia" w:ascii="方正小标宋简体" w:hAnsi="方正小标宋简体" w:eastAsia="方正小标宋简体" w:cs="方正小标宋简体"/>
          <w:b w:val="0"/>
          <w:bCs/>
          <w:sz w:val="32"/>
          <w:szCs w:val="32"/>
        </w:rPr>
        <w:t>报价</w:t>
      </w:r>
      <w:r>
        <w:rPr>
          <w:rFonts w:hint="eastAsia" w:ascii="方正小标宋简体" w:hAnsi="方正小标宋简体" w:eastAsia="方正小标宋简体" w:cs="方正小标宋简体"/>
          <w:b w:val="0"/>
          <w:bCs/>
          <w:sz w:val="32"/>
          <w:szCs w:val="32"/>
          <w:lang w:eastAsia="zh-CN"/>
        </w:rPr>
        <w:t>函（</w:t>
      </w:r>
      <w:r>
        <w:rPr>
          <w:rFonts w:hint="eastAsia" w:ascii="方正小标宋简体" w:hAnsi="方正小标宋简体" w:eastAsia="方正小标宋简体" w:cs="方正小标宋简体"/>
          <w:b w:val="0"/>
          <w:bCs/>
          <w:sz w:val="32"/>
          <w:szCs w:val="32"/>
          <w:lang w:val="en-US" w:eastAsia="zh-CN"/>
        </w:rPr>
        <w:t>服务类</w:t>
      </w:r>
      <w:r>
        <w:rPr>
          <w:rFonts w:hint="eastAsia" w:ascii="方正小标宋简体" w:hAnsi="方正小标宋简体" w:eastAsia="方正小标宋简体" w:cs="方正小标宋简体"/>
          <w:b w:val="0"/>
          <w:bCs/>
          <w:sz w:val="32"/>
          <w:szCs w:val="32"/>
          <w:lang w:eastAsia="zh-CN"/>
        </w:rPr>
        <w:t>）</w:t>
      </w:r>
    </w:p>
    <w:p>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 xml:space="preserve">  网站优化咨询服务项目</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rPr>
        <w:t>项目编号：</w:t>
      </w:r>
      <w:r>
        <w:rPr>
          <w:rFonts w:hint="eastAsia" w:ascii="宋体" w:hAnsi="宋体" w:cs="宋体"/>
          <w:sz w:val="21"/>
          <w:szCs w:val="21"/>
          <w:u w:val="single"/>
          <w:lang w:val="en-US" w:eastAsia="zh-CN"/>
        </w:rPr>
        <w:t xml:space="preserve">NFWJYCG2026029 </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default" w:ascii="宋体" w:hAnsi="宋体" w:eastAsia="宋体" w:cs="宋体"/>
                <w:b w:val="0"/>
                <w:bCs w:val="0"/>
                <w:color w:val="000000"/>
                <w:kern w:val="0"/>
                <w:sz w:val="21"/>
                <w:szCs w:val="21"/>
                <w:lang w:val="en-US" w:bidi="ar"/>
              </w:rPr>
            </w:pPr>
            <w:r>
              <w:rPr>
                <w:rFonts w:hint="eastAsia" w:ascii="宋体" w:hAnsi="宋体" w:cs="宋体"/>
                <w:sz w:val="21"/>
                <w:szCs w:val="21"/>
                <w:u w:val="single"/>
                <w:lang w:val="en-US" w:eastAsia="zh-CN"/>
              </w:rPr>
              <w:t>网站优化咨询服务项目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pStyle w:val="12"/>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pPr>
        <w:spacing w:line="360" w:lineRule="auto"/>
        <w:jc w:val="center"/>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pPr>
        <w:spacing w:line="360" w:lineRule="auto"/>
        <w:jc w:val="center"/>
        <w:rPr>
          <w:rFonts w:hint="eastAsia" w:ascii="方正小标宋简体" w:hAnsi="方正小标宋简体" w:eastAsia="方正小标宋简体" w:cs="方正小标宋简体"/>
          <w:b/>
          <w:sz w:val="32"/>
          <w:szCs w:val="32"/>
          <w:lang w:val="en-US" w:eastAsia="zh-CN"/>
        </w:rPr>
      </w:pPr>
    </w:p>
    <w:p>
      <w:pPr>
        <w:pStyle w:val="2"/>
        <w:rPr>
          <w:rFonts w:hint="eastAsia"/>
          <w:lang w:val="en-US" w:eastAsia="zh-CN"/>
        </w:rPr>
      </w:pPr>
    </w:p>
    <w:sectPr>
      <w:footerReference r:id="rId3" w:type="default"/>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A9FA9F-6B32-4789-92FD-0318B03FF4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A0DF9621-71C1-446D-BBEF-2B2C54497B89}"/>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630D090A-F449-44FE-A109-FF6B70D68668}"/>
  </w:font>
  <w:font w:name="仿宋_GB2312">
    <w:panose1 w:val="02010609030101010101"/>
    <w:charset w:val="86"/>
    <w:family w:val="modern"/>
    <w:pitch w:val="default"/>
    <w:sig w:usb0="00000001" w:usb1="080E0000" w:usb2="00000000" w:usb3="00000000" w:csb0="00040000" w:csb1="00000000"/>
    <w:embedRegular r:id="rId4" w:fontKey="{864FF88D-9CA5-4177-8E39-95960778410B}"/>
  </w:font>
  <w:font w:name="方正仿宋_GB2312">
    <w:panose1 w:val="02000000000000000000"/>
    <w:charset w:val="86"/>
    <w:family w:val="auto"/>
    <w:pitch w:val="default"/>
    <w:sig w:usb0="A00002BF" w:usb1="184F6CFA" w:usb2="00000012" w:usb3="00000000" w:csb0="00040001" w:csb1="00000000"/>
    <w:embedRegular r:id="rId5" w:fontKey="{46909392-E3D0-41BE-BC74-2DD622BDF5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7EC89450"/>
    <w:multiLevelType w:val="singleLevel"/>
    <w:tmpl w:val="7EC89450"/>
    <w:lvl w:ilvl="0" w:tentative="0">
      <w:start w:val="1"/>
      <w:numFmt w:val="decimal"/>
      <w:suff w:val="nothing"/>
      <w:lvlText w:val="（%1）"/>
      <w:lvlJc w:val="left"/>
    </w:lvl>
  </w:abstractNum>
  <w:num w:numId="1">
    <w:abstractNumId w:val="2"/>
  </w:num>
  <w:num w:numId="2">
    <w:abstractNumId w:val="5"/>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RiYmI0MzQxODI0NmY4MTRkZmExMDk4MzVlZjcifQ=="/>
  </w:docVars>
  <w:rsids>
    <w:rsidRoot w:val="41076707"/>
    <w:rsid w:val="0432510A"/>
    <w:rsid w:val="05B559EA"/>
    <w:rsid w:val="07591AEE"/>
    <w:rsid w:val="08124DC5"/>
    <w:rsid w:val="0EB16484"/>
    <w:rsid w:val="14F361E8"/>
    <w:rsid w:val="14F66C10"/>
    <w:rsid w:val="17456D2B"/>
    <w:rsid w:val="18BE7081"/>
    <w:rsid w:val="1FBF5B37"/>
    <w:rsid w:val="30350128"/>
    <w:rsid w:val="32215A82"/>
    <w:rsid w:val="39395969"/>
    <w:rsid w:val="41076707"/>
    <w:rsid w:val="41CE0B4A"/>
    <w:rsid w:val="42984D0B"/>
    <w:rsid w:val="44DA4549"/>
    <w:rsid w:val="4D3567AE"/>
    <w:rsid w:val="4DF816BE"/>
    <w:rsid w:val="4F0074B3"/>
    <w:rsid w:val="56DE13A5"/>
    <w:rsid w:val="5B661FB2"/>
    <w:rsid w:val="5B751601"/>
    <w:rsid w:val="5B86306C"/>
    <w:rsid w:val="5C9D4D14"/>
    <w:rsid w:val="5F4B37FB"/>
    <w:rsid w:val="66803392"/>
    <w:rsid w:val="6C00009D"/>
    <w:rsid w:val="6C732E81"/>
    <w:rsid w:val="6CF92856"/>
    <w:rsid w:val="6FD97043"/>
    <w:rsid w:val="738F33FE"/>
    <w:rsid w:val="75000257"/>
    <w:rsid w:val="77534E09"/>
    <w:rsid w:val="7917674D"/>
    <w:rsid w:val="7A3D417F"/>
    <w:rsid w:val="7B8E1D26"/>
    <w:rsid w:val="7F8756D1"/>
    <w:rsid w:val="7FF8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6">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9"/>
    <w:qFormat/>
    <w:uiPriority w:val="99"/>
    <w:pPr>
      <w:spacing w:after="120"/>
    </w:pPr>
  </w:style>
  <w:style w:type="paragraph" w:styleId="9">
    <w:name w:val="Quote"/>
    <w:basedOn w:val="1"/>
    <w:next w:val="1"/>
    <w:qFormat/>
    <w:uiPriority w:val="29"/>
    <w:rPr>
      <w:i/>
      <w:iCs/>
      <w:color w:val="000000"/>
    </w:rPr>
  </w:style>
  <w:style w:type="paragraph" w:styleId="10">
    <w:name w:val="footer"/>
    <w:basedOn w:val="1"/>
    <w:unhideWhenUsed/>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8"/>
    <w:qFormat/>
    <w:uiPriority w:val="0"/>
    <w:pPr>
      <w:spacing w:after="120"/>
      <w:ind w:firstLine="420"/>
      <w:jc w:val="both"/>
    </w:pPr>
    <w:rPr>
      <w:sz w:val="21"/>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_Style 3"/>
    <w:basedOn w:val="1"/>
    <w:next w:val="18"/>
    <w:qFormat/>
    <w:uiPriority w:val="0"/>
    <w:pPr>
      <w:ind w:firstLine="420" w:firstLineChars="200"/>
    </w:pPr>
    <w:rPr>
      <w:rFonts w:ascii="等线" w:hAnsi="等线" w:eastAsia="等线" w:cs="Times New Roman"/>
      <w:sz w:val="20"/>
    </w:rPr>
  </w:style>
  <w:style w:type="paragraph" w:customStyle="1" w:styleId="18">
    <w:name w:val="List Paragraph1"/>
    <w:basedOn w:val="1"/>
    <w:qFormat/>
    <w:uiPriority w:val="99"/>
    <w:pPr>
      <w:ind w:firstLine="420" w:firstLineChars="200"/>
    </w:pPr>
  </w:style>
  <w:style w:type="paragraph" w:customStyle="1" w:styleId="19">
    <w:name w:val="bt1bt1"/>
    <w:basedOn w:val="4"/>
    <w:qFormat/>
    <w:uiPriority w:val="0"/>
    <w:pPr>
      <w:spacing w:line="240" w:lineRule="auto"/>
      <w:jc w:val="center"/>
    </w:pPr>
    <w:rPr>
      <w:rFonts w:ascii="黑体" w:eastAsia="黑体"/>
      <w:sz w:val="36"/>
      <w:szCs w:val="36"/>
    </w:rPr>
  </w:style>
  <w:style w:type="paragraph" w:customStyle="1" w:styleId="20">
    <w:name w:val="正文00"/>
    <w:basedOn w:val="1"/>
    <w:qFormat/>
    <w:uiPriority w:val="0"/>
    <w:pPr>
      <w:topLinePunct/>
      <w:spacing w:line="360" w:lineRule="auto"/>
      <w:ind w:firstLine="200" w:firstLineChars="200"/>
    </w:pPr>
    <w:rPr>
      <w:sz w:val="24"/>
      <w:szCs w:val="21"/>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2422</Words>
  <Characters>2492</Characters>
  <Lines>0</Lines>
  <Paragraphs>0</Paragraphs>
  <TotalTime>253</TotalTime>
  <ScaleCrop>false</ScaleCrop>
  <LinksUpToDate>false</LinksUpToDate>
  <CharactersWithSpaces>2602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2026-01-07T10:11:00Z</dcterms:created>
  <dc:creator>用户</dc:creator>
  <cp:lastModifiedBy>刘斯维</cp:lastModifiedBy>
  <dcterms:modified xsi:type="dcterms:W3CDTF">2026-07-17T06:45:32Z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DADDA433E12B4E108EB700CC79D1A39E_13</vt:lpwstr>
  </property>
  <property fmtid="{D5CDD505-2E9C-101B-9397-08002B2CF9AE}" pid="4" name="KSOTemplateDocerSaveRecord">
    <vt:lpwstr>eyJoZGlkIjoiN2FiNjI3ZWJlZTc3N2EyYjIwMzRlZjY4NjhmZDRkMWIiLCJ1c2VySWQiOiI5OTEwNzE5MDgifQ==</vt:lpwstr>
  </property>
</Properties>
</file>