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C24A8">
      <w:pPr>
        <w:spacing w:line="48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日报经营公司东莞美术展馆展陈服务项目</w:t>
      </w:r>
    </w:p>
    <w:p w14:paraId="3074D12A">
      <w:pPr>
        <w:spacing w:line="520" w:lineRule="exact"/>
        <w:jc w:val="center"/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</w:pPr>
    </w:p>
    <w:p w14:paraId="4C87503E">
      <w:pPr>
        <w:spacing w:line="520" w:lineRule="exact"/>
        <w:jc w:val="center"/>
        <w:rPr>
          <w:rFonts w:hint="eastAsia" w:ascii="仿宋" w:hAnsi="仿宋" w:eastAsia="仿宋" w:cs="仿宋"/>
          <w:b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报价函</w:t>
      </w:r>
    </w:p>
    <w:p w14:paraId="625265A8">
      <w:pPr>
        <w:spacing w:line="240" w:lineRule="atLeast"/>
        <w:rPr>
          <w:rFonts w:hint="eastAsia" w:ascii="仿宋" w:hAnsi="仿宋" w:eastAsia="仿宋" w:cs="仿宋"/>
          <w:b/>
          <w:bCs w:val="0"/>
          <w:sz w:val="24"/>
          <w:szCs w:val="24"/>
        </w:rPr>
      </w:pPr>
    </w:p>
    <w:p w14:paraId="2FBA7D63">
      <w:pPr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广东南方日报经营有限公司：</w:t>
      </w:r>
    </w:p>
    <w:p w14:paraId="5E41BF5E">
      <w:pPr>
        <w:adjustRightInd w:val="0"/>
        <w:snapToGrid w:val="0"/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经认真阅读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日报经营公司东莞美术展馆展陈服务项目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采购公告</w:t>
      </w:r>
      <w:r>
        <w:rPr>
          <w:rFonts w:hint="eastAsia" w:ascii="仿宋" w:hAnsi="仿宋" w:eastAsia="仿宋" w:cs="仿宋"/>
          <w:sz w:val="24"/>
          <w:szCs w:val="24"/>
        </w:rPr>
        <w:t>，我司符合本项目的资格条件，已完全了解采购公告的相关内容（采购公告内详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服务内容</w:t>
      </w:r>
      <w:r>
        <w:rPr>
          <w:rFonts w:hint="eastAsia" w:ascii="仿宋" w:hAnsi="仿宋" w:eastAsia="仿宋" w:cs="仿宋"/>
          <w:sz w:val="24"/>
          <w:szCs w:val="24"/>
        </w:rPr>
        <w:t>），承诺按照采购公告的要求提供产品和服务,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分项明细报价与总</w:t>
      </w:r>
      <w:r>
        <w:rPr>
          <w:rFonts w:hint="eastAsia" w:ascii="仿宋" w:hAnsi="仿宋" w:eastAsia="仿宋" w:cs="仿宋"/>
          <w:sz w:val="24"/>
          <w:szCs w:val="24"/>
        </w:rPr>
        <w:t>报价如下：</w:t>
      </w:r>
    </w:p>
    <w:tbl>
      <w:tblPr>
        <w:tblStyle w:val="9"/>
        <w:tblW w:w="11484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772"/>
        <w:gridCol w:w="1542"/>
        <w:gridCol w:w="5091"/>
        <w:gridCol w:w="789"/>
        <w:gridCol w:w="754"/>
        <w:gridCol w:w="960"/>
        <w:gridCol w:w="960"/>
      </w:tblGrid>
      <w:tr w14:paraId="015CE5BF">
        <w:trPr>
          <w:trHeight w:val="327" w:hRule="atLeast"/>
          <w:jc w:val="center"/>
        </w:trPr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1C8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07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5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06C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0B6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具体要求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63D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1A8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2ED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99D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</w:t>
            </w:r>
          </w:p>
        </w:tc>
      </w:tr>
      <w:tr w14:paraId="2F51FE8B">
        <w:trPr>
          <w:trHeight w:val="654" w:hRule="atLeast"/>
          <w:jc w:val="center"/>
        </w:trPr>
        <w:tc>
          <w:tcPr>
            <w:tcW w:w="61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320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7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4F7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展品运输与保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障</w:t>
            </w:r>
          </w:p>
        </w:tc>
        <w:tc>
          <w:tcPr>
            <w:tcW w:w="154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996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展品借展协调、对接、资料整理及沟通服务</w:t>
            </w: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9E6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与出借方明确借展意向，明确借展条件、运输要求、保险额度、展示限制、特殊防护要求等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C5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679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E58A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6887A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0D2BFE">
        <w:trPr>
          <w:trHeight w:val="639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ED17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ECB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65EF7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65B1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提供本次展览全部展品清单（含作者、年代、尺寸、材质、价值、保险要求）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F60C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537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E4AEF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88F9C7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1C9EC4">
        <w:trPr>
          <w:trHeight w:val="639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567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ACC7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A3D5E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850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收集展品资料，校对展签、讲解词与展品信息一致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882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44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AC66B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2D913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C29AD3">
        <w:trPr>
          <w:trHeight w:val="951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45F1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A30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E8E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专业艺术品往返运输</w:t>
            </w: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EEA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根据展品不同材质，采用无酸纸/珍珠棉/气泡膜/护角/定制木箱等专业材料，专人装卸、恒温车辆运输、点位就位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5EC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E3A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CB14D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0B163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2186F6">
        <w:trPr>
          <w:trHeight w:val="1263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83F5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9D8C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7F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全程“钉到钉”艺术品综合保险</w:t>
            </w: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AD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全周期保险，运输 + 布展 + 展期 + 撤展，保额双方确认，以甲方确认的展品清单为准，具备艺术品保险资质的正规财险公司，提供正式保单、条款、发票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F07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118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5F571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EC419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BE2465">
        <w:trPr>
          <w:trHeight w:val="1590" w:hRule="atLeast"/>
          <w:jc w:val="center"/>
        </w:trPr>
        <w:tc>
          <w:tcPr>
            <w:tcW w:w="61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C1D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7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0F9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展陈设计与搭建</w:t>
            </w:r>
          </w:p>
        </w:tc>
        <w:tc>
          <w:tcPr>
            <w:tcW w:w="154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367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展厅动线设计、功能分区规划、参观流线优化</w:t>
            </w: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DDF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确定主入口、次入口、工作人员通道，明确应急出口、消防通道、疏散指示方向、疏散宽度、疏散距离，确保符合消防规范与人流安全要求（主通道≥2.4m，次通道≥1.5m，应急通道≥1.8m且全程无遮挡）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BA1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4CB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BEBB5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62393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835866">
        <w:trPr>
          <w:trHeight w:val="1263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3B96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BDB5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9299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075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要求功能分区精准划分，划分序厅、主题展区、尾厅、互动区、讲解区、打卡区、休息区等功能区域，按展品逻辑设计单向闭环参观流线，优化导览路线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344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CCA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36A14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D9D2C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51C47C">
        <w:trPr>
          <w:trHeight w:val="654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8953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5E7F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0ED8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C4A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讲解点位：每展区至少1个，视野开阔、不挡通道；打卡点位：每展区至少1个，视觉核心出片、不影响观展；导视系统：明晰总导览图、分区指示、方向指引、楼层索引</w:t>
            </w:r>
          </w:p>
        </w:tc>
        <w:tc>
          <w:tcPr>
            <w:tcW w:w="78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A17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0266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D22DD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9F211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BCAFA4">
        <w:trPr>
          <w:trHeight w:val="327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D155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98D4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B62A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F64F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C47D4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79E70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B5738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4F06D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D21916">
        <w:trPr>
          <w:trHeight w:val="327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FA56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D48D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6D55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850B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032C4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77F22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23126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EDB29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EE811A">
        <w:trPr>
          <w:trHeight w:val="1278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7D12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2B6D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D8D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互动装置的设计、搭建、调试及现场技术支持</w:t>
            </w: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F350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结合展览主题进行互动创意策划，支持触控/体感/展示/拍照/投屏等选定功能，运行稳定无卡顿，出具效果图/流程图、交互说明，经甲方确认后实施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22E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1AF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1B9D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16ACF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774FA9">
        <w:trPr>
          <w:trHeight w:val="951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BE64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49A6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0197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6ED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装置品牌可靠、结构稳固安全、外观与展厅协调，隐藏布线、阻燃材质、圆角处理，符合展馆消防与用电安全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051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9F6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40F9B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A7814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62E130">
        <w:trPr>
          <w:trHeight w:val="639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B540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9F21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E069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7896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支持每日≥10小时连续运行，装置故障 30 分钟内响应，2小时内修复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285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36A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A2E42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A6D5E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C1ABCB">
        <w:trPr>
          <w:trHeight w:val="1902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39A1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0AA5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897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专业布展团队现场搭建施工、完成各类展品的规整安装摆放、同时开展展陈设备调试检测，保障设施正常运行使用</w:t>
            </w: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9E84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要求：组建专业布展团队，按确认图纸完成展墙、展台、展柜、灯架、底座等现场搭建施工；按标准完成所有展品的规整安装整齐摆放；对展陈灯光、展柜、多媒体、电路等全部设备进行联调测试，确保展陈效果与设备运行稳定。</w:t>
            </w:r>
            <w:bookmarkStart w:id="0" w:name="_GoBack"/>
            <w:bookmarkEnd w:id="0"/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50C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28F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4A23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8CD317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71E819">
        <w:trPr>
          <w:trHeight w:val="1263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345B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F218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F26F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B9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现场设计图要求：供应商现场勘察后提供设计图纸，得到甲方修改意见后需8个小时内提供修改后设计。确认施工图后需7天内完成搭建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47F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C9C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72013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AAFA9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168826">
        <w:trPr>
          <w:trHeight w:val="1263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CDD2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7F4C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7D80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06D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顶部框架要求：400*400mm，铝制太空桁架，全新黑色喷漆，总长320米，直径15公分铁管黑色烤漆，高6米，共8根；底座1500*1500mm，1.5公分厚铁板配重，8块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567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6FC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49A7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A998B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BBC8DE">
        <w:trPr>
          <w:trHeight w:val="1263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247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E5E6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CB52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DE7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施工人员要求：项目负责人1名 + 技术工人3-6名（按规模配置），每日到岗人数满足工期要求，所有人员具备展馆布展经验，持证/培训上岗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E094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8D80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A483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6938B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D45CDB">
        <w:trPr>
          <w:trHeight w:val="639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AF1E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E485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255F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E9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安全施工要求：地面使用 3mm 加厚保护膜，无痕施工不破坏场馆，作业区设置 3 米禁入范围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E37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A1A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834F4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A637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A55814">
        <w:trPr>
          <w:trHeight w:val="966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1C31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6627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E10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展墙、展台、灯光、展柜等展陈设施的制作、安装与调试</w:t>
            </w: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63E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蜂窝硬纸板UV印刷展墙（镂空+转轴特装+图文），高度约2.4-3.0m，无痕安装，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不破坏场馆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A68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C5D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D6C88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1FCC4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467DC0">
        <w:trPr>
          <w:trHeight w:val="624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D364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BB92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35C5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CE6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展台阻燃结构承重≥80kg/㎡，做圆角防护，表面哑光无反光，防滑不划伤地面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016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439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1D2CE7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B26E3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424C54">
        <w:trPr>
          <w:trHeight w:val="639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E17B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EDAE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DE2A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3D9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展柜采用高透安全玻璃，结构牢固，配置安全锁具，内置专业照明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BEC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563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D0E4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A2584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3B2E65">
        <w:trPr>
          <w:trHeight w:val="639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5E27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D401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F6C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A13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定制蜂窝硬纸板UV印刷杠铃架图文展板组合，约1000*800*2100mm，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3336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8F6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B5B14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13CAA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674F64">
        <w:trPr>
          <w:trHeight w:val="951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3632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775A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2C7A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34B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选用高显指专业灯具，显色指数Ra≥90，照度150-500lux，光线均匀、无眩光无反光；布线路径规范，连灯架及配套效果灯控台（如需）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954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CEB0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3A4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AFE08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E43015">
        <w:trPr>
          <w:trHeight w:val="609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DD30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D23E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0F2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展后设施拆除、展品撤展、场地清理及垃圾清运</w:t>
            </w: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9ED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布撤场运费（包含展品搬运及设施拆卸）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252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F2D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79195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AB7CD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355271">
        <w:trPr>
          <w:trHeight w:val="327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C7DB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4DD0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8E86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DCB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布撤场人工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6DF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9E2F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70D5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BD27A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3E443E">
        <w:trPr>
          <w:trHeight w:val="327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76AA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5DD3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3C9C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E45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现场保洁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507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8FB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5012E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1DC7E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F0DDB3">
        <w:trPr>
          <w:trHeight w:val="639" w:hRule="atLeast"/>
          <w:jc w:val="center"/>
        </w:trPr>
        <w:tc>
          <w:tcPr>
            <w:tcW w:w="61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13C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7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5FA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物料制作</w:t>
            </w:r>
          </w:p>
        </w:tc>
        <w:tc>
          <w:tcPr>
            <w:tcW w:w="15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EF0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展览主题海报设计及印刷</w:t>
            </w: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A83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设计+印刷，尺寸：A1/A2/A3，铜版纸157g，（含不同尺寸）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2C61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286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批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CE1B0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CE20A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B73437">
        <w:trPr>
          <w:trHeight w:val="639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961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051E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5AE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嘉宾邀请函设计及印刷</w:t>
            </w: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0D7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设计+排版+印刷，210×140mm，特种纸/铜版纸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B33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BD4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14A36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BB638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B94944">
        <w:trPr>
          <w:trHeight w:val="639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1D95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8F54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7B5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观众互动打卡道具</w:t>
            </w: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2BD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设计+排版+印刷,KT板/雪弗板/亚克力，造型定制，直径500、600、800各6组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05A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B31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A4BD9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93966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3E6568">
        <w:trPr>
          <w:trHeight w:val="639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DDC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C543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A12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展品说明展签</w:t>
            </w: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C7A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200×150mm/250×150mm，亚克力/相纸裱板，（含边框）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71A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633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8EACF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0FB69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44097A">
        <w:trPr>
          <w:trHeight w:val="624" w:hRule="atLeast"/>
          <w:jc w:val="center"/>
        </w:trPr>
        <w:tc>
          <w:tcPr>
            <w:tcW w:w="61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78D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90AF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F26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展览宣传折页</w:t>
            </w:r>
          </w:p>
        </w:tc>
        <w:tc>
          <w:tcPr>
            <w:tcW w:w="5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9327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设计+印刷，210×285mm三折，157g 铜版纸，需贴合展览风格把控视觉效果</w:t>
            </w:r>
          </w:p>
        </w:tc>
        <w:tc>
          <w:tcPr>
            <w:tcW w:w="7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4E1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AF3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997EA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2A000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E216FB">
        <w:trPr>
          <w:trHeight w:val="342" w:hRule="atLeast"/>
          <w:jc w:val="center"/>
        </w:trPr>
        <w:tc>
          <w:tcPr>
            <w:tcW w:w="11484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788A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以上合计报价人民币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元（含税价）税率__%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（按实际开票税率填报）</w:t>
            </w:r>
          </w:p>
        </w:tc>
      </w:tr>
      <w:tr w14:paraId="1DF4C335">
        <w:trPr>
          <w:trHeight w:val="634" w:hRule="atLeast"/>
          <w:jc w:val="center"/>
        </w:trPr>
        <w:tc>
          <w:tcPr>
            <w:tcW w:w="11484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C25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报价单位（名称）（盖章）</w:t>
            </w:r>
          </w:p>
          <w:p w14:paraId="04B164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   月   日</w:t>
            </w:r>
          </w:p>
        </w:tc>
      </w:tr>
    </w:tbl>
    <w:p w14:paraId="474BCBF2">
      <w:pPr>
        <w:adjustRightInd w:val="0"/>
        <w:snapToGrid w:val="0"/>
        <w:spacing w:line="520" w:lineRule="exact"/>
        <w:rPr>
          <w:rFonts w:hint="eastAsia" w:ascii="仿宋" w:hAnsi="仿宋" w:eastAsia="仿宋" w:cs="仿宋"/>
          <w:b/>
          <w:sz w:val="24"/>
          <w:szCs w:val="24"/>
          <w:lang w:eastAsia="zh-Hans"/>
        </w:rPr>
      </w:pPr>
    </w:p>
    <w:sectPr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PingFang SC">
    <w:panose1 w:val="020B0400000000000000"/>
    <w:charset w:val="86"/>
    <w:family w:val="swiss"/>
    <w:pitch w:val="default"/>
    <w:sig w:usb0="A00002FF" w:usb1="7ACFFDFB" w:usb2="00000017" w:usb3="00000000" w:csb0="00040001" w:csb1="00000000"/>
  </w:font>
  <w:font w:name="PINGFANG SC SEMIBOLD">
    <w:panose1 w:val="020B0400000000000000"/>
    <w:charset w:val="86"/>
    <w:family w:val="swiss"/>
    <w:pitch w:val="default"/>
    <w:sig w:usb0="A00002FF" w:usb1="7ACFFDFB" w:usb2="00000017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N2EwMjNiNDM2Yjk5NTVjZGExZDIwN2Q3NDNlMmEifQ=="/>
    <w:docVar w:name="KSO_WPS_MARK_KEY" w:val="cd8def8f-23bc-4b66-bf1b-6796300814d3"/>
  </w:docVars>
  <w:rsids>
    <w:rsidRoot w:val="00172A27"/>
    <w:rsid w:val="000C7F6E"/>
    <w:rsid w:val="0017131A"/>
    <w:rsid w:val="001E205E"/>
    <w:rsid w:val="0048644F"/>
    <w:rsid w:val="0050716A"/>
    <w:rsid w:val="00517BF4"/>
    <w:rsid w:val="00570AB9"/>
    <w:rsid w:val="006E335B"/>
    <w:rsid w:val="007121F3"/>
    <w:rsid w:val="00905DB1"/>
    <w:rsid w:val="00930002"/>
    <w:rsid w:val="009570CE"/>
    <w:rsid w:val="0096325F"/>
    <w:rsid w:val="009D2E56"/>
    <w:rsid w:val="00AB023D"/>
    <w:rsid w:val="00AD558A"/>
    <w:rsid w:val="00B40FC7"/>
    <w:rsid w:val="00BC561A"/>
    <w:rsid w:val="00BD12EE"/>
    <w:rsid w:val="00BF52BD"/>
    <w:rsid w:val="00C4319C"/>
    <w:rsid w:val="00E209ED"/>
    <w:rsid w:val="00E27297"/>
    <w:rsid w:val="00F33DB4"/>
    <w:rsid w:val="00F85915"/>
    <w:rsid w:val="00F934E0"/>
    <w:rsid w:val="01401F5A"/>
    <w:rsid w:val="03101E00"/>
    <w:rsid w:val="03B64756"/>
    <w:rsid w:val="04E84DE3"/>
    <w:rsid w:val="058650C9"/>
    <w:rsid w:val="07055D0D"/>
    <w:rsid w:val="09CB082F"/>
    <w:rsid w:val="0CB10D37"/>
    <w:rsid w:val="0CF4009D"/>
    <w:rsid w:val="0D48422A"/>
    <w:rsid w:val="0E2826F4"/>
    <w:rsid w:val="0FFF34CF"/>
    <w:rsid w:val="103E1D5B"/>
    <w:rsid w:val="105C0433"/>
    <w:rsid w:val="11CC0EB8"/>
    <w:rsid w:val="16315EBE"/>
    <w:rsid w:val="163F5778"/>
    <w:rsid w:val="1B292B0D"/>
    <w:rsid w:val="1B497352"/>
    <w:rsid w:val="1CC25AC1"/>
    <w:rsid w:val="1D965E61"/>
    <w:rsid w:val="1F790691"/>
    <w:rsid w:val="235A19DC"/>
    <w:rsid w:val="27276DEE"/>
    <w:rsid w:val="277322F0"/>
    <w:rsid w:val="2A0A3553"/>
    <w:rsid w:val="2B021692"/>
    <w:rsid w:val="2CF5796E"/>
    <w:rsid w:val="2D265BF9"/>
    <w:rsid w:val="2D8C4FE2"/>
    <w:rsid w:val="2E831172"/>
    <w:rsid w:val="2F011BA7"/>
    <w:rsid w:val="2F02254C"/>
    <w:rsid w:val="2FEC6B89"/>
    <w:rsid w:val="33AD7491"/>
    <w:rsid w:val="34FE3200"/>
    <w:rsid w:val="35BF6BEA"/>
    <w:rsid w:val="37EF363E"/>
    <w:rsid w:val="38795B3C"/>
    <w:rsid w:val="3BAE774F"/>
    <w:rsid w:val="3C7A23AE"/>
    <w:rsid w:val="3E720C9E"/>
    <w:rsid w:val="3FF82DC6"/>
    <w:rsid w:val="407F76A2"/>
    <w:rsid w:val="412D2573"/>
    <w:rsid w:val="4162324B"/>
    <w:rsid w:val="41E755AE"/>
    <w:rsid w:val="41F86865"/>
    <w:rsid w:val="4248790A"/>
    <w:rsid w:val="430E2D28"/>
    <w:rsid w:val="45B535CD"/>
    <w:rsid w:val="48270370"/>
    <w:rsid w:val="49F509D5"/>
    <w:rsid w:val="4AF1158E"/>
    <w:rsid w:val="4BC3463A"/>
    <w:rsid w:val="4C312A65"/>
    <w:rsid w:val="50F61502"/>
    <w:rsid w:val="51D70186"/>
    <w:rsid w:val="52DE6D91"/>
    <w:rsid w:val="53BF878D"/>
    <w:rsid w:val="544E5742"/>
    <w:rsid w:val="56493397"/>
    <w:rsid w:val="579277E0"/>
    <w:rsid w:val="57FFF718"/>
    <w:rsid w:val="5BFDFDD7"/>
    <w:rsid w:val="5FD956FA"/>
    <w:rsid w:val="5FFDB80C"/>
    <w:rsid w:val="613F42E1"/>
    <w:rsid w:val="625C0808"/>
    <w:rsid w:val="6417215C"/>
    <w:rsid w:val="64B630B2"/>
    <w:rsid w:val="6534250A"/>
    <w:rsid w:val="65AD5A09"/>
    <w:rsid w:val="66863273"/>
    <w:rsid w:val="67F56249"/>
    <w:rsid w:val="6A9B342E"/>
    <w:rsid w:val="6B96AD4C"/>
    <w:rsid w:val="6CCB7647"/>
    <w:rsid w:val="6CDE0224"/>
    <w:rsid w:val="6D953492"/>
    <w:rsid w:val="6E085F37"/>
    <w:rsid w:val="6E865F1C"/>
    <w:rsid w:val="6F441328"/>
    <w:rsid w:val="714D4ACF"/>
    <w:rsid w:val="71844269"/>
    <w:rsid w:val="72874010"/>
    <w:rsid w:val="72D059B7"/>
    <w:rsid w:val="77D3332C"/>
    <w:rsid w:val="78CC5697"/>
    <w:rsid w:val="79846F51"/>
    <w:rsid w:val="7A5E0C30"/>
    <w:rsid w:val="7AB97707"/>
    <w:rsid w:val="7AD92AFF"/>
    <w:rsid w:val="7B1A6491"/>
    <w:rsid w:val="7BFF08AB"/>
    <w:rsid w:val="7C2C74CC"/>
    <w:rsid w:val="7D5947FB"/>
    <w:rsid w:val="7DE4764F"/>
    <w:rsid w:val="7EFEE54E"/>
    <w:rsid w:val="7F5FE71E"/>
    <w:rsid w:val="7F6210C3"/>
    <w:rsid w:val="7F8B126C"/>
    <w:rsid w:val="AF9FF333"/>
    <w:rsid w:val="B66DCFDD"/>
    <w:rsid w:val="BD7D76B5"/>
    <w:rsid w:val="BF7D0586"/>
    <w:rsid w:val="BFEFC321"/>
    <w:rsid w:val="DEF55406"/>
    <w:rsid w:val="DF78D80F"/>
    <w:rsid w:val="EAF7F831"/>
    <w:rsid w:val="EDEF850C"/>
    <w:rsid w:val="EF6F40E5"/>
    <w:rsid w:val="FBBB38FB"/>
    <w:rsid w:val="FBD3CFC2"/>
    <w:rsid w:val="FC6702D5"/>
    <w:rsid w:val="FDADD52D"/>
    <w:rsid w:val="FE3FFD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800" w:lineRule="exact"/>
      <w:jc w:val="center"/>
      <w:outlineLvl w:val="1"/>
    </w:pPr>
    <w:rPr>
      <w:rFonts w:ascii="Arial" w:hAnsi="Arial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rFonts w:ascii="Times New Roman" w:hAnsi="Times New Roman" w:eastAsia="宋体" w:cs="Times New Roman"/>
      <w:b/>
      <w:sz w:val="32"/>
    </w:rPr>
  </w:style>
  <w:style w:type="character" w:default="1" w:styleId="11">
    <w:name w:val="Default Paragraph Font"/>
    <w:qFormat/>
    <w:uiPriority w:val="0"/>
    <w:rPr>
      <w:rFonts w:ascii="Times New Roman" w:hAnsi="Times New Roman" w:eastAsia="宋体" w:cs="Times New Roman"/>
    </w:rPr>
  </w:style>
  <w:style w:type="table" w:default="1" w:styleId="9">
    <w:name w:val="Normal Table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line="480" w:lineRule="auto"/>
    </w:pPr>
    <w:rPr>
      <w:rFonts w:ascii="Times New Roman" w:hAnsi="Times New Roman" w:eastAsia="宋体" w:cs="Times New Roman"/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微软雅黑" w:cs="Times New Roman"/>
      <w:sz w:val="18"/>
      <w:szCs w:val="18"/>
    </w:rPr>
  </w:style>
  <w:style w:type="paragraph" w:styleId="7">
    <w:name w:val="Body Text Indent 3"/>
    <w:basedOn w:val="1"/>
    <w:qFormat/>
    <w:uiPriority w:val="0"/>
    <w:pPr>
      <w:spacing w:line="240" w:lineRule="exact"/>
      <w:ind w:firstLine="360"/>
    </w:pPr>
    <w:rPr>
      <w:rFonts w:ascii="Times New Roman" w:hAnsi="Times New Roman" w:eastAsia="宋体" w:cs="Times New Roman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3">
    <w:name w:val="page number"/>
    <w:qFormat/>
    <w:uiPriority w:val="0"/>
    <w:rPr>
      <w:rFonts w:ascii="Calibri" w:hAnsi="Calibri" w:eastAsia="微软雅黑" w:cs="Times New Roman"/>
    </w:rPr>
  </w:style>
  <w:style w:type="character" w:customStyle="1" w:styleId="14">
    <w:name w:val="页眉 字符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s2"/>
    <w:qFormat/>
    <w:uiPriority w:val="0"/>
    <w:rPr>
      <w:rFonts w:ascii="Calibri" w:hAnsi="Calibri" w:eastAsia="微软雅黑" w:cs="Times New Roman"/>
    </w:rPr>
  </w:style>
  <w:style w:type="paragraph" w:customStyle="1" w:styleId="16">
    <w:name w:val="表格文字"/>
    <w:basedOn w:val="1"/>
    <w:qFormat/>
    <w:uiPriority w:val="0"/>
    <w:pPr>
      <w:spacing w:before="25" w:after="25" w:line="300" w:lineRule="auto"/>
    </w:pPr>
    <w:rPr>
      <w:rFonts w:ascii="宋体" w:hAnsi="宋体" w:eastAsia="宋体" w:cs="宋体"/>
      <w:spacing w:val="10"/>
      <w:kern w:val="0"/>
      <w:sz w:val="24"/>
      <w:szCs w:val="24"/>
    </w:rPr>
  </w:style>
  <w:style w:type="character" w:customStyle="1" w:styleId="17">
    <w:name w:val="s1"/>
    <w:qFormat/>
    <w:uiPriority w:val="0"/>
    <w:rPr>
      <w:rFonts w:ascii="PingFang SC" w:hAnsi="PingFang SC" w:eastAsia="PingFang SC" w:cs="PingFang SC"/>
      <w:sz w:val="24"/>
      <w:szCs w:val="24"/>
    </w:rPr>
  </w:style>
  <w:style w:type="paragraph" w:customStyle="1" w:styleId="18">
    <w:name w:val="p1"/>
    <w:basedOn w:val="1"/>
    <w:qFormat/>
    <w:uiPriority w:val="0"/>
    <w:pPr>
      <w:jc w:val="left"/>
    </w:pPr>
    <w:rPr>
      <w:rFonts w:ascii="PINGFANG SC SEMIBOLD" w:hAnsi="PINGFANG SC SEMIBOLD" w:eastAsia="PINGFANG SC SEMIBOLD" w:cs="Times New Roman"/>
      <w:kern w:val="0"/>
      <w:sz w:val="24"/>
      <w:szCs w:val="24"/>
    </w:rPr>
  </w:style>
  <w:style w:type="paragraph" w:customStyle="1" w:styleId="19">
    <w:name w:val="列表段落1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character" w:customStyle="1" w:styleId="20">
    <w:name w:val="font11"/>
    <w:basedOn w:val="11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21">
    <w:name w:val="font41"/>
    <w:basedOn w:val="11"/>
    <w:qFormat/>
    <w:uiPriority w:val="0"/>
    <w:rPr>
      <w:rFonts w:hint="eastAsia" w:ascii="仿宋" w:hAnsi="仿宋" w:eastAsia="仿宋" w:cs="仿宋"/>
      <w:b/>
      <w:bCs/>
      <w:color w:val="000000"/>
      <w:sz w:val="24"/>
      <w:szCs w:val="24"/>
      <w:u w:val="single"/>
    </w:rPr>
  </w:style>
  <w:style w:type="character" w:customStyle="1" w:styleId="22">
    <w:name w:val="font31"/>
    <w:basedOn w:val="11"/>
    <w:qFormat/>
    <w:uiPriority w:val="0"/>
    <w:rPr>
      <w:rFonts w:hint="eastAsia" w:ascii="仿宋" w:hAnsi="仿宋" w:eastAsia="仿宋" w:cs="仿宋"/>
      <w:b/>
      <w:bCs/>
      <w:color w:val="000000"/>
      <w:sz w:val="24"/>
      <w:szCs w:val="24"/>
      <w:u w:val="none"/>
    </w:rPr>
  </w:style>
  <w:style w:type="character" w:customStyle="1" w:styleId="23">
    <w:name w:val="font51"/>
    <w:basedOn w:val="11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1711</Words>
  <Characters>1805</Characters>
  <Lines>29</Lines>
  <Paragraphs>8</Paragraphs>
  <TotalTime>0</TotalTime>
  <ScaleCrop>false</ScaleCrop>
  <LinksUpToDate>false</LinksUpToDate>
  <CharactersWithSpaces>1836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2022-07-29T09:22:00Z</dcterms:created>
  <dc:creator>lililing</dc:creator>
  <cp:lastModifiedBy>老莫</cp:lastModifiedBy>
  <dcterms:modified xsi:type="dcterms:W3CDTF">2026-05-26T16:27:25Z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4283A9F1A91C46E5894630BDAB400530_13</vt:lpwstr>
  </property>
  <property fmtid="{D5CDD505-2E9C-101B-9397-08002B2CF9AE}" pid="4" name="KSOTemplateDocerSaveRecord">
    <vt:lpwstr>eyJoZGlkIjoiYWJmNTAxYTA0NTllZTU0OWY5NWY0MWNlMzBjNGU2OTYiLCJ1c2VySWQiOiIxMjY0MDk3MDE2In0=</vt:lpwstr>
  </property>
</Properties>
</file>