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jc w:val="center"/>
        <w:rPr>
          <w:rFonts w:hint="eastAsia" w:ascii="宋体" w:hAnsi="宋体" w:eastAsia="宋体"/>
          <w:b/>
          <w:color w:val="000000" w:themeColor="text1"/>
          <w:spacing w:val="60"/>
          <w:sz w:val="96"/>
          <w:szCs w:val="96"/>
          <w14:textFill>
            <w14:solidFill>
              <w14:schemeClr w14:val="tx1"/>
            </w14:solidFill>
          </w14:textFill>
        </w:rPr>
      </w:pPr>
    </w:p>
    <w:p>
      <w:pPr>
        <w:spacing w:before="312" w:beforeLines="100"/>
        <w:jc w:val="center"/>
        <w:rPr>
          <w:rFonts w:hint="eastAsia" w:ascii="宋体" w:hAnsi="宋体" w:eastAsia="宋体"/>
          <w:b/>
          <w:color w:val="000000" w:themeColor="text1"/>
          <w:spacing w:val="60"/>
          <w:sz w:val="96"/>
          <w:szCs w:val="96"/>
          <w14:textFill>
            <w14:solidFill>
              <w14:schemeClr w14:val="tx1"/>
            </w14:solidFill>
          </w14:textFill>
        </w:rPr>
      </w:pPr>
      <w:r>
        <w:rPr>
          <w:rFonts w:hint="eastAsia" w:ascii="宋体" w:hAnsi="宋体" w:eastAsia="宋体"/>
          <w:b/>
          <w:color w:val="000000" w:themeColor="text1"/>
          <w:spacing w:val="60"/>
          <w:sz w:val="96"/>
          <w:szCs w:val="96"/>
          <w14:textFill>
            <w14:solidFill>
              <w14:schemeClr w14:val="tx1"/>
            </w14:solidFill>
          </w14:textFill>
        </w:rPr>
        <w:t>公开招标文件</w:t>
      </w:r>
    </w:p>
    <w:p>
      <w:pPr>
        <w:jc w:val="cente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sz w:val="22"/>
          <w:szCs w:val="24"/>
        </w:rPr>
      </w:pPr>
    </w:p>
    <w:tbl>
      <w:tblPr>
        <w:tblStyle w:val="42"/>
        <w:tblW w:w="10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4"/>
        <w:gridCol w:w="78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jc w:val="center"/>
        </w:trPr>
        <w:tc>
          <w:tcPr>
            <w:tcW w:w="2694" w:type="dxa"/>
          </w:tcPr>
          <w:p>
            <w:pPr>
              <w:spacing w:before="468" w:beforeLines="150"/>
              <w:jc w:val="center"/>
              <w:rPr>
                <w:rFonts w:hint="eastAsia" w:ascii="宋体" w:hAnsi="宋体" w:eastAsia="宋体" w:cs="Times New Roman"/>
                <w:b/>
                <w:color w:val="000000" w:themeColor="text1"/>
                <w:spacing w:val="40"/>
                <w:kern w:val="0"/>
                <w:sz w:val="32"/>
                <w:szCs w:val="32"/>
                <w14:textFill>
                  <w14:solidFill>
                    <w14:schemeClr w14:val="tx1"/>
                  </w14:solidFill>
                </w14:textFill>
              </w:rPr>
            </w:pPr>
            <w:r>
              <w:rPr>
                <w:rFonts w:hint="eastAsia" w:ascii="宋体" w:hAnsi="宋体" w:eastAsia="宋体" w:cs="Times New Roman"/>
                <w:b/>
                <w:color w:val="000000" w:themeColor="text1"/>
                <w:spacing w:val="40"/>
                <w:kern w:val="0"/>
                <w:sz w:val="32"/>
                <w:szCs w:val="32"/>
                <w14:textFill>
                  <w14:solidFill>
                    <w14:schemeClr w14:val="tx1"/>
                  </w14:solidFill>
                </w14:textFill>
              </w:rPr>
              <w:t>项目名称：</w:t>
            </w:r>
          </w:p>
        </w:tc>
        <w:tc>
          <w:tcPr>
            <w:tcW w:w="7895" w:type="dxa"/>
          </w:tcPr>
          <w:p>
            <w:pPr>
              <w:tabs>
                <w:tab w:val="left" w:pos="-108"/>
              </w:tabs>
              <w:spacing w:before="468" w:beforeLines="150"/>
              <w:ind w:left="-107" w:leftChars="-51" w:firstLine="3"/>
              <w:jc w:val="left"/>
              <w:rPr>
                <w:rFonts w:hint="eastAsia" w:ascii="宋体" w:hAnsi="宋体" w:eastAsia="宋体" w:cs="Times New Roman"/>
                <w:b/>
                <w:color w:val="000000" w:themeColor="text1"/>
                <w:kern w:val="0"/>
                <w:sz w:val="32"/>
                <w:szCs w:val="32"/>
                <w14:textFill>
                  <w14:solidFill>
                    <w14:schemeClr w14:val="tx1"/>
                  </w14:solidFill>
                </w14:textFill>
              </w:rPr>
            </w:pPr>
            <w:r>
              <w:rPr>
                <w:rFonts w:hint="eastAsia" w:ascii="宋体" w:hAnsi="宋体" w:eastAsia="宋体" w:cs="Times New Roman"/>
                <w:b/>
                <w:color w:val="000000" w:themeColor="text1"/>
                <w:kern w:val="0"/>
                <w:sz w:val="32"/>
                <w:szCs w:val="32"/>
                <w14:textFill>
                  <w14:solidFill>
                    <w14:schemeClr w14:val="tx1"/>
                  </w14:solidFill>
                </w14:textFill>
              </w:rPr>
              <w:t>赴柬埔寨、印尼开展文化交流活动及行程服务项目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2694" w:type="dxa"/>
          </w:tcPr>
          <w:p>
            <w:pPr>
              <w:jc w:val="center"/>
              <w:rPr>
                <w:rFonts w:hint="eastAsia" w:ascii="宋体" w:hAnsi="宋体" w:eastAsia="宋体" w:cs="Times New Roman"/>
                <w:b/>
                <w:color w:val="000000" w:themeColor="text1"/>
                <w:kern w:val="0"/>
                <w:sz w:val="32"/>
                <w:szCs w:val="32"/>
                <w14:textFill>
                  <w14:solidFill>
                    <w14:schemeClr w14:val="tx1"/>
                  </w14:solidFill>
                </w14:textFill>
              </w:rPr>
            </w:pPr>
            <w:r>
              <w:rPr>
                <w:rFonts w:hint="eastAsia" w:ascii="宋体" w:hAnsi="宋体" w:eastAsia="宋体" w:cs="Times New Roman"/>
                <w:b/>
                <w:color w:val="000000" w:themeColor="text1"/>
                <w:spacing w:val="40"/>
                <w:kern w:val="0"/>
                <w:sz w:val="32"/>
                <w:szCs w:val="32"/>
                <w14:textFill>
                  <w14:solidFill>
                    <w14:schemeClr w14:val="tx1"/>
                  </w14:solidFill>
                </w14:textFill>
              </w:rPr>
              <w:t>项目编号：</w:t>
            </w:r>
          </w:p>
        </w:tc>
        <w:tc>
          <w:tcPr>
            <w:tcW w:w="7895" w:type="dxa"/>
          </w:tcPr>
          <w:p>
            <w:pPr>
              <w:tabs>
                <w:tab w:val="left" w:pos="-108"/>
              </w:tabs>
              <w:ind w:left="-107" w:leftChars="-51" w:firstLine="3"/>
              <w:jc w:val="left"/>
              <w:rPr>
                <w:rFonts w:hint="eastAsia" w:ascii="宋体" w:hAnsi="宋体" w:eastAsia="宋体" w:cs="Times New Roman"/>
                <w:b/>
                <w:color w:val="000000" w:themeColor="text1"/>
                <w:kern w:val="0"/>
                <w:sz w:val="32"/>
                <w:szCs w:val="32"/>
                <w14:textFill>
                  <w14:solidFill>
                    <w14:schemeClr w14:val="tx1"/>
                  </w14:solidFill>
                </w14:textFill>
              </w:rPr>
            </w:pPr>
            <w:r>
              <w:rPr>
                <w:rFonts w:hint="eastAsia" w:ascii="宋体" w:hAnsi="宋体" w:eastAsia="宋体" w:cs="Times New Roman"/>
                <w:b/>
                <w:color w:val="000000" w:themeColor="text1"/>
                <w:kern w:val="0"/>
                <w:sz w:val="32"/>
                <w:szCs w:val="32"/>
                <w14:textFill>
                  <w14:solidFill>
                    <w14:schemeClr w14:val="tx1"/>
                  </w14:solidFill>
                </w14:textFill>
              </w:rPr>
              <w:t>2026-CICDIGS-F1009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2694" w:type="dxa"/>
          </w:tcPr>
          <w:p>
            <w:pPr>
              <w:jc w:val="center"/>
              <w:rPr>
                <w:rFonts w:hint="eastAsia" w:ascii="宋体" w:hAnsi="宋体" w:eastAsia="宋体" w:cs="Times New Roman"/>
                <w:b/>
                <w:color w:val="000000" w:themeColor="text1"/>
                <w:kern w:val="0"/>
                <w:sz w:val="32"/>
                <w:szCs w:val="32"/>
                <w14:textFill>
                  <w14:solidFill>
                    <w14:schemeClr w14:val="tx1"/>
                  </w14:solidFill>
                </w14:textFill>
              </w:rPr>
            </w:pPr>
            <w:r>
              <w:rPr>
                <w:rFonts w:hint="eastAsia" w:ascii="宋体" w:hAnsi="宋体" w:eastAsia="宋体" w:cs="Times New Roman"/>
                <w:b/>
                <w:color w:val="000000" w:themeColor="text1"/>
                <w:spacing w:val="40"/>
                <w:kern w:val="0"/>
                <w:sz w:val="32"/>
                <w:szCs w:val="32"/>
                <w14:textFill>
                  <w14:solidFill>
                    <w14:schemeClr w14:val="tx1"/>
                  </w14:solidFill>
                </w14:textFill>
              </w:rPr>
              <w:t>招标单位：</w:t>
            </w:r>
          </w:p>
        </w:tc>
        <w:tc>
          <w:tcPr>
            <w:tcW w:w="7895" w:type="dxa"/>
          </w:tcPr>
          <w:p>
            <w:pPr>
              <w:tabs>
                <w:tab w:val="left" w:pos="-108"/>
              </w:tabs>
              <w:ind w:left="-107" w:leftChars="-51" w:firstLine="3"/>
              <w:jc w:val="left"/>
              <w:rPr>
                <w:rFonts w:hint="eastAsia" w:ascii="宋体" w:hAnsi="宋体" w:eastAsia="宋体" w:cs="Times New Roman"/>
                <w:b/>
                <w:color w:val="000000" w:themeColor="text1"/>
                <w:kern w:val="0"/>
                <w:sz w:val="32"/>
                <w:szCs w:val="32"/>
                <w14:textFill>
                  <w14:solidFill>
                    <w14:schemeClr w14:val="tx1"/>
                  </w14:solidFill>
                </w14:textFill>
              </w:rPr>
            </w:pPr>
            <w:r>
              <w:rPr>
                <w:rFonts w:hint="eastAsia" w:ascii="宋体" w:hAnsi="宋体" w:eastAsia="宋体" w:cs="Times New Roman"/>
                <w:b/>
                <w:color w:val="000000" w:themeColor="text1"/>
                <w:kern w:val="0"/>
                <w:sz w:val="32"/>
                <w:szCs w:val="32"/>
                <w14:textFill>
                  <w14:solidFill>
                    <w14:schemeClr w14:val="tx1"/>
                  </w14:solidFill>
                </w14:textFill>
              </w:rPr>
              <w:t>今日（广东）国际传播有限公司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2694" w:type="dxa"/>
          </w:tcPr>
          <w:p>
            <w:pPr>
              <w:ind w:firstLine="219" w:firstLineChars="73"/>
              <w:jc w:val="center"/>
              <w:rPr>
                <w:rFonts w:hint="eastAsia" w:ascii="宋体" w:hAnsi="宋体" w:eastAsia="宋体" w:cs="Times New Roman"/>
                <w:b/>
                <w:color w:val="000000" w:themeColor="text1"/>
                <w:kern w:val="0"/>
                <w:sz w:val="32"/>
                <w:szCs w:val="32"/>
                <w14:textFill>
                  <w14:solidFill>
                    <w14:schemeClr w14:val="tx1"/>
                  </w14:solidFill>
                </w14:textFill>
              </w:rPr>
            </w:pPr>
            <w:r>
              <w:rPr>
                <w:rFonts w:hint="eastAsia" w:ascii="宋体" w:hAnsi="宋体" w:eastAsia="宋体" w:cs="Times New Roman"/>
                <w:b/>
                <w:color w:val="000000" w:themeColor="text1"/>
                <w:spacing w:val="-10"/>
                <w:kern w:val="0"/>
                <w:sz w:val="32"/>
                <w:szCs w:val="32"/>
                <w14:textFill>
                  <w14:solidFill>
                    <w14:schemeClr w14:val="tx1"/>
                  </w14:solidFill>
                </w14:textFill>
              </w:rPr>
              <w:t>招标代理机构</w:t>
            </w:r>
            <w:r>
              <w:rPr>
                <w:rFonts w:hint="eastAsia" w:ascii="宋体" w:hAnsi="宋体" w:eastAsia="宋体" w:cs="Times New Roman"/>
                <w:b/>
                <w:color w:val="000000" w:themeColor="text1"/>
                <w:kern w:val="0"/>
                <w:sz w:val="32"/>
                <w:szCs w:val="32"/>
                <w14:textFill>
                  <w14:solidFill>
                    <w14:schemeClr w14:val="tx1"/>
                  </w14:solidFill>
                </w14:textFill>
              </w:rPr>
              <w:t>：</w:t>
            </w:r>
          </w:p>
        </w:tc>
        <w:tc>
          <w:tcPr>
            <w:tcW w:w="7895" w:type="dxa"/>
          </w:tcPr>
          <w:p>
            <w:pPr>
              <w:tabs>
                <w:tab w:val="left" w:pos="-108"/>
              </w:tabs>
              <w:ind w:left="-107" w:leftChars="-51" w:firstLine="3"/>
              <w:jc w:val="left"/>
              <w:rPr>
                <w:rFonts w:hint="eastAsia" w:ascii="宋体" w:hAnsi="宋体" w:eastAsia="宋体" w:cs="Times New Roman"/>
                <w:b/>
                <w:color w:val="000000" w:themeColor="text1"/>
                <w:spacing w:val="4"/>
                <w:kern w:val="0"/>
                <w:sz w:val="32"/>
                <w:szCs w:val="32"/>
                <w14:textFill>
                  <w14:solidFill>
                    <w14:schemeClr w14:val="tx1"/>
                  </w14:solidFill>
                </w14:textFill>
              </w:rPr>
            </w:pPr>
            <w:r>
              <w:rPr>
                <w:rFonts w:hint="eastAsia" w:ascii="宋体" w:hAnsi="宋体" w:eastAsia="宋体" w:cs="Times New Roman"/>
                <w:b/>
                <w:color w:val="000000" w:themeColor="text1"/>
                <w:spacing w:val="4"/>
                <w:kern w:val="0"/>
                <w:sz w:val="32"/>
                <w:szCs w:val="32"/>
                <w14:textFill>
                  <w14:solidFill>
                    <w14:schemeClr w14:val="tx1"/>
                  </w14:solidFill>
                </w14:textFill>
              </w:rPr>
              <w:t>中通服咨询设计研究院有限公司</w:t>
            </w:r>
          </w:p>
        </w:tc>
      </w:tr>
    </w:tbl>
    <w:p>
      <w:pPr>
        <w:rPr>
          <w:rFonts w:hint="eastAsia" w:ascii="宋体" w:hAnsi="宋体" w:eastAsia="宋体"/>
          <w:b/>
          <w:color w:val="000000" w:themeColor="text1"/>
          <w:sz w:val="36"/>
          <w:szCs w:val="36"/>
          <w14:textFill>
            <w14:solidFill>
              <w14:schemeClr w14:val="tx1"/>
            </w14:solidFill>
          </w14:textFill>
        </w:rPr>
      </w:pPr>
    </w:p>
    <w:p>
      <w:pPr>
        <w:rPr>
          <w:rFonts w:hint="eastAsia" w:ascii="宋体" w:hAnsi="宋体" w:eastAsia="宋体"/>
          <w:sz w:val="22"/>
          <w:szCs w:val="24"/>
        </w:rPr>
      </w:pPr>
    </w:p>
    <w:p>
      <w:pPr>
        <w:rPr>
          <w:rFonts w:hint="eastAsia" w:ascii="宋体" w:hAnsi="宋体" w:eastAsia="宋体"/>
          <w:sz w:val="22"/>
          <w:szCs w:val="28"/>
        </w:rPr>
      </w:pPr>
    </w:p>
    <w:p>
      <w:pPr>
        <w:pStyle w:val="17"/>
        <w:rPr>
          <w:rFonts w:hint="eastAsia" w:ascii="宋体" w:hAnsi="宋体"/>
        </w:rPr>
      </w:pPr>
    </w:p>
    <w:p>
      <w:pPr>
        <w:pStyle w:val="17"/>
        <w:rPr>
          <w:rFonts w:hint="eastAsia" w:ascii="宋体" w:hAnsi="宋体"/>
          <w:sz w:val="22"/>
          <w:szCs w:val="28"/>
        </w:rPr>
      </w:pPr>
    </w:p>
    <w:p>
      <w:pPr>
        <w:pStyle w:val="17"/>
        <w:rPr>
          <w:rFonts w:hint="eastAsia" w:ascii="宋体" w:hAnsi="宋体"/>
          <w:sz w:val="22"/>
          <w:szCs w:val="28"/>
        </w:rPr>
      </w:pPr>
    </w:p>
    <w:p>
      <w:pPr>
        <w:pStyle w:val="17"/>
        <w:rPr>
          <w:rFonts w:hint="eastAsia" w:ascii="宋体" w:hAnsi="宋体"/>
          <w:sz w:val="22"/>
          <w:szCs w:val="28"/>
        </w:rPr>
      </w:pPr>
    </w:p>
    <w:p>
      <w:pPr>
        <w:spacing w:before="156" w:beforeLines="50" w:line="360" w:lineRule="auto"/>
        <w:jc w:val="center"/>
        <w:rPr>
          <w:rFonts w:hint="eastAsia" w:ascii="宋体" w:hAnsi="宋体" w:eastAsia="宋体"/>
          <w:b/>
          <w:color w:val="000000" w:themeColor="text1"/>
          <w:spacing w:val="60"/>
          <w:sz w:val="40"/>
          <w:szCs w:val="40"/>
          <w14:textFill>
            <w14:solidFill>
              <w14:schemeClr w14:val="tx1"/>
            </w14:solidFill>
          </w14:textFill>
        </w:rPr>
      </w:pPr>
      <w:r>
        <w:rPr>
          <w:rFonts w:hint="eastAsia" w:ascii="宋体" w:hAnsi="宋体" w:eastAsia="宋体"/>
          <w:b/>
          <w:color w:val="000000" w:themeColor="text1"/>
          <w:spacing w:val="60"/>
          <w:sz w:val="40"/>
          <w:szCs w:val="40"/>
          <w14:textFill>
            <w14:solidFill>
              <w14:schemeClr w14:val="tx1"/>
            </w14:solidFill>
          </w14:textFill>
        </w:rPr>
        <w:t>2026年9月</w:t>
      </w:r>
    </w:p>
    <w:p>
      <w:pPr>
        <w:rPr>
          <w:rFonts w:hint="eastAsia" w:ascii="宋体" w:hAnsi="宋体" w:eastAsia="宋体"/>
          <w:b/>
          <w:color w:val="000000" w:themeColor="text1"/>
          <w:spacing w:val="60"/>
          <w:sz w:val="40"/>
          <w:szCs w:val="40"/>
          <w14:textFill>
            <w14:solidFill>
              <w14:schemeClr w14:val="tx1"/>
            </w14:solidFill>
          </w14:textFill>
        </w:rPr>
      </w:pPr>
      <w:r>
        <w:rPr>
          <w:rFonts w:hint="eastAsia" w:ascii="宋体" w:hAnsi="宋体" w:eastAsia="宋体"/>
          <w:b/>
          <w:color w:val="000000" w:themeColor="text1"/>
          <w:spacing w:val="60"/>
          <w:sz w:val="40"/>
          <w:szCs w:val="40"/>
          <w14:textFill>
            <w14:solidFill>
              <w14:schemeClr w14:val="tx1"/>
            </w14:solidFill>
          </w14:textFill>
        </w:rPr>
        <w:br w:type="page"/>
      </w:r>
    </w:p>
    <w:p>
      <w:pPr>
        <w:pageBreakBefore/>
        <w:spacing w:before="156" w:beforeLines="50" w:after="312" w:afterLines="100" w:line="480" w:lineRule="auto"/>
        <w:jc w:val="center"/>
        <w:rPr>
          <w:rFonts w:hint="eastAsia" w:ascii="宋体" w:hAnsi="宋体" w:eastAsia="宋体"/>
          <w:b/>
          <w:color w:val="000000" w:themeColor="text1"/>
          <w:spacing w:val="60"/>
          <w:sz w:val="48"/>
          <w:szCs w:val="48"/>
          <w14:textFill>
            <w14:solidFill>
              <w14:schemeClr w14:val="tx1"/>
            </w14:solidFill>
          </w14:textFill>
        </w:rPr>
      </w:pPr>
      <w:r>
        <w:rPr>
          <w:rFonts w:hint="eastAsia" w:ascii="宋体" w:hAnsi="宋体" w:eastAsia="宋体"/>
          <w:b/>
          <w:color w:val="000000" w:themeColor="text1"/>
          <w:spacing w:val="60"/>
          <w:sz w:val="48"/>
          <w:szCs w:val="48"/>
          <w14:textFill>
            <w14:solidFill>
              <w14:schemeClr w14:val="tx1"/>
            </w14:solidFill>
          </w14:textFill>
        </w:rPr>
        <w:t>温馨提示</w:t>
      </w:r>
    </w:p>
    <w:p>
      <w:pPr>
        <w:pStyle w:val="63"/>
        <w:numPr>
          <w:ilvl w:val="0"/>
          <w:numId w:val="1"/>
        </w:numPr>
        <w:spacing w:line="600" w:lineRule="exact"/>
        <w:contextualSpacing w:val="0"/>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投标截止时间一到，本公司不接收任何投标文件，因此，请适当提前到达。</w:t>
      </w:r>
    </w:p>
    <w:p>
      <w:pPr>
        <w:pStyle w:val="63"/>
        <w:numPr>
          <w:ilvl w:val="0"/>
          <w:numId w:val="1"/>
        </w:numPr>
        <w:spacing w:line="600" w:lineRule="exact"/>
        <w:contextualSpacing w:val="0"/>
        <w:jc w:val="left"/>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请正确填写《开标一览表》。多包项目请仔细检查包组号，包组号跟包组名称必须一致。</w:t>
      </w:r>
    </w:p>
    <w:p>
      <w:pPr>
        <w:pStyle w:val="63"/>
        <w:numPr>
          <w:ilvl w:val="0"/>
          <w:numId w:val="1"/>
        </w:numPr>
        <w:spacing w:line="600" w:lineRule="exact"/>
        <w:contextualSpacing w:val="0"/>
        <w:jc w:val="left"/>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请仔细检查投标文件是否已按招标文件盖章、签名(或签章)、签署日期。</w:t>
      </w:r>
    </w:p>
    <w:p>
      <w:pPr>
        <w:pStyle w:val="63"/>
        <w:numPr>
          <w:ilvl w:val="0"/>
          <w:numId w:val="1"/>
        </w:numPr>
        <w:spacing w:line="600" w:lineRule="exact"/>
        <w:contextualSpacing w:val="0"/>
        <w:jc w:val="left"/>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加★号的条款必须一一响应。</w:t>
      </w:r>
    </w:p>
    <w:p>
      <w:pPr>
        <w:pStyle w:val="63"/>
        <w:numPr>
          <w:ilvl w:val="0"/>
          <w:numId w:val="1"/>
        </w:numPr>
        <w:spacing w:line="600" w:lineRule="exact"/>
        <w:contextualSpacing w:val="0"/>
        <w:jc w:val="left"/>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投标文件应按顺序编制页码，制作目录和索引。</w:t>
      </w:r>
    </w:p>
    <w:p>
      <w:pPr>
        <w:numPr>
          <w:ilvl w:val="0"/>
          <w:numId w:val="1"/>
        </w:numPr>
        <w:tabs>
          <w:tab w:val="left" w:pos="709"/>
        </w:tabs>
        <w:spacing w:line="600" w:lineRule="exac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投标人如需对项目提出询问或质疑，应按招标文件附件中的询问函和质疑函的格式提交。</w:t>
      </w:r>
    </w:p>
    <w:p>
      <w:pPr>
        <w:tabs>
          <w:tab w:val="left" w:pos="709"/>
        </w:tabs>
        <w:spacing w:before="156" w:beforeLines="50" w:line="600" w:lineRule="exact"/>
        <w:jc w:val="center"/>
        <w:rPr>
          <w:rFonts w:hint="eastAsia" w:ascii="宋体" w:hAnsi="宋体" w:eastAsia="宋体"/>
          <w:b/>
          <w:color w:val="000000" w:themeColor="text1"/>
          <w:sz w:val="22"/>
          <w:szCs w:val="24"/>
          <w14:textFill>
            <w14:solidFill>
              <w14:schemeClr w14:val="tx1"/>
            </w14:solidFill>
          </w14:textFill>
        </w:rPr>
        <w:sectPr>
          <w:footerReference r:id="rId3" w:type="default"/>
          <w:pgSz w:w="11906" w:h="16838"/>
          <w:pgMar w:top="1020" w:right="1134" w:bottom="1020" w:left="1134" w:header="851" w:footer="992" w:gutter="0"/>
          <w:cols w:space="720" w:num="1"/>
          <w:docGrid w:type="linesAndChars" w:linePitch="312" w:charSpace="0"/>
        </w:sectPr>
      </w:pPr>
      <w:r>
        <w:rPr>
          <w:rFonts w:hint="eastAsia" w:ascii="宋体" w:hAnsi="宋体" w:eastAsia="宋体"/>
          <w:b/>
          <w:color w:val="000000" w:themeColor="text1"/>
          <w:sz w:val="22"/>
          <w:szCs w:val="24"/>
          <w14:textFill>
            <w14:solidFill>
              <w14:schemeClr w14:val="tx1"/>
            </w14:solidFill>
          </w14:textFill>
        </w:rPr>
        <w:t xml:space="preserve"> (本提示内容非招标文件的组成部分，仅为善意提醒。如有不一致，以招标文件为准。)</w:t>
      </w:r>
    </w:p>
    <w:sdt>
      <w:sdtPr>
        <w:rPr>
          <w:rFonts w:ascii="宋体" w:hAnsi="宋体" w:eastAsia="宋体" w:cstheme="minorBidi"/>
          <w:b w:val="0"/>
          <w:bCs w:val="0"/>
          <w:color w:val="000000" w:themeColor="text1"/>
          <w:kern w:val="2"/>
          <w:sz w:val="22"/>
          <w:szCs w:val="24"/>
          <w:lang w:val="zh-CN"/>
          <w14:textFill>
            <w14:solidFill>
              <w14:schemeClr w14:val="tx1"/>
            </w14:solidFill>
          </w14:textFill>
        </w:rPr>
        <w:id w:val="-671422043"/>
        <w:docPartObj>
          <w:docPartGallery w:val="Table of Contents"/>
          <w:docPartUnique/>
        </w:docPartObj>
      </w:sdtPr>
      <w:sdtEndPr>
        <w:rPr>
          <w:rFonts w:ascii="宋体" w:hAnsi="宋体" w:eastAsia="宋体" w:cstheme="minorBidi"/>
          <w:b w:val="0"/>
          <w:bCs w:val="0"/>
          <w:color w:val="000000" w:themeColor="text1"/>
          <w:kern w:val="2"/>
          <w:sz w:val="22"/>
          <w:szCs w:val="24"/>
          <w:lang w:val="zh-CN"/>
          <w14:textFill>
            <w14:solidFill>
              <w14:schemeClr w14:val="tx1"/>
            </w14:solidFill>
          </w14:textFill>
        </w:rPr>
      </w:sdtEndPr>
      <w:sdtContent>
        <w:p>
          <w:pPr>
            <w:pStyle w:val="82"/>
            <w:keepNext w:val="0"/>
            <w:keepLines w:val="0"/>
            <w:pageBreakBefore/>
            <w:widowControl w:val="0"/>
            <w:spacing w:before="0" w:line="360" w:lineRule="auto"/>
            <w:jc w:val="center"/>
            <w:outlineLvl w:val="0"/>
            <w:rPr>
              <w:rFonts w:hint="eastAsia" w:ascii="宋体" w:hAnsi="宋体" w:eastAsia="宋体"/>
              <w:color w:val="000000" w:themeColor="text1"/>
              <w:sz w:val="40"/>
              <w:szCs w:val="40"/>
              <w14:textFill>
                <w14:solidFill>
                  <w14:schemeClr w14:val="tx1"/>
                </w14:solidFill>
              </w14:textFill>
            </w:rPr>
          </w:pPr>
          <w:bookmarkStart w:id="0" w:name="_Toc2607"/>
          <w:bookmarkStart w:id="1" w:name="_Toc14751"/>
          <w:bookmarkStart w:id="2" w:name="_Toc30392"/>
          <w:bookmarkStart w:id="3" w:name="_Toc405313951"/>
          <w:bookmarkStart w:id="4" w:name="_Toc391627747"/>
          <w:bookmarkStart w:id="5" w:name="_Toc391367873"/>
          <w:r>
            <w:rPr>
              <w:rFonts w:hint="eastAsia" w:ascii="宋体" w:hAnsi="宋体" w:eastAsia="宋体"/>
              <w:color w:val="000000" w:themeColor="text1"/>
              <w:sz w:val="40"/>
              <w:szCs w:val="40"/>
              <w:lang w:val="zh-CN"/>
              <w14:textFill>
                <w14:solidFill>
                  <w14:schemeClr w14:val="tx1"/>
                </w14:solidFill>
              </w14:textFill>
            </w:rPr>
            <w:t>目   录</w:t>
          </w:r>
          <w:bookmarkEnd w:id="0"/>
          <w:bookmarkEnd w:id="1"/>
          <w:bookmarkEnd w:id="2"/>
        </w:p>
        <w:p>
          <w:pPr>
            <w:pStyle w:val="28"/>
            <w:tabs>
              <w:tab w:val="right" w:leader="dot" w:pos="8306"/>
              <w:tab w:val="clear" w:pos="8273"/>
            </w:tabs>
            <w:rPr>
              <w:rFonts w:hint="eastAsia" w:ascii="宋体" w:hAnsi="宋体" w:eastAsia="宋体" w:cs="微软雅黑"/>
              <w:b/>
              <w:bCs/>
              <w:sz w:val="24"/>
              <w:szCs w:val="24"/>
            </w:rPr>
          </w:pP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TOC \o "1-1" \h \u </w:instrText>
          </w:r>
          <w:r>
            <w:rPr>
              <w:rFonts w:hint="eastAsia" w:ascii="宋体" w:hAnsi="宋体" w:eastAsia="宋体" w:cs="微软雅黑"/>
              <w:b/>
              <w:bCs/>
              <w:sz w:val="24"/>
              <w:szCs w:val="24"/>
            </w:rPr>
            <w:fldChar w:fldCharType="separate"/>
          </w:r>
          <w:r>
            <w:fldChar w:fldCharType="begin"/>
          </w:r>
          <w:r>
            <w:instrText xml:space="preserve"> HYPERLINK \l "_Toc4664" </w:instrText>
          </w:r>
          <w:r>
            <w:fldChar w:fldCharType="separate"/>
          </w:r>
          <w:r>
            <w:rPr>
              <w:rFonts w:hint="eastAsia" w:ascii="宋体" w:hAnsi="宋体" w:eastAsia="宋体" w:cs="微软雅黑"/>
              <w:b/>
              <w:bCs/>
              <w:spacing w:val="20"/>
              <w:sz w:val="24"/>
              <w:szCs w:val="24"/>
            </w:rPr>
            <w:t>第一部分 招标公告</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_Toc4664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4</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pStyle w:val="28"/>
            <w:tabs>
              <w:tab w:val="right" w:leader="dot" w:pos="8306"/>
              <w:tab w:val="clear" w:pos="8273"/>
            </w:tabs>
            <w:rPr>
              <w:rFonts w:hint="eastAsia" w:ascii="宋体" w:hAnsi="宋体" w:eastAsia="宋体" w:cs="微软雅黑"/>
              <w:b/>
              <w:bCs/>
              <w:sz w:val="24"/>
              <w:szCs w:val="24"/>
            </w:rPr>
          </w:pPr>
          <w:r>
            <w:fldChar w:fldCharType="begin"/>
          </w:r>
          <w:r>
            <w:instrText xml:space="preserve"> HYPERLINK \l "_Toc5361" </w:instrText>
          </w:r>
          <w:r>
            <w:fldChar w:fldCharType="separate"/>
          </w:r>
          <w:r>
            <w:rPr>
              <w:rFonts w:hint="eastAsia" w:ascii="宋体" w:hAnsi="宋体" w:eastAsia="宋体" w:cs="微软雅黑"/>
              <w:b/>
              <w:bCs/>
              <w:spacing w:val="20"/>
              <w:sz w:val="24"/>
              <w:szCs w:val="24"/>
            </w:rPr>
            <w:t>第二部分 招标需求书</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_Toc5361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7</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pStyle w:val="28"/>
            <w:tabs>
              <w:tab w:val="right" w:leader="dot" w:pos="8306"/>
              <w:tab w:val="clear" w:pos="8273"/>
            </w:tabs>
            <w:rPr>
              <w:rFonts w:hint="eastAsia" w:ascii="宋体" w:hAnsi="宋体" w:eastAsia="宋体" w:cs="微软雅黑"/>
              <w:b/>
              <w:bCs/>
              <w:sz w:val="24"/>
              <w:szCs w:val="24"/>
            </w:rPr>
          </w:pPr>
          <w:r>
            <w:fldChar w:fldCharType="begin"/>
          </w:r>
          <w:r>
            <w:instrText xml:space="preserve"> HYPERLINK \l "_Toc27178" </w:instrText>
          </w:r>
          <w:r>
            <w:fldChar w:fldCharType="separate"/>
          </w:r>
          <w:r>
            <w:rPr>
              <w:rFonts w:hint="eastAsia" w:ascii="宋体" w:hAnsi="宋体" w:eastAsia="宋体" w:cs="微软雅黑"/>
              <w:b/>
              <w:bCs/>
              <w:spacing w:val="20"/>
              <w:sz w:val="24"/>
              <w:szCs w:val="24"/>
            </w:rPr>
            <w:t>第三部分 投标须知前附表</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_Toc27178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7</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pStyle w:val="28"/>
            <w:tabs>
              <w:tab w:val="right" w:leader="dot" w:pos="8306"/>
              <w:tab w:val="clear" w:pos="8273"/>
            </w:tabs>
            <w:rPr>
              <w:rFonts w:hint="eastAsia" w:ascii="宋体" w:hAnsi="宋体" w:eastAsia="宋体" w:cs="微软雅黑"/>
              <w:b/>
              <w:bCs/>
              <w:sz w:val="24"/>
              <w:szCs w:val="24"/>
            </w:rPr>
          </w:pPr>
          <w:r>
            <w:fldChar w:fldCharType="begin"/>
          </w:r>
          <w:r>
            <w:instrText xml:space="preserve"> HYPERLINK \l "_Toc2435" </w:instrText>
          </w:r>
          <w:r>
            <w:fldChar w:fldCharType="separate"/>
          </w:r>
          <w:r>
            <w:rPr>
              <w:rFonts w:hint="eastAsia" w:ascii="宋体" w:hAnsi="宋体" w:eastAsia="宋体" w:cs="微软雅黑"/>
              <w:b/>
              <w:bCs/>
              <w:spacing w:val="20"/>
              <w:sz w:val="24"/>
              <w:szCs w:val="24"/>
            </w:rPr>
            <w:t>第四部分 投标须知</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_Toc2435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18</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pStyle w:val="28"/>
            <w:tabs>
              <w:tab w:val="right" w:leader="dot" w:pos="8306"/>
              <w:tab w:val="clear" w:pos="8273"/>
            </w:tabs>
            <w:rPr>
              <w:rFonts w:hint="eastAsia" w:ascii="宋体" w:hAnsi="宋体" w:eastAsia="宋体" w:cs="微软雅黑"/>
              <w:b/>
              <w:bCs/>
              <w:sz w:val="24"/>
              <w:szCs w:val="24"/>
            </w:rPr>
          </w:pPr>
          <w:r>
            <w:fldChar w:fldCharType="begin"/>
          </w:r>
          <w:r>
            <w:instrText xml:space="preserve"> HYPERLINK \l "_Toc26844" </w:instrText>
          </w:r>
          <w:r>
            <w:fldChar w:fldCharType="separate"/>
          </w:r>
          <w:r>
            <w:rPr>
              <w:rFonts w:hint="eastAsia" w:ascii="宋体" w:hAnsi="宋体" w:eastAsia="宋体" w:cs="微软雅黑"/>
              <w:b/>
              <w:bCs/>
              <w:spacing w:val="20"/>
              <w:sz w:val="24"/>
              <w:szCs w:val="24"/>
            </w:rPr>
            <w:t>第五部分 评标方法、步骤、标准</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_Toc26844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37</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pStyle w:val="28"/>
            <w:tabs>
              <w:tab w:val="right" w:leader="dot" w:pos="8306"/>
              <w:tab w:val="clear" w:pos="8273"/>
            </w:tabs>
            <w:rPr>
              <w:rFonts w:hint="eastAsia" w:ascii="宋体" w:hAnsi="宋体" w:eastAsia="宋体" w:cs="微软雅黑"/>
              <w:b/>
              <w:bCs/>
              <w:sz w:val="24"/>
              <w:szCs w:val="24"/>
            </w:rPr>
          </w:pPr>
          <w:r>
            <w:fldChar w:fldCharType="begin"/>
          </w:r>
          <w:r>
            <w:instrText xml:space="preserve"> HYPERLINK \l "_Toc853" </w:instrText>
          </w:r>
          <w:r>
            <w:fldChar w:fldCharType="separate"/>
          </w:r>
          <w:r>
            <w:rPr>
              <w:rFonts w:hint="eastAsia" w:ascii="宋体" w:hAnsi="宋体" w:eastAsia="宋体" w:cs="微软雅黑"/>
              <w:b/>
              <w:bCs/>
              <w:spacing w:val="20"/>
              <w:sz w:val="24"/>
              <w:szCs w:val="24"/>
            </w:rPr>
            <w:t>第六部分 合同书文本</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_Toc853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47</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pStyle w:val="28"/>
            <w:tabs>
              <w:tab w:val="right" w:leader="dot" w:pos="8306"/>
              <w:tab w:val="clear" w:pos="8273"/>
            </w:tabs>
            <w:rPr>
              <w:rFonts w:hint="eastAsia" w:ascii="宋体" w:hAnsi="宋体" w:eastAsia="宋体" w:cs="微软雅黑"/>
              <w:b/>
              <w:bCs/>
              <w:sz w:val="24"/>
              <w:szCs w:val="24"/>
            </w:rPr>
          </w:pPr>
          <w:r>
            <w:fldChar w:fldCharType="begin"/>
          </w:r>
          <w:r>
            <w:instrText xml:space="preserve"> HYPERLINK \l "_Toc30800" </w:instrText>
          </w:r>
          <w:r>
            <w:fldChar w:fldCharType="separate"/>
          </w:r>
          <w:r>
            <w:rPr>
              <w:rFonts w:hint="eastAsia" w:ascii="宋体" w:hAnsi="宋体" w:eastAsia="宋体" w:cs="微软雅黑"/>
              <w:b/>
              <w:bCs/>
              <w:spacing w:val="20"/>
              <w:sz w:val="24"/>
              <w:szCs w:val="24"/>
            </w:rPr>
            <w:t>第七部分 投标文件格式</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_Toc30800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57</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pStyle w:val="28"/>
            <w:tabs>
              <w:tab w:val="right" w:leader="dot" w:pos="8306"/>
              <w:tab w:val="clear" w:pos="8273"/>
            </w:tabs>
            <w:rPr>
              <w:rFonts w:hint="eastAsia" w:ascii="宋体" w:hAnsi="宋体" w:eastAsia="宋体" w:cs="微软雅黑"/>
              <w:b/>
              <w:bCs/>
              <w:sz w:val="24"/>
              <w:szCs w:val="24"/>
            </w:rPr>
          </w:pPr>
          <w:r>
            <w:fldChar w:fldCharType="begin"/>
          </w:r>
          <w:r>
            <w:instrText xml:space="preserve"> HYPERLINK \l "_Toc16983" </w:instrText>
          </w:r>
          <w:r>
            <w:fldChar w:fldCharType="separate"/>
          </w:r>
          <w:r>
            <w:rPr>
              <w:rFonts w:hint="eastAsia" w:ascii="宋体" w:hAnsi="宋体" w:eastAsia="宋体" w:cs="微软雅黑"/>
              <w:b/>
              <w:bCs/>
              <w:spacing w:val="20"/>
              <w:sz w:val="24"/>
              <w:szCs w:val="24"/>
            </w:rPr>
            <w:t>第八部分 唱标信封格式</w:t>
          </w:r>
          <w:r>
            <w:rPr>
              <w:rFonts w:hint="eastAsia" w:ascii="宋体" w:hAnsi="宋体" w:eastAsia="宋体" w:cs="微软雅黑"/>
              <w:b/>
              <w:bCs/>
              <w:sz w:val="24"/>
              <w:szCs w:val="24"/>
            </w:rPr>
            <w:tab/>
          </w:r>
          <w:r>
            <w:rPr>
              <w:rFonts w:hint="eastAsia" w:ascii="宋体" w:hAnsi="宋体" w:eastAsia="宋体" w:cs="微软雅黑"/>
              <w:b/>
              <w:bCs/>
              <w:sz w:val="24"/>
              <w:szCs w:val="24"/>
            </w:rPr>
            <w:fldChar w:fldCharType="begin"/>
          </w:r>
          <w:r>
            <w:rPr>
              <w:rFonts w:hint="eastAsia" w:ascii="宋体" w:hAnsi="宋体" w:eastAsia="宋体" w:cs="微软雅黑"/>
              <w:b/>
              <w:bCs/>
              <w:sz w:val="24"/>
              <w:szCs w:val="24"/>
            </w:rPr>
            <w:instrText xml:space="preserve"> PAGEREF _Toc16983 \h </w:instrText>
          </w:r>
          <w:r>
            <w:rPr>
              <w:rFonts w:hint="eastAsia" w:ascii="宋体" w:hAnsi="宋体" w:eastAsia="宋体" w:cs="微软雅黑"/>
              <w:b/>
              <w:bCs/>
              <w:sz w:val="24"/>
              <w:szCs w:val="24"/>
            </w:rPr>
            <w:fldChar w:fldCharType="separate"/>
          </w:r>
          <w:r>
            <w:rPr>
              <w:rFonts w:hint="eastAsia" w:ascii="宋体" w:hAnsi="宋体" w:eastAsia="宋体" w:cs="微软雅黑"/>
              <w:b/>
              <w:bCs/>
              <w:sz w:val="24"/>
              <w:szCs w:val="24"/>
            </w:rPr>
            <w:t>78</w:t>
          </w:r>
          <w:r>
            <w:rPr>
              <w:rFonts w:hint="eastAsia" w:ascii="宋体" w:hAnsi="宋体" w:eastAsia="宋体" w:cs="微软雅黑"/>
              <w:b/>
              <w:bCs/>
              <w:sz w:val="24"/>
              <w:szCs w:val="24"/>
            </w:rPr>
            <w:fldChar w:fldCharType="end"/>
          </w:r>
          <w:r>
            <w:rPr>
              <w:rFonts w:hint="eastAsia" w:ascii="宋体" w:hAnsi="宋体" w:eastAsia="宋体" w:cs="微软雅黑"/>
              <w:b/>
              <w:bCs/>
              <w:sz w:val="24"/>
              <w:szCs w:val="24"/>
            </w:rPr>
            <w:fldChar w:fldCharType="end"/>
          </w:r>
        </w:p>
        <w:p>
          <w:pPr>
            <w:rPr>
              <w:rFonts w:hint="eastAsia" w:ascii="宋体" w:hAnsi="宋体" w:eastAsia="宋体" w:cs="微软雅黑"/>
              <w:b/>
              <w:bCs/>
              <w:sz w:val="24"/>
              <w:szCs w:val="24"/>
            </w:rPr>
          </w:pPr>
          <w:r>
            <w:rPr>
              <w:rFonts w:hint="eastAsia" w:ascii="宋体" w:hAnsi="宋体" w:eastAsia="宋体" w:cs="微软雅黑"/>
              <w:b/>
              <w:bCs/>
              <w:sz w:val="24"/>
              <w:szCs w:val="24"/>
            </w:rPr>
            <w:fldChar w:fldCharType="end"/>
          </w:r>
        </w:p>
        <w:p>
          <w:pPr>
            <w:pageBreakBefore/>
            <w:spacing w:before="120" w:after="120"/>
            <w:rPr>
              <w:rFonts w:hint="eastAsia" w:ascii="宋体" w:hAnsi="宋体" w:eastAsia="宋体"/>
            </w:rPr>
          </w:pPr>
        </w:p>
      </w:sdtContent>
    </w:sdt>
    <w:p>
      <w:pPr>
        <w:jc w:val="center"/>
        <w:outlineLvl w:val="0"/>
        <w:rPr>
          <w:rFonts w:hint="eastAsia" w:ascii="宋体" w:hAnsi="宋体" w:eastAsia="宋体"/>
          <w:b/>
          <w:bCs/>
          <w:color w:val="000000" w:themeColor="text1"/>
          <w:spacing w:val="20"/>
          <w:sz w:val="36"/>
          <w:szCs w:val="36"/>
          <w14:textFill>
            <w14:solidFill>
              <w14:schemeClr w14:val="tx1"/>
            </w14:solidFill>
          </w14:textFill>
        </w:rPr>
      </w:pPr>
      <w:bookmarkStart w:id="6" w:name="_Toc25476"/>
      <w:bookmarkStart w:id="7" w:name="_Toc4664"/>
      <w:bookmarkStart w:id="8" w:name="_Toc22729"/>
      <w:r>
        <w:rPr>
          <w:rFonts w:hint="eastAsia" w:ascii="宋体" w:hAnsi="宋体" w:eastAsia="宋体"/>
          <w:b/>
          <w:bCs/>
          <w:color w:val="000000" w:themeColor="text1"/>
          <w:spacing w:val="20"/>
          <w:sz w:val="36"/>
          <w:szCs w:val="36"/>
          <w14:textFill>
            <w14:solidFill>
              <w14:schemeClr w14:val="tx1"/>
            </w14:solidFill>
          </w14:textFill>
        </w:rPr>
        <w:t>第一部分</w:t>
      </w:r>
      <w:r>
        <w:rPr>
          <w:rFonts w:ascii="宋体" w:hAnsi="宋体" w:eastAsia="宋体"/>
          <w:b/>
          <w:bCs/>
          <w:color w:val="000000" w:themeColor="text1"/>
          <w:spacing w:val="20"/>
          <w:sz w:val="36"/>
          <w:szCs w:val="36"/>
          <w14:textFill>
            <w14:solidFill>
              <w14:schemeClr w14:val="tx1"/>
            </w14:solidFill>
          </w14:textFill>
        </w:rPr>
        <w:t xml:space="preserve"> </w:t>
      </w:r>
      <w:bookmarkEnd w:id="3"/>
      <w:bookmarkEnd w:id="4"/>
      <w:bookmarkEnd w:id="5"/>
      <w:bookmarkEnd w:id="6"/>
      <w:bookmarkEnd w:id="7"/>
      <w:bookmarkEnd w:id="8"/>
      <w:r>
        <w:rPr>
          <w:rFonts w:hint="eastAsia" w:ascii="宋体" w:hAnsi="宋体" w:eastAsia="宋体"/>
          <w:b/>
          <w:bCs/>
          <w:color w:val="000000" w:themeColor="text1"/>
          <w:spacing w:val="20"/>
          <w:sz w:val="36"/>
          <w:szCs w:val="36"/>
          <w14:textFill>
            <w14:solidFill>
              <w14:schemeClr w14:val="tx1"/>
            </w14:solidFill>
          </w14:textFill>
        </w:rPr>
        <w:t>招标公告</w:t>
      </w:r>
    </w:p>
    <w:p>
      <w:pPr>
        <w:tabs>
          <w:tab w:val="left" w:pos="426"/>
        </w:tabs>
        <w:spacing w:before="312" w:beforeLines="100" w:line="360" w:lineRule="auto"/>
        <w:ind w:firstLine="480" w:firstLineChars="20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u w:val="single"/>
          <w14:textFill>
            <w14:solidFill>
              <w14:schemeClr w14:val="tx1"/>
            </w14:solidFill>
          </w14:textFill>
        </w:rPr>
        <w:t>中通服咨询设计研究院有限公司</w:t>
      </w:r>
      <w:r>
        <w:rPr>
          <w:rFonts w:hint="eastAsia" w:ascii="宋体" w:hAnsi="宋体" w:eastAsia="宋体" w:cs="宋体"/>
          <w:color w:val="000000" w:themeColor="text1"/>
          <w:kern w:val="0"/>
          <w:sz w:val="24"/>
          <w:szCs w:val="24"/>
          <w14:textFill>
            <w14:solidFill>
              <w14:schemeClr w14:val="tx1"/>
            </w14:solidFill>
          </w14:textFill>
        </w:rPr>
        <w:t>受</w:t>
      </w:r>
      <w:r>
        <w:rPr>
          <w:rFonts w:hint="eastAsia" w:ascii="宋体" w:hAnsi="宋体" w:eastAsia="宋体" w:cs="宋体"/>
          <w:color w:val="000000" w:themeColor="text1"/>
          <w:kern w:val="0"/>
          <w:sz w:val="24"/>
          <w:szCs w:val="24"/>
          <w:u w:val="single"/>
          <w14:textFill>
            <w14:solidFill>
              <w14:schemeClr w14:val="tx1"/>
            </w14:solidFill>
          </w14:textFill>
        </w:rPr>
        <w:t>今日（广东）国际传播有限公司</w:t>
      </w:r>
      <w:r>
        <w:rPr>
          <w:rFonts w:hint="eastAsia" w:ascii="宋体" w:hAnsi="宋体" w:eastAsia="宋体" w:cs="宋体"/>
          <w:color w:val="000000" w:themeColor="text1"/>
          <w:kern w:val="0"/>
          <w:sz w:val="24"/>
          <w:szCs w:val="24"/>
          <w14:textFill>
            <w14:solidFill>
              <w14:schemeClr w14:val="tx1"/>
            </w14:solidFill>
          </w14:textFill>
        </w:rPr>
        <w:t>的委托，采用公开招标方式组织采购</w:t>
      </w:r>
      <w:r>
        <w:rPr>
          <w:rFonts w:hint="eastAsia" w:ascii="宋体" w:hAnsi="宋体" w:eastAsia="宋体" w:cs="宋体"/>
          <w:color w:val="000000" w:themeColor="text1"/>
          <w:kern w:val="0"/>
          <w:sz w:val="24"/>
          <w:szCs w:val="24"/>
          <w:u w:val="single"/>
          <w14:textFill>
            <w14:solidFill>
              <w14:schemeClr w14:val="tx1"/>
            </w14:solidFill>
          </w14:textFill>
        </w:rPr>
        <w:t>赴柬埔寨、印尼开展文化交流活动及行程服务项目</w:t>
      </w:r>
      <w:r>
        <w:rPr>
          <w:rFonts w:hint="eastAsia" w:ascii="宋体" w:hAnsi="宋体" w:eastAsia="宋体" w:cs="宋体"/>
          <w:color w:val="000000" w:themeColor="text1"/>
          <w:kern w:val="0"/>
          <w:sz w:val="24"/>
          <w:szCs w:val="24"/>
          <w14:textFill>
            <w14:solidFill>
              <w14:schemeClr w14:val="tx1"/>
            </w14:solidFill>
          </w14:textFill>
        </w:rPr>
        <w:t>。欢迎符合资格条件的国内供应商参加投标。</w:t>
      </w:r>
    </w:p>
    <w:p>
      <w:pPr>
        <w:pStyle w:val="63"/>
        <w:tabs>
          <w:tab w:val="left" w:pos="426"/>
        </w:tabs>
        <w:spacing w:before="312" w:beforeLines="100" w:line="360" w:lineRule="auto"/>
        <w:outlineLvl w:val="1"/>
        <w:rPr>
          <w:rFonts w:hint="eastAsia" w:ascii="宋体" w:hAnsi="宋体" w:eastAsia="宋体" w:cs="微软雅黑"/>
          <w:color w:val="000000" w:themeColor="text1"/>
          <w:sz w:val="28"/>
          <w:szCs w:val="28"/>
          <w14:textFill>
            <w14:solidFill>
              <w14:schemeClr w14:val="tx1"/>
            </w14:solidFill>
          </w14:textFill>
        </w:rPr>
      </w:pPr>
      <w:bookmarkStart w:id="9" w:name="_Toc18391"/>
      <w:bookmarkStart w:id="10" w:name="_Toc31732"/>
      <w:r>
        <w:rPr>
          <w:rFonts w:hint="eastAsia" w:ascii="宋体" w:hAnsi="宋体" w:eastAsia="宋体" w:cs="微软雅黑"/>
          <w:b/>
          <w:color w:val="000000" w:themeColor="text1"/>
          <w:sz w:val="28"/>
          <w:szCs w:val="28"/>
          <w14:textFill>
            <w14:solidFill>
              <w14:schemeClr w14:val="tx1"/>
            </w14:solidFill>
          </w14:textFill>
        </w:rPr>
        <w:t>一、项目基本情况</w:t>
      </w:r>
      <w:bookmarkEnd w:id="9"/>
      <w:bookmarkEnd w:id="10"/>
    </w:p>
    <w:p>
      <w:pPr>
        <w:tabs>
          <w:tab w:val="left" w:pos="426"/>
        </w:tabs>
        <w:spacing w:line="360" w:lineRule="auto"/>
        <w:ind w:left="480" w:hanging="480" w:hangingChars="200"/>
        <w:rPr>
          <w:rFonts w:hint="eastAsia" w:ascii="宋体" w:hAnsi="宋体" w:eastAsia="宋体" w:cs="宋体"/>
          <w:color w:val="000000" w:themeColor="text1"/>
          <w:sz w:val="24"/>
          <w:szCs w:val="24"/>
          <w14:textFill>
            <w14:solidFill>
              <w14:schemeClr w14:val="tx1"/>
            </w14:solidFill>
          </w14:textFill>
        </w:rPr>
      </w:pPr>
      <w:bookmarkStart w:id="11" w:name="_Hlk117585944"/>
      <w:r>
        <w:rPr>
          <w:rFonts w:hint="eastAsia" w:ascii="宋体" w:hAnsi="宋体" w:eastAsia="宋体" w:cs="宋体"/>
          <w:color w:val="000000" w:themeColor="text1"/>
          <w:sz w:val="24"/>
          <w:szCs w:val="24"/>
          <w14:textFill>
            <w14:solidFill>
              <w14:schemeClr w14:val="tx1"/>
            </w14:solidFill>
          </w14:textFill>
        </w:rPr>
        <w:t>（1）项目编号：</w:t>
      </w:r>
      <w:bookmarkEnd w:id="11"/>
      <w:r>
        <w:rPr>
          <w:rFonts w:hint="eastAsia" w:ascii="宋体" w:hAnsi="宋体" w:eastAsia="宋体" w:cs="宋体"/>
          <w:color w:val="000000" w:themeColor="text1"/>
          <w:sz w:val="24"/>
          <w:szCs w:val="24"/>
          <w14:textFill>
            <w14:solidFill>
              <w14:schemeClr w14:val="tx1"/>
            </w14:solidFill>
          </w14:textFill>
        </w:rPr>
        <w:t>2026-CICDIGS-F1009</w:t>
      </w:r>
    </w:p>
    <w:p>
      <w:pPr>
        <w:tabs>
          <w:tab w:val="left" w:pos="426"/>
        </w:tabs>
        <w:spacing w:line="360" w:lineRule="auto"/>
        <w:ind w:left="48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（2）项目名称：赴柬埔寨、印尼开展文化交流活动及行程服务项目</w:t>
      </w:r>
    </w:p>
    <w:p>
      <w:pPr>
        <w:tabs>
          <w:tab w:val="left" w:pos="426"/>
        </w:tabs>
        <w:spacing w:line="360" w:lineRule="auto"/>
        <w:ind w:left="48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（3）采购方式：公开招标</w:t>
      </w:r>
    </w:p>
    <w:p>
      <w:pPr>
        <w:tabs>
          <w:tab w:val="left" w:pos="426"/>
        </w:tabs>
        <w:spacing w:line="360" w:lineRule="auto"/>
        <w:ind w:left="48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（4）预算金额（含税）：人民币915,034.00元</w:t>
      </w:r>
    </w:p>
    <w:p>
      <w:pPr>
        <w:tabs>
          <w:tab w:val="left" w:pos="426"/>
        </w:tabs>
        <w:spacing w:line="360" w:lineRule="auto"/>
        <w:ind w:left="480" w:hanging="480" w:hangingChars="20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（5）最高限价（含税）：人民币915,034.00元（其中</w:t>
      </w:r>
      <w:r>
        <w:rPr>
          <w:rFonts w:ascii="宋体" w:hAnsi="宋体" w:eastAsia="宋体" w:cs="宋体"/>
          <w:color w:val="000000" w:themeColor="text1"/>
          <w:sz w:val="24"/>
          <w:szCs w:val="24"/>
          <w14:textFill>
            <w14:solidFill>
              <w14:schemeClr w14:val="tx1"/>
            </w14:solidFill>
          </w14:textFill>
        </w:rPr>
        <w:t>柬埔寨文化交流活动执行</w:t>
      </w:r>
      <w:r>
        <w:rPr>
          <w:rFonts w:hint="eastAsia" w:ascii="宋体" w:hAnsi="宋体" w:eastAsia="宋体" w:cs="宋体"/>
          <w:color w:val="000000" w:themeColor="text1"/>
          <w:sz w:val="24"/>
          <w:szCs w:val="24"/>
          <w14:textFill>
            <w14:solidFill>
              <w14:schemeClr w14:val="tx1"/>
            </w14:solidFill>
          </w14:textFill>
        </w:rPr>
        <w:t>服务130,000.00元；印尼</w:t>
      </w:r>
      <w:r>
        <w:rPr>
          <w:rFonts w:ascii="宋体" w:hAnsi="宋体" w:eastAsia="宋体" w:cs="宋体"/>
          <w:color w:val="000000" w:themeColor="text1"/>
          <w:sz w:val="24"/>
          <w:szCs w:val="24"/>
          <w14:textFill>
            <w14:solidFill>
              <w14:schemeClr w14:val="tx1"/>
            </w14:solidFill>
          </w14:textFill>
        </w:rPr>
        <w:t>文化交流活动执行</w:t>
      </w:r>
      <w:r>
        <w:rPr>
          <w:rFonts w:hint="eastAsia" w:ascii="宋体" w:hAnsi="宋体" w:eastAsia="宋体" w:cs="宋体"/>
          <w:color w:val="000000" w:themeColor="text1"/>
          <w:sz w:val="24"/>
          <w:szCs w:val="24"/>
          <w14:textFill>
            <w14:solidFill>
              <w14:schemeClr w14:val="tx1"/>
            </w14:solidFill>
          </w14:textFill>
        </w:rPr>
        <w:t>服务</w:t>
      </w:r>
      <w:r>
        <w:rPr>
          <w:rFonts w:ascii="宋体" w:hAnsi="宋体" w:eastAsia="宋体" w:cs="宋体"/>
          <w:color w:val="000000" w:themeColor="text1"/>
          <w:sz w:val="24"/>
          <w:szCs w:val="24"/>
          <w14:textFill>
            <w14:solidFill>
              <w14:schemeClr w14:val="tx1"/>
            </w14:solidFill>
          </w14:textFill>
        </w:rPr>
        <w:t>454,599.00</w:t>
      </w:r>
      <w:r>
        <w:rPr>
          <w:rFonts w:hint="eastAsia" w:ascii="宋体" w:hAnsi="宋体" w:eastAsia="宋体" w:cs="宋体"/>
          <w:color w:val="000000" w:themeColor="text1"/>
          <w:sz w:val="24"/>
          <w:szCs w:val="24"/>
          <w14:textFill>
            <w14:solidFill>
              <w14:schemeClr w14:val="tx1"/>
            </w14:solidFill>
          </w14:textFill>
        </w:rPr>
        <w:t>元；</w:t>
      </w:r>
      <w:r>
        <w:rPr>
          <w:rFonts w:ascii="宋体" w:hAnsi="宋体" w:eastAsia="宋体" w:cs="宋体"/>
          <w:color w:val="000000" w:themeColor="text1"/>
          <w:sz w:val="24"/>
          <w:szCs w:val="24"/>
          <w14:textFill>
            <w14:solidFill>
              <w14:schemeClr w14:val="tx1"/>
            </w14:solidFill>
          </w14:textFill>
        </w:rPr>
        <w:t>团组A行程保障服务200,851.00</w:t>
      </w:r>
      <w:r>
        <w:rPr>
          <w:rFonts w:hint="eastAsia" w:ascii="宋体" w:hAnsi="宋体" w:eastAsia="宋体" w:cs="宋体"/>
          <w:color w:val="000000" w:themeColor="text1"/>
          <w:sz w:val="24"/>
          <w:szCs w:val="24"/>
          <w14:textFill>
            <w14:solidFill>
              <w14:schemeClr w14:val="tx1"/>
            </w14:solidFill>
          </w14:textFill>
        </w:rPr>
        <w:t>元；</w:t>
      </w:r>
      <w:r>
        <w:rPr>
          <w:rFonts w:ascii="宋体" w:hAnsi="宋体" w:eastAsia="宋体" w:cs="宋体"/>
          <w:color w:val="000000" w:themeColor="text1"/>
          <w:sz w:val="24"/>
          <w:szCs w:val="24"/>
          <w14:textFill>
            <w14:solidFill>
              <w14:schemeClr w14:val="tx1"/>
            </w14:solidFill>
          </w14:textFill>
        </w:rPr>
        <w:t>团组B行程保障服务129,584.00</w:t>
      </w:r>
      <w:r>
        <w:rPr>
          <w:rFonts w:hint="eastAsia" w:ascii="宋体" w:hAnsi="宋体" w:eastAsia="宋体" w:cs="宋体"/>
          <w:color w:val="000000" w:themeColor="text1"/>
          <w:sz w:val="24"/>
          <w:szCs w:val="24"/>
          <w14:textFill>
            <w14:solidFill>
              <w14:schemeClr w14:val="tx1"/>
            </w14:solidFill>
          </w14:textFill>
        </w:rPr>
        <w:t>元。）</w:t>
      </w:r>
    </w:p>
    <w:p>
      <w:pPr>
        <w:tabs>
          <w:tab w:val="left" w:pos="426"/>
        </w:tabs>
        <w:spacing w:line="360" w:lineRule="auto"/>
        <w:ind w:left="48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（6）服务地点：招标人指定地点</w:t>
      </w:r>
    </w:p>
    <w:p>
      <w:pPr>
        <w:pStyle w:val="63"/>
        <w:tabs>
          <w:tab w:val="left" w:pos="426"/>
        </w:tabs>
        <w:spacing w:before="312" w:beforeLines="100" w:line="360" w:lineRule="auto"/>
        <w:outlineLvl w:val="1"/>
        <w:rPr>
          <w:rFonts w:hint="eastAsia" w:ascii="宋体" w:hAnsi="宋体" w:eastAsia="宋体" w:cs="微软雅黑"/>
          <w:b/>
          <w:color w:val="000000" w:themeColor="text1"/>
          <w:sz w:val="28"/>
          <w:szCs w:val="28"/>
          <w14:textFill>
            <w14:solidFill>
              <w14:schemeClr w14:val="tx1"/>
            </w14:solidFill>
          </w14:textFill>
        </w:rPr>
      </w:pPr>
      <w:bookmarkStart w:id="12" w:name="_Toc23398"/>
      <w:bookmarkStart w:id="13" w:name="_Toc23163"/>
      <w:r>
        <w:rPr>
          <w:rFonts w:hint="eastAsia" w:ascii="宋体" w:hAnsi="宋体" w:eastAsia="宋体" w:cs="微软雅黑"/>
          <w:b/>
          <w:color w:val="000000" w:themeColor="text1"/>
          <w:sz w:val="28"/>
          <w:szCs w:val="28"/>
          <w14:textFill>
            <w14:solidFill>
              <w14:schemeClr w14:val="tx1"/>
            </w14:solidFill>
          </w14:textFill>
        </w:rPr>
        <w:t>二、招标需求</w:t>
      </w:r>
      <w:bookmarkEnd w:id="12"/>
      <w:bookmarkEnd w:id="13"/>
    </w:p>
    <w:p>
      <w:pPr>
        <w:spacing w:line="360" w:lineRule="auto"/>
        <w:ind w:firstLine="480" w:firstLineChars="200"/>
        <w:jc w:val="left"/>
        <w:rPr>
          <w:rFonts w:hint="eastAsia" w:ascii="宋体" w:hAnsi="宋体" w:eastAsia="宋体"/>
          <w:sz w:val="24"/>
          <w:szCs w:val="24"/>
        </w:rPr>
      </w:pPr>
      <w:r>
        <w:rPr>
          <w:rFonts w:hint="eastAsia" w:ascii="宋体" w:hAnsi="宋体" w:eastAsia="宋体" w:cs="宋体"/>
          <w:color w:val="000000" w:themeColor="text1"/>
          <w:sz w:val="24"/>
          <w:szCs w:val="24"/>
          <w14:textFill>
            <w14:solidFill>
              <w14:schemeClr w14:val="tx1"/>
            </w14:solidFill>
          </w14:textFill>
        </w:rPr>
        <w:t>本项目拟通过公开招标的方式选</w:t>
      </w:r>
      <w:r>
        <w:rPr>
          <w:rFonts w:hint="eastAsia" w:ascii="宋体" w:hAnsi="宋体" w:eastAsia="宋体" w:cs="宋体"/>
          <w:sz w:val="24"/>
          <w:szCs w:val="24"/>
        </w:rPr>
        <w:t>定一家中</w:t>
      </w:r>
      <w:r>
        <w:rPr>
          <w:rFonts w:hint="eastAsia" w:ascii="宋体" w:hAnsi="宋体" w:eastAsia="宋体" w:cs="宋体"/>
          <w:color w:val="000000" w:themeColor="text1"/>
          <w:sz w:val="24"/>
          <w:szCs w:val="24"/>
          <w14:textFill>
            <w14:solidFill>
              <w14:schemeClr w14:val="tx1"/>
            </w14:solidFill>
          </w14:textFill>
        </w:rPr>
        <w:t>标人，为招标人提供</w:t>
      </w:r>
      <w:r>
        <w:rPr>
          <w:rFonts w:ascii="宋体" w:hAnsi="宋体" w:eastAsia="宋体" w:cs="宋体"/>
          <w:color w:val="000000" w:themeColor="text1"/>
          <w:sz w:val="24"/>
          <w:szCs w:val="24"/>
          <w14:textFill>
            <w14:solidFill>
              <w14:schemeClr w14:val="tx1"/>
            </w14:solidFill>
          </w14:textFill>
        </w:rPr>
        <w:t>赴柬埔寨、印尼开展文化交流活动及行程服务</w:t>
      </w:r>
      <w:r>
        <w:rPr>
          <w:rFonts w:hint="eastAsia" w:ascii="宋体" w:hAnsi="宋体" w:eastAsia="宋体" w:cs="宋体"/>
          <w:color w:val="000000" w:themeColor="text1"/>
          <w:sz w:val="24"/>
          <w:szCs w:val="24"/>
          <w14:textFill>
            <w14:solidFill>
              <w14:schemeClr w14:val="tx1"/>
            </w14:solidFill>
          </w14:textFill>
        </w:rPr>
        <w:t>。中标人需协助招标人在柬埔寨、印尼期间，完成相关文化交流活动执行，</w:t>
      </w:r>
      <w:r>
        <w:rPr>
          <w:rFonts w:ascii="宋体" w:hAnsi="宋体" w:eastAsia="宋体" w:cs="宋体"/>
          <w:color w:val="000000" w:themeColor="text1"/>
          <w:sz w:val="24"/>
          <w:szCs w:val="24"/>
          <w14:textFill>
            <w14:solidFill>
              <w14:schemeClr w14:val="tx1"/>
            </w14:solidFill>
          </w14:textFill>
        </w:rPr>
        <w:t>以及</w:t>
      </w:r>
      <w:r>
        <w:rPr>
          <w:rFonts w:hint="eastAsia" w:ascii="宋体" w:hAnsi="宋体" w:eastAsia="宋体" w:cs="宋体"/>
          <w:color w:val="000000" w:themeColor="text1"/>
          <w:sz w:val="24"/>
          <w:szCs w:val="24"/>
          <w14:textFill>
            <w14:solidFill>
              <w14:schemeClr w14:val="tx1"/>
            </w14:solidFill>
          </w14:textFill>
        </w:rPr>
        <w:t>招标人2个团组赴柬埔寨、印尼期间（预计10人）的全程行程</w:t>
      </w:r>
      <w:r>
        <w:rPr>
          <w:rFonts w:ascii="宋体" w:hAnsi="宋体" w:eastAsia="宋体" w:cs="宋体"/>
          <w:color w:val="000000" w:themeColor="text1"/>
          <w:sz w:val="24"/>
          <w:szCs w:val="24"/>
          <w14:textFill>
            <w14:solidFill>
              <w14:schemeClr w14:val="tx1"/>
            </w14:solidFill>
          </w14:textFill>
        </w:rPr>
        <w:t>服务</w:t>
      </w:r>
      <w:r>
        <w:rPr>
          <w:rFonts w:hint="eastAsia" w:ascii="宋体" w:hAnsi="宋体" w:eastAsia="宋体" w:cs="宋体"/>
          <w:color w:val="000000" w:themeColor="text1"/>
          <w:sz w:val="24"/>
          <w:szCs w:val="24"/>
          <w14:textFill>
            <w14:solidFill>
              <w14:schemeClr w14:val="tx1"/>
            </w14:solidFill>
          </w14:textFill>
        </w:rPr>
        <w:t>。</w:t>
      </w:r>
    </w:p>
    <w:tbl>
      <w:tblPr>
        <w:tblStyle w:val="41"/>
        <w:tblW w:w="4982"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2"/>
        <w:gridCol w:w="2906"/>
        <w:gridCol w:w="3172"/>
        <w:gridCol w:w="855"/>
        <w:gridCol w:w="118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9" w:hRule="atLeast"/>
        </w:trPr>
        <w:tc>
          <w:tcPr>
            <w:tcW w:w="356" w:type="pct"/>
            <w:vAlign w:val="center"/>
          </w:tcPr>
          <w:p>
            <w:pPr>
              <w:jc w:val="center"/>
              <w:rPr>
                <w:rFonts w:hint="eastAsia" w:ascii="宋体" w:hAnsi="宋体" w:eastAsia="宋体" w:cs="黑体"/>
                <w:b/>
                <w:bCs/>
                <w:sz w:val="22"/>
              </w:rPr>
            </w:pPr>
            <w:r>
              <w:rPr>
                <w:rFonts w:hint="eastAsia" w:ascii="宋体" w:hAnsi="宋体" w:eastAsia="宋体" w:cs="黑体"/>
                <w:b/>
                <w:bCs/>
                <w:sz w:val="22"/>
              </w:rPr>
              <w:t>序号</w:t>
            </w:r>
          </w:p>
        </w:tc>
        <w:tc>
          <w:tcPr>
            <w:tcW w:w="1663" w:type="pct"/>
            <w:vAlign w:val="center"/>
          </w:tcPr>
          <w:p>
            <w:pPr>
              <w:jc w:val="center"/>
              <w:rPr>
                <w:rFonts w:hint="eastAsia" w:ascii="宋体" w:hAnsi="宋体" w:eastAsia="宋体" w:cs="黑体"/>
                <w:b/>
                <w:bCs/>
                <w:sz w:val="22"/>
              </w:rPr>
            </w:pPr>
            <w:r>
              <w:rPr>
                <w:rFonts w:hint="eastAsia" w:ascii="宋体" w:hAnsi="宋体" w:eastAsia="宋体" w:cs="黑体"/>
                <w:b/>
                <w:bCs/>
                <w:sz w:val="22"/>
              </w:rPr>
              <w:t>采购标的</w:t>
            </w:r>
          </w:p>
        </w:tc>
        <w:tc>
          <w:tcPr>
            <w:tcW w:w="1815" w:type="pct"/>
            <w:vAlign w:val="center"/>
          </w:tcPr>
          <w:p>
            <w:pPr>
              <w:jc w:val="center"/>
              <w:rPr>
                <w:rFonts w:hint="eastAsia" w:ascii="宋体" w:hAnsi="宋体" w:eastAsia="宋体" w:cs="黑体"/>
                <w:b/>
                <w:bCs/>
                <w:sz w:val="22"/>
              </w:rPr>
            </w:pPr>
            <w:r>
              <w:rPr>
                <w:rFonts w:hint="eastAsia" w:ascii="宋体" w:hAnsi="宋体" w:eastAsia="宋体" w:cs="黑体"/>
                <w:b/>
                <w:bCs/>
                <w:sz w:val="22"/>
              </w:rPr>
              <w:t>采购内容</w:t>
            </w:r>
          </w:p>
        </w:tc>
        <w:tc>
          <w:tcPr>
            <w:tcW w:w="489" w:type="pct"/>
            <w:vAlign w:val="center"/>
          </w:tcPr>
          <w:p>
            <w:pPr>
              <w:jc w:val="center"/>
              <w:rPr>
                <w:rFonts w:hint="eastAsia" w:ascii="宋体" w:hAnsi="宋体" w:eastAsia="宋体" w:cs="黑体"/>
                <w:b/>
                <w:bCs/>
                <w:sz w:val="22"/>
              </w:rPr>
            </w:pPr>
            <w:r>
              <w:rPr>
                <w:rFonts w:hint="eastAsia" w:ascii="宋体" w:hAnsi="宋体" w:eastAsia="宋体" w:cs="黑体"/>
                <w:b/>
                <w:bCs/>
                <w:sz w:val="22"/>
              </w:rPr>
              <w:t>数量/</w:t>
            </w:r>
          </w:p>
          <w:p>
            <w:pPr>
              <w:jc w:val="center"/>
              <w:rPr>
                <w:rFonts w:hint="eastAsia" w:ascii="宋体" w:hAnsi="宋体" w:eastAsia="宋体" w:cs="黑体"/>
                <w:b/>
                <w:bCs/>
                <w:sz w:val="22"/>
              </w:rPr>
            </w:pPr>
            <w:r>
              <w:rPr>
                <w:rFonts w:hint="eastAsia" w:ascii="宋体" w:hAnsi="宋体" w:eastAsia="宋体" w:cs="黑体"/>
                <w:b/>
                <w:bCs/>
                <w:sz w:val="22"/>
              </w:rPr>
              <w:t>单位</w:t>
            </w:r>
          </w:p>
        </w:tc>
        <w:tc>
          <w:tcPr>
            <w:tcW w:w="675" w:type="pct"/>
            <w:vAlign w:val="center"/>
          </w:tcPr>
          <w:p>
            <w:pPr>
              <w:jc w:val="center"/>
              <w:rPr>
                <w:rFonts w:hint="eastAsia" w:ascii="宋体" w:hAnsi="宋体" w:eastAsia="宋体" w:cs="黑体"/>
                <w:b/>
                <w:bCs/>
                <w:sz w:val="22"/>
              </w:rPr>
            </w:pPr>
            <w:r>
              <w:rPr>
                <w:rFonts w:hint="eastAsia" w:ascii="宋体" w:hAnsi="宋体" w:eastAsia="宋体" w:cs="黑体"/>
                <w:b/>
                <w:bCs/>
                <w:sz w:val="22"/>
              </w:rPr>
              <w:t>服务要求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6" w:type="pct"/>
            <w:vAlign w:val="center"/>
          </w:tcPr>
          <w:p>
            <w:pPr>
              <w:jc w:val="center"/>
              <w:rPr>
                <w:rFonts w:hint="eastAsia" w:ascii="宋体" w:hAnsi="宋体" w:eastAsia="宋体" w:cs="黑体"/>
                <w:sz w:val="22"/>
              </w:rPr>
            </w:pPr>
            <w:r>
              <w:rPr>
                <w:rFonts w:hint="eastAsia" w:ascii="宋体" w:hAnsi="宋体" w:eastAsia="宋体" w:cs="黑体"/>
                <w:sz w:val="22"/>
              </w:rPr>
              <w:t>1</w:t>
            </w:r>
          </w:p>
        </w:tc>
        <w:tc>
          <w:tcPr>
            <w:tcW w:w="1663" w:type="pct"/>
            <w:vAlign w:val="center"/>
          </w:tcPr>
          <w:p>
            <w:pPr>
              <w:jc w:val="center"/>
              <w:rPr>
                <w:rFonts w:hint="eastAsia" w:ascii="宋体" w:hAnsi="宋体" w:eastAsia="宋体" w:cs="黑体"/>
                <w:sz w:val="22"/>
              </w:rPr>
            </w:pPr>
            <w:r>
              <w:rPr>
                <w:rFonts w:hint="eastAsia" w:ascii="宋体" w:hAnsi="宋体" w:eastAsia="宋体" w:cs="黑体"/>
                <w:sz w:val="22"/>
              </w:rPr>
              <w:t>赴柬埔寨、印尼开展文化交流活动及行程服务项目</w:t>
            </w:r>
          </w:p>
        </w:tc>
        <w:tc>
          <w:tcPr>
            <w:tcW w:w="1815" w:type="pct"/>
            <w:vAlign w:val="center"/>
          </w:tcPr>
          <w:p>
            <w:pPr>
              <w:jc w:val="center"/>
              <w:rPr>
                <w:rFonts w:hint="eastAsia" w:ascii="宋体" w:hAnsi="宋体" w:eastAsia="宋体" w:cs="黑体"/>
                <w:sz w:val="22"/>
              </w:rPr>
            </w:pPr>
            <w:r>
              <w:rPr>
                <w:rFonts w:ascii="宋体" w:hAnsi="宋体" w:eastAsia="宋体" w:cs="黑体"/>
                <w:sz w:val="22"/>
              </w:rPr>
              <w:t>赴柬埔寨、印尼开展文化交流活动及行程服务</w:t>
            </w:r>
          </w:p>
        </w:tc>
        <w:tc>
          <w:tcPr>
            <w:tcW w:w="489" w:type="pct"/>
            <w:vAlign w:val="center"/>
          </w:tcPr>
          <w:p>
            <w:pPr>
              <w:jc w:val="center"/>
              <w:rPr>
                <w:rFonts w:hint="eastAsia" w:ascii="宋体" w:hAnsi="宋体" w:eastAsia="宋体" w:cs="黑体"/>
                <w:sz w:val="22"/>
              </w:rPr>
            </w:pPr>
            <w:r>
              <w:rPr>
                <w:rFonts w:hint="eastAsia" w:ascii="宋体" w:hAnsi="宋体" w:eastAsia="宋体" w:cs="黑体"/>
                <w:sz w:val="22"/>
              </w:rPr>
              <w:t>1/项</w:t>
            </w:r>
          </w:p>
        </w:tc>
        <w:tc>
          <w:tcPr>
            <w:tcW w:w="675" w:type="pct"/>
            <w:vAlign w:val="center"/>
          </w:tcPr>
          <w:p>
            <w:pPr>
              <w:jc w:val="center"/>
              <w:rPr>
                <w:rFonts w:hint="eastAsia" w:ascii="宋体" w:hAnsi="宋体" w:eastAsia="宋体" w:cs="黑体"/>
                <w:sz w:val="22"/>
              </w:rPr>
            </w:pPr>
            <w:r>
              <w:rPr>
                <w:rFonts w:hint="eastAsia" w:ascii="宋体" w:hAnsi="宋体" w:eastAsia="宋体" w:cs="黑体"/>
                <w:sz w:val="22"/>
              </w:rPr>
              <w:t>详见招标文件第二部分</w:t>
            </w:r>
          </w:p>
        </w:tc>
      </w:tr>
    </w:tbl>
    <w:p>
      <w:pPr>
        <w:pStyle w:val="63"/>
        <w:tabs>
          <w:tab w:val="left" w:pos="426"/>
        </w:tabs>
        <w:spacing w:before="312" w:beforeLines="100" w:line="360" w:lineRule="auto"/>
        <w:outlineLvl w:val="1"/>
        <w:rPr>
          <w:rFonts w:hint="eastAsia" w:ascii="宋体" w:hAnsi="宋体" w:eastAsia="宋体" w:cs="微软雅黑"/>
          <w:b/>
          <w:color w:val="000000" w:themeColor="text1"/>
          <w:sz w:val="28"/>
          <w:szCs w:val="28"/>
          <w14:textFill>
            <w14:solidFill>
              <w14:schemeClr w14:val="tx1"/>
            </w14:solidFill>
          </w14:textFill>
        </w:rPr>
      </w:pPr>
      <w:bookmarkStart w:id="14" w:name="_Toc23829"/>
      <w:bookmarkStart w:id="15" w:name="_Toc18433"/>
      <w:r>
        <w:rPr>
          <w:rFonts w:hint="eastAsia" w:ascii="宋体" w:hAnsi="宋体" w:eastAsia="宋体" w:cs="微软雅黑"/>
          <w:b/>
          <w:color w:val="000000" w:themeColor="text1"/>
          <w:sz w:val="28"/>
          <w:szCs w:val="28"/>
          <w14:textFill>
            <w14:solidFill>
              <w14:schemeClr w14:val="tx1"/>
            </w14:solidFill>
          </w14:textFill>
        </w:rPr>
        <w:t>三、投标供应商的资格要求</w:t>
      </w:r>
      <w:bookmarkEnd w:id="14"/>
      <w:bookmarkEnd w:id="15"/>
    </w:p>
    <w:p>
      <w:pPr>
        <w:spacing w:line="360" w:lineRule="auto"/>
        <w:rPr>
          <w:rFonts w:hint="eastAsia" w:ascii="宋体" w:hAnsi="宋体" w:eastAsia="宋体" w:cs="宋体"/>
          <w:sz w:val="24"/>
          <w:szCs w:val="24"/>
        </w:rPr>
      </w:pPr>
      <w:r>
        <w:rPr>
          <w:rFonts w:hint="eastAsia" w:ascii="宋体" w:hAnsi="宋体" w:eastAsia="宋体" w:cs="宋体"/>
          <w:sz w:val="24"/>
          <w:szCs w:val="24"/>
        </w:rPr>
        <w:t>1）投标人须在中华人民共和国境内注册的具有独立承担民事责任能力的法人或其他组织，提供营业执照或事业法人证书（分公司投标须得到总公司授权，同时提供总公司营业执照及盖章授权函）；</w:t>
      </w:r>
    </w:p>
    <w:p>
      <w:pPr>
        <w:spacing w:line="360" w:lineRule="auto"/>
        <w:rPr>
          <w:rFonts w:hint="eastAsia" w:ascii="宋体" w:hAnsi="宋体" w:eastAsia="宋体" w:cs="宋体"/>
          <w:sz w:val="24"/>
          <w:szCs w:val="24"/>
        </w:rPr>
      </w:pPr>
      <w:r>
        <w:rPr>
          <w:rFonts w:hint="eastAsia" w:ascii="宋体" w:hAnsi="宋体" w:eastAsia="宋体" w:cs="宋体"/>
          <w:sz w:val="24"/>
          <w:szCs w:val="24"/>
        </w:rPr>
        <w:t>2）投标人在“信用中国”网站、中国政府采购网没有被列入失信被执行人、重大税收违法失信主体、政府采购严重违法失信行为记录名单；（以招标代理机构于投标截止时间当天在信用中国网站及中国政府采购网查询结果为准，如相关失信记录已失效，供应商需提供相关证明资料）。</w:t>
      </w:r>
    </w:p>
    <w:p>
      <w:pPr>
        <w:spacing w:line="360" w:lineRule="auto"/>
        <w:rPr>
          <w:rFonts w:hint="eastAsia" w:ascii="宋体" w:hAnsi="宋体" w:eastAsia="宋体" w:cs="宋体"/>
          <w:sz w:val="24"/>
          <w:szCs w:val="24"/>
        </w:rPr>
      </w:pPr>
      <w:r>
        <w:rPr>
          <w:rFonts w:hint="eastAsia" w:ascii="宋体" w:hAnsi="宋体" w:eastAsia="宋体" w:cs="宋体"/>
          <w:sz w:val="24"/>
          <w:szCs w:val="24"/>
        </w:rPr>
        <w:t>3）单位负责人为同一人或者存在直接控股、管理关系的不同投标人，不得一同参加本项目的招标活动；</w:t>
      </w:r>
    </w:p>
    <w:p>
      <w:pPr>
        <w:spacing w:line="360" w:lineRule="auto"/>
        <w:rPr>
          <w:rFonts w:hint="eastAsia" w:ascii="宋体" w:hAnsi="宋体" w:eastAsia="宋体" w:cs="宋体"/>
          <w:sz w:val="24"/>
          <w:szCs w:val="24"/>
        </w:rPr>
      </w:pPr>
      <w:r>
        <w:rPr>
          <w:rFonts w:hint="eastAsia" w:ascii="宋体" w:hAnsi="宋体" w:eastAsia="宋体" w:cs="宋体"/>
          <w:sz w:val="24"/>
          <w:szCs w:val="24"/>
        </w:rPr>
        <w:t>4）</w:t>
      </w:r>
      <w:bookmarkStart w:id="16" w:name="_Hlk58185024"/>
      <w:r>
        <w:rPr>
          <w:rFonts w:hint="eastAsia" w:ascii="宋体" w:hAnsi="宋体" w:eastAsia="宋体" w:cs="宋体"/>
          <w:sz w:val="24"/>
          <w:szCs w:val="24"/>
        </w:rPr>
        <w:t>本项目不接受联合体投标，不允许转包、违法分包。</w:t>
      </w:r>
    </w:p>
    <w:p>
      <w:pPr>
        <w:pStyle w:val="63"/>
        <w:tabs>
          <w:tab w:val="left" w:pos="426"/>
        </w:tabs>
        <w:spacing w:before="312" w:beforeLines="100" w:line="360" w:lineRule="auto"/>
        <w:outlineLvl w:val="1"/>
        <w:rPr>
          <w:rFonts w:hint="eastAsia" w:ascii="宋体" w:hAnsi="宋体" w:eastAsia="宋体" w:cs="微软雅黑"/>
          <w:b/>
          <w:color w:val="000000" w:themeColor="text1"/>
          <w:sz w:val="28"/>
          <w:szCs w:val="28"/>
          <w14:textFill>
            <w14:solidFill>
              <w14:schemeClr w14:val="tx1"/>
            </w14:solidFill>
          </w14:textFill>
        </w:rPr>
      </w:pPr>
      <w:bookmarkStart w:id="17" w:name="_Toc26916"/>
      <w:bookmarkStart w:id="18" w:name="_Toc139"/>
      <w:r>
        <w:rPr>
          <w:rFonts w:hint="eastAsia" w:ascii="宋体" w:hAnsi="宋体" w:eastAsia="宋体" w:cs="微软雅黑"/>
          <w:b/>
          <w:color w:val="000000" w:themeColor="text1"/>
          <w:sz w:val="28"/>
          <w:szCs w:val="28"/>
          <w14:textFill>
            <w14:solidFill>
              <w14:schemeClr w14:val="tx1"/>
            </w14:solidFill>
          </w14:textFill>
        </w:rPr>
        <w:t>四、获取招标文件</w:t>
      </w:r>
      <w:bookmarkEnd w:id="17"/>
      <w:bookmarkEnd w:id="18"/>
    </w:p>
    <w:bookmarkEnd w:id="16"/>
    <w:p>
      <w:pPr>
        <w:spacing w:line="360" w:lineRule="auto"/>
        <w:rPr>
          <w:rFonts w:hint="eastAsia" w:ascii="宋体" w:hAnsi="宋体" w:eastAsia="宋体" w:cs="宋体"/>
          <w:bCs/>
          <w:sz w:val="24"/>
          <w:szCs w:val="24"/>
        </w:rPr>
      </w:pPr>
      <w:r>
        <w:rPr>
          <w:rFonts w:hint="eastAsia" w:ascii="宋体" w:hAnsi="宋体" w:eastAsia="宋体" w:cs="宋体"/>
          <w:bCs/>
          <w:sz w:val="24"/>
          <w:szCs w:val="24"/>
        </w:rPr>
        <w:t>（一）申领时间：</w:t>
      </w:r>
      <w:r>
        <w:rPr>
          <w:rFonts w:hint="eastAsia" w:ascii="宋体" w:hAnsi="宋体" w:eastAsia="宋体" w:cs="宋体"/>
          <w:bCs/>
          <w:sz w:val="24"/>
          <w:szCs w:val="24"/>
          <w:u w:val="single"/>
        </w:rPr>
        <w:t>2026</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09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01 </w:t>
      </w:r>
      <w:r>
        <w:rPr>
          <w:rFonts w:hint="eastAsia" w:ascii="宋体" w:hAnsi="宋体" w:eastAsia="宋体" w:cs="宋体"/>
          <w:bCs/>
          <w:sz w:val="24"/>
          <w:szCs w:val="24"/>
        </w:rPr>
        <w:t>日至</w:t>
      </w:r>
      <w:r>
        <w:rPr>
          <w:rFonts w:hint="eastAsia" w:ascii="宋体" w:hAnsi="宋体" w:eastAsia="宋体" w:cs="宋体"/>
          <w:bCs/>
          <w:sz w:val="24"/>
          <w:szCs w:val="24"/>
          <w:u w:val="single"/>
        </w:rPr>
        <w:t>2026</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09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07 </w:t>
      </w:r>
      <w:r>
        <w:rPr>
          <w:rFonts w:hint="eastAsia" w:ascii="宋体" w:hAnsi="宋体" w:eastAsia="宋体" w:cs="宋体"/>
          <w:bCs/>
          <w:sz w:val="24"/>
          <w:szCs w:val="24"/>
        </w:rPr>
        <w:t>日，每日上午9:00至11:30，下午14:30至17:00。</w:t>
      </w:r>
    </w:p>
    <w:p>
      <w:pPr>
        <w:tabs>
          <w:tab w:val="left" w:pos="0"/>
        </w:tabs>
        <w:spacing w:line="360" w:lineRule="auto"/>
        <w:rPr>
          <w:rFonts w:hint="eastAsia" w:ascii="宋体" w:hAnsi="宋体" w:eastAsia="宋体" w:cs="宋体"/>
          <w:bCs/>
          <w:sz w:val="24"/>
          <w:szCs w:val="24"/>
        </w:rPr>
      </w:pPr>
      <w:r>
        <w:rPr>
          <w:rFonts w:hint="eastAsia" w:ascii="宋体" w:hAnsi="宋体" w:eastAsia="宋体" w:cs="宋体"/>
          <w:bCs/>
          <w:sz w:val="24"/>
          <w:szCs w:val="24"/>
        </w:rPr>
        <w:t>（二）申领地点：</w:t>
      </w:r>
      <w:r>
        <w:rPr>
          <w:rFonts w:hint="eastAsia" w:ascii="宋体" w:hAnsi="宋体" w:eastAsia="宋体" w:cs="宋体"/>
          <w:bCs/>
          <w:sz w:val="24"/>
          <w:szCs w:val="24"/>
          <w:u w:val="single"/>
        </w:rPr>
        <w:t>线上领取，详见公告</w:t>
      </w:r>
      <w:r>
        <w:rPr>
          <w:rFonts w:hint="eastAsia" w:ascii="宋体" w:hAnsi="宋体" w:eastAsia="宋体" w:cs="宋体"/>
          <w:bCs/>
          <w:sz w:val="24"/>
          <w:szCs w:val="24"/>
        </w:rPr>
        <w:t>。</w:t>
      </w:r>
    </w:p>
    <w:p>
      <w:pPr>
        <w:tabs>
          <w:tab w:val="left" w:pos="0"/>
        </w:tabs>
        <w:spacing w:line="360" w:lineRule="auto"/>
        <w:rPr>
          <w:rFonts w:hint="eastAsia" w:ascii="宋体" w:hAnsi="宋体" w:eastAsia="宋体" w:cs="宋体"/>
          <w:bCs/>
          <w:sz w:val="24"/>
          <w:szCs w:val="24"/>
        </w:rPr>
      </w:pPr>
      <w:r>
        <w:rPr>
          <w:rFonts w:hint="eastAsia" w:ascii="宋体" w:hAnsi="宋体" w:eastAsia="宋体" w:cs="宋体"/>
          <w:bCs/>
          <w:sz w:val="24"/>
          <w:szCs w:val="24"/>
        </w:rPr>
        <w:t>（三）申领招标文件时需提供以下材料：</w:t>
      </w:r>
    </w:p>
    <w:p>
      <w:pPr>
        <w:tabs>
          <w:tab w:val="left" w:pos="0"/>
        </w:tabs>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1.《采购文件领购登记表》：具体格式详见附件或联系采购代理人员获取；</w:t>
      </w:r>
    </w:p>
    <w:p>
      <w:pPr>
        <w:tabs>
          <w:tab w:val="left" w:pos="0"/>
        </w:tabs>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2.营业执照或事业单位法人证书复印件加盖公章；</w:t>
      </w:r>
    </w:p>
    <w:p>
      <w:pPr>
        <w:tabs>
          <w:tab w:val="left" w:pos="0"/>
        </w:tabs>
        <w:spacing w:line="360" w:lineRule="auto"/>
        <w:rPr>
          <w:rFonts w:hint="eastAsia" w:ascii="宋体" w:hAnsi="宋体" w:eastAsia="宋体" w:cs="宋体"/>
          <w:bCs/>
          <w:sz w:val="24"/>
          <w:szCs w:val="24"/>
        </w:rPr>
      </w:pPr>
      <w:r>
        <w:rPr>
          <w:rFonts w:hint="eastAsia" w:ascii="宋体" w:hAnsi="宋体" w:eastAsia="宋体" w:cs="宋体"/>
          <w:bCs/>
          <w:sz w:val="24"/>
          <w:szCs w:val="24"/>
        </w:rPr>
        <w:t>（四）申领方式</w:t>
      </w:r>
    </w:p>
    <w:p>
      <w:pPr>
        <w:pStyle w:val="37"/>
        <w:spacing w:before="0" w:beforeAutospacing="0" w:after="0" w:afterAutospacing="0" w:line="360" w:lineRule="auto"/>
        <w:ind w:firstLine="480" w:firstLineChars="200"/>
        <w:rPr>
          <w:rFonts w:hint="eastAsia" w:cs="宋体"/>
          <w:bCs/>
        </w:rPr>
      </w:pPr>
      <w:r>
        <w:rPr>
          <w:rFonts w:hint="eastAsia" w:cs="宋体"/>
          <w:bCs/>
        </w:rPr>
        <w:t>网上发送。邮件主题：项目名称+项目编号+公司名称；邮件内容：列明公司名称、法定代表人或授权代表人姓名及联系方式；邮件附件：需采用A4纸幅面，将报名材料加盖企业鲜章，文件名称与主题一致。报名材料审核通过后，采购机构联系人向供应商邮箱发送招标文件电子版；审核未通过的，采购机构联系人以邮件形式回复审核情况，供应商可在招标文件申领时间内重新提交材料。采购机构或代理机构邮箱：</w:t>
      </w:r>
      <w:bookmarkStart w:id="19" w:name="_Hlk118909162"/>
      <w:r>
        <w:rPr>
          <w:rFonts w:hint="eastAsia" w:cs="宋体"/>
          <w:bCs/>
        </w:rPr>
        <w:t>1141382405@qq.com</w:t>
      </w:r>
    </w:p>
    <w:p>
      <w:pPr>
        <w:pStyle w:val="37"/>
        <w:spacing w:before="0" w:beforeAutospacing="0" w:after="0" w:afterAutospacing="0" w:line="360" w:lineRule="auto"/>
        <w:ind w:firstLine="480" w:firstLineChars="200"/>
        <w:rPr>
          <w:rFonts w:hint="eastAsia" w:cs="宋体"/>
          <w:bCs/>
        </w:rPr>
      </w:pPr>
      <w:r>
        <w:rPr>
          <w:rFonts w:hint="eastAsia" w:cs="宋体"/>
          <w:bCs/>
        </w:rPr>
        <w:t>招标文件发售联系人：梁工  18620046474</w:t>
      </w:r>
    </w:p>
    <w:p>
      <w:pPr>
        <w:pStyle w:val="37"/>
        <w:spacing w:before="0" w:beforeAutospacing="0" w:after="0" w:afterAutospacing="0" w:line="360" w:lineRule="auto"/>
        <w:rPr>
          <w:rFonts w:hint="eastAsia" w:cs="宋体"/>
          <w:bCs/>
        </w:rPr>
      </w:pPr>
      <w:r>
        <w:rPr>
          <w:rFonts w:hint="eastAsia" w:cs="宋体"/>
        </w:rPr>
        <w:t>（五）招标文件售价：</w:t>
      </w:r>
      <w:r>
        <w:rPr>
          <w:rFonts w:hint="eastAsia" w:cs="宋体"/>
          <w:u w:val="single"/>
        </w:rPr>
        <w:t>300</w:t>
      </w:r>
      <w:r>
        <w:rPr>
          <w:rFonts w:hint="eastAsia" w:cs="宋体"/>
        </w:rPr>
        <w:t>元/份，售后不退。</w:t>
      </w:r>
      <w:bookmarkEnd w:id="19"/>
      <w:r>
        <w:rPr>
          <w:rFonts w:hint="eastAsia" w:cs="宋体"/>
          <w:bCs/>
        </w:rPr>
        <w:t>报名供应商必须于本采购项目规定的发售时间内向我司缴纳标书款，否则视为未完成报名。由招标代理机构出具发票，非因招标代理机构原因，发票一经开具不予退换。（备注：转账凭证备注栏须注明“项目名称”+“XX公司”。）</w:t>
      </w:r>
    </w:p>
    <w:p>
      <w:pPr>
        <w:pStyle w:val="37"/>
        <w:spacing w:before="0" w:beforeAutospacing="0" w:after="0" w:afterAutospacing="0" w:line="360" w:lineRule="auto"/>
        <w:ind w:firstLine="480" w:firstLineChars="200"/>
        <w:rPr>
          <w:rFonts w:hint="eastAsia" w:cs="宋体"/>
          <w:bCs/>
        </w:rPr>
      </w:pPr>
      <w:r>
        <w:rPr>
          <w:rFonts w:hint="eastAsia" w:cs="宋体"/>
          <w:bCs/>
        </w:rPr>
        <w:t>1.支付方式：银行电汇</w:t>
      </w:r>
    </w:p>
    <w:p>
      <w:pPr>
        <w:tabs>
          <w:tab w:val="left" w:pos="0"/>
        </w:tabs>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2.收款人名称：中通服咨询设计研究院有限公司</w:t>
      </w:r>
    </w:p>
    <w:p>
      <w:pPr>
        <w:tabs>
          <w:tab w:val="left" w:pos="0"/>
        </w:tabs>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3.开户银行：招商银行股份有限公司南京中山北路支行；</w:t>
      </w:r>
    </w:p>
    <w:p>
      <w:pPr>
        <w:tabs>
          <w:tab w:val="left" w:pos="0"/>
        </w:tabs>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4.账号：12590209571000100000156</w:t>
      </w:r>
    </w:p>
    <w:p>
      <w:pPr>
        <w:pStyle w:val="63"/>
        <w:tabs>
          <w:tab w:val="left" w:pos="426"/>
        </w:tabs>
        <w:spacing w:before="312" w:beforeLines="100" w:line="360" w:lineRule="auto"/>
        <w:outlineLvl w:val="1"/>
        <w:rPr>
          <w:rFonts w:hint="eastAsia" w:ascii="宋体" w:hAnsi="宋体" w:eastAsia="宋体" w:cs="微软雅黑"/>
          <w:b/>
          <w:color w:val="000000" w:themeColor="text1"/>
          <w:sz w:val="28"/>
          <w:szCs w:val="28"/>
          <w14:textFill>
            <w14:solidFill>
              <w14:schemeClr w14:val="tx1"/>
            </w14:solidFill>
          </w14:textFill>
        </w:rPr>
      </w:pPr>
      <w:bookmarkStart w:id="20" w:name="_Toc32528"/>
      <w:bookmarkStart w:id="21" w:name="_Toc15949"/>
      <w:r>
        <w:rPr>
          <w:rFonts w:hint="eastAsia" w:ascii="宋体" w:hAnsi="宋体" w:eastAsia="宋体" w:cs="微软雅黑"/>
          <w:b/>
          <w:color w:val="000000" w:themeColor="text1"/>
          <w:sz w:val="28"/>
          <w:szCs w:val="28"/>
          <w14:textFill>
            <w14:solidFill>
              <w14:schemeClr w14:val="tx1"/>
            </w14:solidFill>
          </w14:textFill>
        </w:rPr>
        <w:t>五、递交投标文件截止时间、开标时间和地点</w:t>
      </w:r>
      <w:bookmarkEnd w:id="20"/>
      <w:bookmarkEnd w:id="21"/>
    </w:p>
    <w:p>
      <w:pPr>
        <w:tabs>
          <w:tab w:val="left" w:pos="284"/>
          <w:tab w:val="left" w:pos="42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（一）提交投标文件时间：</w:t>
      </w:r>
      <w:r>
        <w:rPr>
          <w:rFonts w:hint="eastAsia" w:ascii="宋体" w:hAnsi="宋体" w:eastAsia="宋体" w:cs="宋体"/>
          <w:color w:val="000000" w:themeColor="text1"/>
          <w:sz w:val="24"/>
          <w:szCs w:val="24"/>
          <w:u w:val="single"/>
          <w14:textFill>
            <w14:solidFill>
              <w14:schemeClr w14:val="tx1"/>
            </w14:solidFill>
          </w14:textFill>
        </w:rPr>
        <w:t>2026年  09  月  09  日09时30分至10时00分</w:t>
      </w:r>
      <w:r>
        <w:rPr>
          <w:rFonts w:hint="eastAsia" w:ascii="宋体" w:hAnsi="宋体" w:eastAsia="宋体" w:cs="宋体"/>
          <w:color w:val="000000" w:themeColor="text1"/>
          <w:sz w:val="24"/>
          <w:szCs w:val="24"/>
          <w14:textFill>
            <w14:solidFill>
              <w14:schemeClr w14:val="tx1"/>
            </w14:solidFill>
          </w14:textFill>
        </w:rPr>
        <w:t>（北京时间）。</w:t>
      </w:r>
    </w:p>
    <w:p>
      <w:pPr>
        <w:tabs>
          <w:tab w:val="left" w:pos="284"/>
          <w:tab w:val="left" w:pos="42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（二）提交投标文件截止时间：</w:t>
      </w:r>
      <w:r>
        <w:rPr>
          <w:rFonts w:hint="eastAsia" w:ascii="宋体" w:hAnsi="宋体" w:eastAsia="宋体" w:cs="宋体"/>
          <w:color w:val="000000" w:themeColor="text1"/>
          <w:sz w:val="24"/>
          <w:szCs w:val="24"/>
          <w:u w:val="single"/>
          <w14:textFill>
            <w14:solidFill>
              <w14:schemeClr w14:val="tx1"/>
            </w14:solidFill>
          </w14:textFill>
        </w:rPr>
        <w:t>2026年  09 月 09 日10时00分</w:t>
      </w:r>
      <w:r>
        <w:rPr>
          <w:rFonts w:hint="eastAsia" w:ascii="宋体" w:hAnsi="宋体" w:eastAsia="宋体" w:cs="宋体"/>
          <w:color w:val="000000" w:themeColor="text1"/>
          <w:sz w:val="24"/>
          <w:szCs w:val="24"/>
          <w14:textFill>
            <w14:solidFill>
              <w14:schemeClr w14:val="tx1"/>
            </w14:solidFill>
          </w14:textFill>
        </w:rPr>
        <w:t>（北京时间）</w:t>
      </w:r>
    </w:p>
    <w:p>
      <w:pPr>
        <w:pStyle w:val="63"/>
        <w:tabs>
          <w:tab w:val="left" w:pos="426"/>
        </w:tabs>
        <w:spacing w:line="36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（三）提交投标文件地点/开标地点：广州市天河区林和东路285号中汇人寿中心36楼中通服设计院会议室。</w:t>
      </w:r>
    </w:p>
    <w:p>
      <w:pPr>
        <w:spacing w:line="360" w:lineRule="auto"/>
        <w:jc w:val="left"/>
        <w:rPr>
          <w:rFonts w:hint="eastAsia" w:ascii="宋体" w:hAnsi="宋体" w:eastAsia="宋体"/>
          <w:sz w:val="24"/>
        </w:rPr>
      </w:pPr>
      <w:r>
        <w:rPr>
          <w:rFonts w:hint="eastAsia" w:ascii="宋体" w:hAnsi="宋体" w:eastAsia="宋体" w:cs="宋体"/>
          <w:color w:val="000000" w:themeColor="text1"/>
          <w:sz w:val="24"/>
          <w:szCs w:val="24"/>
          <w14:textFill>
            <w14:solidFill>
              <w14:schemeClr w14:val="tx1"/>
            </w14:solidFill>
          </w14:textFill>
        </w:rPr>
        <w:t>（四）</w:t>
      </w:r>
      <w:r>
        <w:rPr>
          <w:rFonts w:ascii="宋体" w:hAnsi="宋体" w:eastAsia="宋体"/>
          <w:sz w:val="24"/>
        </w:rPr>
        <w:t>逾期送达或者未按照招标文件要求密封的投标文件，</w:t>
      </w:r>
      <w:r>
        <w:rPr>
          <w:rFonts w:hint="eastAsia" w:ascii="宋体" w:hAnsi="宋体" w:eastAsia="宋体"/>
          <w:sz w:val="24"/>
        </w:rPr>
        <w:t>招标人</w:t>
      </w:r>
      <w:r>
        <w:rPr>
          <w:rFonts w:ascii="宋体" w:hAnsi="宋体" w:eastAsia="宋体"/>
          <w:sz w:val="24"/>
        </w:rPr>
        <w:t>、</w:t>
      </w:r>
      <w:r>
        <w:rPr>
          <w:rFonts w:hint="eastAsia" w:ascii="宋体" w:hAnsi="宋体" w:eastAsia="宋体"/>
          <w:sz w:val="24"/>
        </w:rPr>
        <w:t>招标代理机构</w:t>
      </w:r>
      <w:r>
        <w:rPr>
          <w:rFonts w:ascii="宋体" w:hAnsi="宋体" w:eastAsia="宋体"/>
          <w:sz w:val="24"/>
        </w:rPr>
        <w:t>将拒收。</w:t>
      </w:r>
    </w:p>
    <w:p>
      <w:pPr>
        <w:pStyle w:val="63"/>
        <w:tabs>
          <w:tab w:val="left" w:pos="426"/>
        </w:tabs>
        <w:spacing w:before="312" w:beforeLines="100" w:line="360" w:lineRule="auto"/>
        <w:outlineLvl w:val="1"/>
        <w:rPr>
          <w:rFonts w:hint="eastAsia" w:ascii="宋体" w:hAnsi="宋体" w:eastAsia="宋体" w:cs="微软雅黑"/>
          <w:b/>
          <w:color w:val="000000" w:themeColor="text1"/>
          <w:sz w:val="28"/>
          <w:szCs w:val="28"/>
          <w14:textFill>
            <w14:solidFill>
              <w14:schemeClr w14:val="tx1"/>
            </w14:solidFill>
          </w14:textFill>
        </w:rPr>
      </w:pPr>
      <w:bookmarkStart w:id="22" w:name="_Toc20183"/>
      <w:bookmarkStart w:id="23" w:name="_Toc1711"/>
      <w:r>
        <w:rPr>
          <w:rFonts w:hint="eastAsia" w:ascii="宋体" w:hAnsi="宋体" w:eastAsia="宋体" w:cs="微软雅黑"/>
          <w:b/>
          <w:color w:val="000000" w:themeColor="text1"/>
          <w:sz w:val="28"/>
          <w:szCs w:val="28"/>
          <w14:textFill>
            <w14:solidFill>
              <w14:schemeClr w14:val="tx1"/>
            </w14:solidFill>
          </w14:textFill>
        </w:rPr>
        <w:t>六、其他补充事宜</w:t>
      </w:r>
      <w:bookmarkEnd w:id="22"/>
      <w:bookmarkEnd w:id="23"/>
    </w:p>
    <w:p>
      <w:pPr>
        <w:pStyle w:val="63"/>
        <w:tabs>
          <w:tab w:val="left" w:pos="709"/>
        </w:tabs>
        <w:spacing w:line="360" w:lineRule="auto"/>
        <w:ind w:firstLine="48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本项目招标公告在南方网（http://zbtb.southcn.com/）、中国招标投标公共服务平台（</w:t>
      </w:r>
      <w:r>
        <w:rPr>
          <w:rFonts w:hint="eastAsia" w:ascii="宋体" w:hAnsi="宋体" w:eastAsia="宋体" w:cs="宋体"/>
        </w:rPr>
        <w:t>http://www.cebpubservice.com/）</w:t>
      </w:r>
      <w:r>
        <w:rPr>
          <w:rFonts w:hint="eastAsia" w:ascii="宋体" w:hAnsi="宋体" w:eastAsia="宋体" w:cs="宋体"/>
          <w:bCs/>
          <w:color w:val="000000" w:themeColor="text1"/>
          <w:sz w:val="24"/>
          <w:szCs w:val="24"/>
          <w14:textFill>
            <w14:solidFill>
              <w14:schemeClr w14:val="tx1"/>
            </w14:solidFill>
          </w14:textFill>
        </w:rPr>
        <w:t>、慧招电子招投标交易平台（</w:t>
      </w:r>
      <w:r>
        <w:rPr>
          <w:rFonts w:ascii="宋体" w:hAnsi="宋体" w:eastAsia="宋体" w:cs="宋体"/>
          <w:bCs/>
          <w:color w:val="000000" w:themeColor="text1"/>
          <w:sz w:val="24"/>
          <w:szCs w:val="24"/>
          <w14:textFill>
            <w14:solidFill>
              <w14:schemeClr w14:val="tx1"/>
            </w14:solidFill>
          </w14:textFill>
        </w:rPr>
        <w:t>https://zbdlxt.cmeconf.com/</w:t>
      </w:r>
      <w:r>
        <w:rPr>
          <w:rFonts w:hint="eastAsia" w:ascii="宋体" w:hAnsi="宋体" w:eastAsia="宋体" w:cs="宋体"/>
          <w:bCs/>
          <w:color w:val="000000" w:themeColor="text1"/>
          <w:sz w:val="24"/>
          <w:szCs w:val="24"/>
          <w14:textFill>
            <w14:solidFill>
              <w14:schemeClr w14:val="tx1"/>
            </w14:solidFill>
          </w14:textFill>
        </w:rPr>
        <w:t>）、南方＋客户端（</w:t>
      </w:r>
      <w:r>
        <w:rPr>
          <w:rFonts w:ascii="宋体" w:hAnsi="宋体" w:eastAsia="宋体" w:cs="宋体"/>
          <w:bCs/>
          <w:color w:val="000000" w:themeColor="text1"/>
          <w:sz w:val="24"/>
          <w:szCs w:val="24"/>
          <w14:textFill>
            <w14:solidFill>
              <w14:schemeClr w14:val="tx1"/>
            </w14:solidFill>
          </w14:textFill>
        </w:rPr>
        <w:t>https://t.nfnews.com/1ulo</w:t>
      </w:r>
      <w:r>
        <w:rPr>
          <w:rFonts w:hint="eastAsia" w:ascii="宋体" w:hAnsi="宋体" w:eastAsia="宋体" w:cs="宋体"/>
          <w:bCs/>
          <w:color w:val="000000" w:themeColor="text1"/>
          <w:sz w:val="24"/>
          <w:szCs w:val="24"/>
          <w14:textFill>
            <w14:solidFill>
              <w14:schemeClr w14:val="tx1"/>
            </w14:solidFill>
          </w14:textFill>
        </w:rPr>
        <w:t>）、《南方日报》上发布。</w:t>
      </w:r>
    </w:p>
    <w:p>
      <w:pPr>
        <w:pStyle w:val="63"/>
        <w:tabs>
          <w:tab w:val="left" w:pos="426"/>
        </w:tabs>
        <w:spacing w:before="312" w:beforeLines="100" w:line="360" w:lineRule="auto"/>
        <w:outlineLvl w:val="1"/>
        <w:rPr>
          <w:rFonts w:hint="eastAsia" w:ascii="宋体" w:hAnsi="宋体" w:eastAsia="宋体" w:cs="微软雅黑"/>
          <w:b/>
          <w:color w:val="000000" w:themeColor="text1"/>
          <w:sz w:val="28"/>
          <w:szCs w:val="28"/>
          <w14:textFill>
            <w14:solidFill>
              <w14:schemeClr w14:val="tx1"/>
            </w14:solidFill>
          </w14:textFill>
        </w:rPr>
      </w:pPr>
      <w:bookmarkStart w:id="24" w:name="_Toc32755"/>
      <w:bookmarkStart w:id="25" w:name="_Toc27806"/>
      <w:r>
        <w:rPr>
          <w:rFonts w:hint="eastAsia" w:ascii="宋体" w:hAnsi="宋体" w:eastAsia="宋体" w:cs="微软雅黑"/>
          <w:b/>
          <w:color w:val="000000" w:themeColor="text1"/>
          <w:sz w:val="28"/>
          <w:szCs w:val="28"/>
          <w14:textFill>
            <w14:solidFill>
              <w14:schemeClr w14:val="tx1"/>
            </w14:solidFill>
          </w14:textFill>
        </w:rPr>
        <w:t>七、对本次招标提出询问，请按以下方式联系。</w:t>
      </w:r>
      <w:bookmarkEnd w:id="24"/>
      <w:bookmarkEnd w:id="25"/>
    </w:p>
    <w:p>
      <w:pPr>
        <w:pStyle w:val="63"/>
        <w:tabs>
          <w:tab w:val="left" w:pos="567"/>
        </w:tabs>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（一）招标人信息</w:t>
      </w:r>
    </w:p>
    <w:p>
      <w:pPr>
        <w:tabs>
          <w:tab w:val="left" w:pos="567"/>
        </w:tabs>
        <w:spacing w:line="360" w:lineRule="auto"/>
        <w:ind w:left="424" w:left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名称：今日（广东）国际传播有限公司</w:t>
      </w:r>
    </w:p>
    <w:p>
      <w:pPr>
        <w:tabs>
          <w:tab w:val="left" w:pos="567"/>
        </w:tabs>
        <w:spacing w:line="360" w:lineRule="auto"/>
        <w:ind w:left="424" w:left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地址：广州大道中289号南方传媒大厦A座2508</w:t>
      </w:r>
    </w:p>
    <w:p>
      <w:pPr>
        <w:tabs>
          <w:tab w:val="left" w:pos="567"/>
        </w:tabs>
        <w:spacing w:line="360" w:lineRule="auto"/>
        <w:ind w:left="424" w:left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联系人：张先生</w:t>
      </w:r>
    </w:p>
    <w:p>
      <w:pPr>
        <w:tabs>
          <w:tab w:val="left" w:pos="567"/>
        </w:tabs>
        <w:spacing w:line="360" w:lineRule="auto"/>
        <w:ind w:left="424" w:left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联系方式：020-83002093</w:t>
      </w:r>
    </w:p>
    <w:p>
      <w:pPr>
        <w:pStyle w:val="12"/>
        <w:spacing w:line="360" w:lineRule="auto"/>
        <w:rPr>
          <w:rFonts w:hint="eastAsia" w:ascii="宋体" w:hAnsi="宋体"/>
        </w:rPr>
      </w:pPr>
    </w:p>
    <w:p>
      <w:pPr>
        <w:pStyle w:val="63"/>
        <w:tabs>
          <w:tab w:val="left" w:pos="567"/>
        </w:tabs>
        <w:spacing w:line="360" w:lineRule="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（二）招标代理机构信息</w:t>
      </w:r>
    </w:p>
    <w:p>
      <w:pPr>
        <w:tabs>
          <w:tab w:val="left" w:pos="567"/>
        </w:tabs>
        <w:spacing w:line="360" w:lineRule="auto"/>
        <w:ind w:left="424" w:left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名称：中通服咨询设计研究院有限公司</w:t>
      </w:r>
    </w:p>
    <w:p>
      <w:pPr>
        <w:tabs>
          <w:tab w:val="left" w:pos="567"/>
        </w:tabs>
        <w:spacing w:line="360" w:lineRule="auto"/>
        <w:ind w:left="424" w:left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地址：广州市天河区林和东路285号中汇人寿中心36楼</w:t>
      </w:r>
    </w:p>
    <w:p>
      <w:pPr>
        <w:tabs>
          <w:tab w:val="left" w:pos="567"/>
        </w:tabs>
        <w:spacing w:line="360" w:lineRule="auto"/>
        <w:ind w:left="283" w:leftChars="135" w:firstLine="163" w:firstLineChars="68"/>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 系 人：梁茵茹、林秀康、曹树林、郭富毓、宋创兴</w:t>
      </w:r>
    </w:p>
    <w:p>
      <w:pPr>
        <w:tabs>
          <w:tab w:val="left" w:pos="567"/>
        </w:tabs>
        <w:spacing w:line="360" w:lineRule="auto"/>
        <w:ind w:left="283" w:leftChars="135" w:firstLine="163" w:firstLineChars="68"/>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电    话：18620046474（梁）</w:t>
      </w:r>
    </w:p>
    <w:p>
      <w:pPr>
        <w:tabs>
          <w:tab w:val="left" w:pos="567"/>
        </w:tabs>
        <w:spacing w:line="360" w:lineRule="auto"/>
        <w:ind w:left="283" w:leftChars="135" w:firstLine="163" w:firstLineChars="68"/>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邮    箱：1141382405@qq.com</w:t>
      </w:r>
    </w:p>
    <w:p>
      <w:pPr>
        <w:tabs>
          <w:tab w:val="left" w:pos="5747"/>
        </w:tabs>
        <w:spacing w:before="68" w:line="220" w:lineRule="auto"/>
        <w:jc w:val="right"/>
        <w:rPr>
          <w:rFonts w:hint="eastAsia" w:ascii="宋体" w:hAnsi="宋体" w:eastAsia="宋体"/>
        </w:rPr>
      </w:pPr>
      <w:r>
        <w:rPr>
          <w:rFonts w:hint="eastAsia" w:ascii="宋体" w:hAnsi="宋体" w:eastAsia="宋体" w:cs="宋体"/>
          <w:u w:val="single"/>
        </w:rPr>
        <w:t xml:space="preserve">2026 </w:t>
      </w:r>
      <w:r>
        <w:rPr>
          <w:rFonts w:hint="eastAsia" w:ascii="宋体" w:hAnsi="宋体" w:eastAsia="宋体" w:cs="宋体"/>
          <w:spacing w:val="3"/>
        </w:rPr>
        <w:t>年</w:t>
      </w:r>
      <w:r>
        <w:rPr>
          <w:rFonts w:hint="eastAsia" w:ascii="宋体" w:hAnsi="宋体" w:eastAsia="宋体" w:cs="宋体"/>
          <w:spacing w:val="3"/>
          <w:u w:val="single"/>
        </w:rPr>
        <w:t xml:space="preserve">  09 </w:t>
      </w:r>
      <w:r>
        <w:rPr>
          <w:rFonts w:hint="eastAsia" w:ascii="宋体" w:hAnsi="宋体" w:eastAsia="宋体" w:cs="宋体"/>
          <w:spacing w:val="2"/>
        </w:rPr>
        <w:t>月</w:t>
      </w:r>
      <w:r>
        <w:rPr>
          <w:rFonts w:hint="eastAsia" w:ascii="宋体" w:hAnsi="宋体" w:eastAsia="宋体" w:cs="宋体"/>
          <w:spacing w:val="2"/>
          <w:u w:val="single"/>
        </w:rPr>
        <w:t xml:space="preserve"> 01 </w:t>
      </w:r>
      <w:r>
        <w:rPr>
          <w:rFonts w:hint="eastAsia" w:ascii="宋体" w:hAnsi="宋体" w:eastAsia="宋体" w:cs="宋体"/>
          <w:spacing w:val="2"/>
        </w:rPr>
        <w:t>日</w:t>
      </w:r>
    </w:p>
    <w:p>
      <w:pPr>
        <w:pStyle w:val="2"/>
        <w:keepNext w:val="0"/>
        <w:keepLines w:val="0"/>
        <w:pageBreakBefore/>
        <w:spacing w:line="360" w:lineRule="auto"/>
        <w:jc w:val="center"/>
        <w:rPr>
          <w:rFonts w:hint="eastAsia" w:ascii="宋体" w:hAnsi="宋体" w:eastAsia="宋体"/>
          <w:color w:val="000000" w:themeColor="text1"/>
          <w14:textFill>
            <w14:solidFill>
              <w14:schemeClr w14:val="tx1"/>
            </w14:solidFill>
          </w14:textFill>
        </w:rPr>
      </w:pPr>
      <w:bookmarkStart w:id="26" w:name="_Toc405313952"/>
      <w:bookmarkStart w:id="27" w:name="_Toc17380"/>
      <w:bookmarkStart w:id="28" w:name="_Toc5361"/>
      <w:bookmarkStart w:id="29" w:name="_Toc31134"/>
      <w:r>
        <w:rPr>
          <w:rFonts w:hint="eastAsia" w:ascii="宋体" w:hAnsi="宋体" w:eastAsia="宋体"/>
          <w:color w:val="000000" w:themeColor="text1"/>
          <w:spacing w:val="20"/>
          <w:sz w:val="36"/>
          <w:szCs w:val="36"/>
          <w14:textFill>
            <w14:solidFill>
              <w14:schemeClr w14:val="tx1"/>
            </w14:solidFill>
          </w14:textFill>
        </w:rPr>
        <w:t>第二部分</w:t>
      </w:r>
      <w:r>
        <w:rPr>
          <w:rFonts w:ascii="宋体" w:hAnsi="宋体" w:eastAsia="宋体"/>
          <w:color w:val="000000" w:themeColor="text1"/>
          <w:spacing w:val="20"/>
          <w:sz w:val="36"/>
          <w:szCs w:val="36"/>
          <w14:textFill>
            <w14:solidFill>
              <w14:schemeClr w14:val="tx1"/>
            </w14:solidFill>
          </w14:textFill>
        </w:rPr>
        <w:t xml:space="preserve"> </w:t>
      </w:r>
      <w:r>
        <w:rPr>
          <w:rFonts w:hint="eastAsia" w:ascii="宋体" w:hAnsi="宋体" w:eastAsia="宋体"/>
          <w:color w:val="000000" w:themeColor="text1"/>
          <w:spacing w:val="20"/>
          <w:sz w:val="36"/>
          <w:szCs w:val="36"/>
          <w14:textFill>
            <w14:solidFill>
              <w14:schemeClr w14:val="tx1"/>
            </w14:solidFill>
          </w14:textFill>
        </w:rPr>
        <w:t>招标需求</w:t>
      </w:r>
      <w:bookmarkEnd w:id="26"/>
      <w:bookmarkStart w:id="30" w:name="RANGE!A4"/>
      <w:bookmarkEnd w:id="30"/>
      <w:r>
        <w:rPr>
          <w:rFonts w:hint="eastAsia" w:ascii="宋体" w:hAnsi="宋体" w:eastAsia="宋体"/>
          <w:color w:val="000000" w:themeColor="text1"/>
          <w:spacing w:val="20"/>
          <w:sz w:val="36"/>
          <w:szCs w:val="36"/>
          <w14:textFill>
            <w14:solidFill>
              <w14:schemeClr w14:val="tx1"/>
            </w14:solidFill>
          </w14:textFill>
        </w:rPr>
        <w:t>书</w:t>
      </w:r>
      <w:bookmarkEnd w:id="27"/>
      <w:bookmarkEnd w:id="28"/>
      <w:bookmarkEnd w:id="29"/>
    </w:p>
    <w:p>
      <w:pPr>
        <w:pStyle w:val="3"/>
        <w:spacing w:before="0" w:after="0"/>
        <w:rPr>
          <w:rFonts w:hint="eastAsia" w:ascii="宋体" w:hAnsi="宋体"/>
          <w:b/>
          <w:bCs/>
          <w:sz w:val="21"/>
          <w:szCs w:val="21"/>
        </w:rPr>
      </w:pPr>
      <w:bookmarkStart w:id="31" w:name="_Toc27178"/>
      <w:bookmarkStart w:id="32" w:name="_Toc21426"/>
      <w:bookmarkStart w:id="33" w:name="_Toc11904"/>
      <w:bookmarkStart w:id="34" w:name="_Toc405313953"/>
      <w:bookmarkStart w:id="35" w:name="_Toc391627749"/>
      <w:r>
        <w:rPr>
          <w:rFonts w:hint="eastAsia" w:ascii="宋体" w:hAnsi="宋体"/>
          <w:b/>
          <w:bCs/>
          <w:sz w:val="21"/>
          <w:szCs w:val="21"/>
        </w:rPr>
        <w:t>一、项目概述</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招标人拟分为2个</w:t>
      </w:r>
      <w:r>
        <w:rPr>
          <w:rFonts w:ascii="宋体" w:hAnsi="宋体" w:eastAsia="宋体" w:cs="宋体"/>
          <w:szCs w:val="21"/>
        </w:rPr>
        <w:t>工作团组</w:t>
      </w:r>
      <w:r>
        <w:rPr>
          <w:rFonts w:hint="eastAsia" w:ascii="宋体" w:hAnsi="宋体" w:eastAsia="宋体" w:cs="宋体"/>
          <w:szCs w:val="21"/>
        </w:rPr>
        <w:t>，团组A（6人）拟于</w:t>
      </w:r>
      <w:r>
        <w:rPr>
          <w:rFonts w:ascii="宋体" w:hAnsi="宋体" w:eastAsia="宋体" w:cs="宋体"/>
          <w:szCs w:val="21"/>
        </w:rPr>
        <w:t>202</w:t>
      </w:r>
      <w:r>
        <w:rPr>
          <w:rFonts w:hint="eastAsia" w:ascii="宋体" w:hAnsi="宋体" w:eastAsia="宋体" w:cs="宋体"/>
          <w:szCs w:val="21"/>
        </w:rPr>
        <w:t>6</w:t>
      </w:r>
      <w:r>
        <w:rPr>
          <w:rFonts w:ascii="宋体" w:hAnsi="宋体" w:eastAsia="宋体" w:cs="宋体"/>
          <w:szCs w:val="21"/>
        </w:rPr>
        <w:t>年</w:t>
      </w:r>
      <w:r>
        <w:rPr>
          <w:rFonts w:hint="eastAsia" w:ascii="宋体" w:hAnsi="宋体" w:eastAsia="宋体" w:cs="宋体"/>
          <w:szCs w:val="21"/>
        </w:rPr>
        <w:t>9</w:t>
      </w:r>
      <w:r>
        <w:rPr>
          <w:rFonts w:ascii="宋体" w:hAnsi="宋体" w:eastAsia="宋体" w:cs="宋体"/>
          <w:szCs w:val="21"/>
        </w:rPr>
        <w:t>月</w:t>
      </w:r>
      <w:r>
        <w:rPr>
          <w:rFonts w:hint="eastAsia" w:ascii="宋体" w:hAnsi="宋体" w:eastAsia="宋体" w:cs="宋体"/>
          <w:szCs w:val="21"/>
        </w:rPr>
        <w:t>19</w:t>
      </w:r>
      <w:r>
        <w:rPr>
          <w:rFonts w:ascii="宋体" w:hAnsi="宋体" w:eastAsia="宋体" w:cs="宋体"/>
          <w:szCs w:val="21"/>
        </w:rPr>
        <w:t>日至</w:t>
      </w:r>
      <w:r>
        <w:rPr>
          <w:rFonts w:hint="eastAsia" w:ascii="宋体" w:hAnsi="宋体" w:eastAsia="宋体" w:cs="宋体"/>
          <w:szCs w:val="21"/>
        </w:rPr>
        <w:t>24</w:t>
      </w:r>
      <w:r>
        <w:rPr>
          <w:rFonts w:ascii="宋体" w:hAnsi="宋体" w:eastAsia="宋体" w:cs="宋体"/>
          <w:szCs w:val="21"/>
        </w:rPr>
        <w:t>日赴</w:t>
      </w:r>
      <w:r>
        <w:rPr>
          <w:rFonts w:hint="eastAsia" w:ascii="宋体" w:hAnsi="宋体" w:eastAsia="宋体" w:cs="宋体"/>
          <w:szCs w:val="21"/>
        </w:rPr>
        <w:t>柬埔寨</w:t>
      </w:r>
      <w:r>
        <w:rPr>
          <w:rFonts w:ascii="宋体" w:hAnsi="宋体" w:eastAsia="宋体" w:cs="宋体"/>
          <w:szCs w:val="21"/>
        </w:rPr>
        <w:t>、印尼</w:t>
      </w:r>
      <w:r>
        <w:rPr>
          <w:rFonts w:hint="eastAsia" w:ascii="宋体" w:hAnsi="宋体" w:eastAsia="宋体" w:cs="宋体"/>
          <w:szCs w:val="21"/>
        </w:rPr>
        <w:t>，并于9月22日下午在印尼开</w:t>
      </w:r>
      <w:r>
        <w:rPr>
          <w:rFonts w:ascii="宋体" w:hAnsi="宋体" w:eastAsia="宋体" w:cs="宋体"/>
          <w:szCs w:val="21"/>
        </w:rPr>
        <w:t>展文化交流活动</w:t>
      </w:r>
      <w:r>
        <w:rPr>
          <w:rFonts w:hint="eastAsia" w:ascii="宋体" w:hAnsi="宋体" w:eastAsia="宋体" w:cs="宋体"/>
          <w:szCs w:val="21"/>
        </w:rPr>
        <w:t>；团组B（4人）拟于2026年9月18日至23日赴柬埔寨</w:t>
      </w:r>
      <w:r>
        <w:rPr>
          <w:rFonts w:ascii="宋体" w:hAnsi="宋体" w:eastAsia="宋体" w:cs="宋体"/>
          <w:szCs w:val="21"/>
        </w:rPr>
        <w:t>、印尼</w:t>
      </w:r>
      <w:r>
        <w:rPr>
          <w:rFonts w:hint="eastAsia" w:ascii="宋体" w:hAnsi="宋体" w:eastAsia="宋体" w:cs="宋体"/>
          <w:szCs w:val="21"/>
        </w:rPr>
        <w:t>，并于9月19日下午在柬埔寨开</w:t>
      </w:r>
      <w:r>
        <w:rPr>
          <w:rFonts w:ascii="宋体" w:hAnsi="宋体" w:eastAsia="宋体" w:cs="宋体"/>
          <w:szCs w:val="21"/>
        </w:rPr>
        <w:t>展文化交流活动</w:t>
      </w:r>
      <w:r>
        <w:rPr>
          <w:rFonts w:hint="eastAsia" w:ascii="宋体" w:hAnsi="宋体" w:eastAsia="宋体" w:cs="宋体"/>
          <w:szCs w:val="21"/>
        </w:rPr>
        <w:t>。</w:t>
      </w:r>
    </w:p>
    <w:p>
      <w:pPr>
        <w:pStyle w:val="3"/>
        <w:spacing w:before="0" w:after="0"/>
        <w:rPr>
          <w:rFonts w:hint="eastAsia" w:ascii="宋体" w:hAnsi="宋体"/>
          <w:b/>
          <w:bCs/>
          <w:sz w:val="21"/>
          <w:szCs w:val="21"/>
        </w:rPr>
      </w:pPr>
      <w:r>
        <w:rPr>
          <w:rFonts w:ascii="宋体" w:hAnsi="宋体"/>
          <w:b/>
          <w:bCs/>
          <w:sz w:val="21"/>
          <w:szCs w:val="21"/>
        </w:rPr>
        <w:t>二、项目预算</w:t>
      </w:r>
    </w:p>
    <w:p>
      <w:pPr>
        <w:pStyle w:val="12"/>
        <w:spacing w:line="360" w:lineRule="auto"/>
        <w:jc w:val="left"/>
        <w:rPr>
          <w:rFonts w:hint="eastAsia" w:ascii="宋体" w:hAnsi="宋体"/>
          <w:sz w:val="21"/>
          <w:szCs w:val="21"/>
        </w:rPr>
      </w:pPr>
      <w:r>
        <w:rPr>
          <w:rFonts w:hint="eastAsia" w:ascii="宋体" w:hAnsi="宋体"/>
          <w:sz w:val="21"/>
          <w:szCs w:val="21"/>
        </w:rPr>
        <w:t>本招标项目最高限价为</w:t>
      </w:r>
      <w:r>
        <w:rPr>
          <w:rFonts w:ascii="宋体" w:hAnsi="宋体"/>
          <w:sz w:val="21"/>
          <w:szCs w:val="21"/>
        </w:rPr>
        <w:t>915,034.00元</w:t>
      </w:r>
      <w:r>
        <w:rPr>
          <w:rFonts w:hint="eastAsia" w:ascii="宋体" w:hAnsi="宋体"/>
          <w:sz w:val="21"/>
          <w:szCs w:val="21"/>
        </w:rPr>
        <w:t>（人民币）。</w:t>
      </w:r>
    </w:p>
    <w:p>
      <w:pPr>
        <w:pStyle w:val="3"/>
        <w:spacing w:before="0" w:after="0"/>
        <w:rPr>
          <w:rFonts w:hint="eastAsia" w:ascii="宋体" w:hAnsi="宋体"/>
          <w:b/>
          <w:bCs/>
          <w:sz w:val="21"/>
          <w:szCs w:val="21"/>
        </w:rPr>
      </w:pPr>
      <w:r>
        <w:rPr>
          <w:rFonts w:hint="eastAsia" w:ascii="宋体" w:hAnsi="宋体"/>
          <w:b/>
          <w:bCs/>
          <w:sz w:val="21"/>
          <w:szCs w:val="21"/>
        </w:rPr>
        <w:t>三、服务执行时间</w:t>
      </w:r>
    </w:p>
    <w:p>
      <w:pPr>
        <w:pStyle w:val="12"/>
        <w:spacing w:line="360" w:lineRule="auto"/>
        <w:jc w:val="left"/>
        <w:rPr>
          <w:rFonts w:hint="eastAsia" w:ascii="宋体" w:hAnsi="宋体"/>
          <w:sz w:val="21"/>
          <w:szCs w:val="21"/>
        </w:rPr>
      </w:pPr>
      <w:r>
        <w:rPr>
          <w:rFonts w:hint="eastAsia" w:ascii="宋体" w:hAnsi="宋体"/>
          <w:sz w:val="21"/>
          <w:szCs w:val="21"/>
        </w:rPr>
        <w:t>自合同签订之日起，至2026年9月30日（2个团组行程天数预计均为6天）。</w:t>
      </w:r>
    </w:p>
    <w:p>
      <w:pPr>
        <w:pStyle w:val="3"/>
        <w:spacing w:before="0" w:after="0"/>
        <w:rPr>
          <w:rFonts w:hint="eastAsia" w:ascii="宋体" w:hAnsi="宋体"/>
          <w:b/>
          <w:bCs/>
          <w:sz w:val="21"/>
          <w:szCs w:val="21"/>
        </w:rPr>
      </w:pPr>
      <w:r>
        <w:rPr>
          <w:rFonts w:hint="eastAsia" w:ascii="宋体" w:hAnsi="宋体"/>
          <w:b/>
          <w:bCs/>
          <w:sz w:val="21"/>
          <w:szCs w:val="21"/>
        </w:rPr>
        <w:t>四、项目需求内容</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中标人需协助招标人在柬埔寨、印尼期间，完成2场文化交流活动执行</w:t>
      </w:r>
      <w:r>
        <w:rPr>
          <w:rFonts w:hint="eastAsia" w:ascii="宋体" w:hAnsi="宋体" w:eastAsia="宋体" w:cs="宋体"/>
          <w:color w:val="111111"/>
          <w:szCs w:val="21"/>
        </w:rPr>
        <w:t>，</w:t>
      </w:r>
      <w:r>
        <w:rPr>
          <w:rFonts w:ascii="宋体" w:hAnsi="宋体" w:eastAsia="宋体" w:cs="宋体"/>
          <w:color w:val="111111"/>
          <w:szCs w:val="21"/>
        </w:rPr>
        <w:t>以及</w:t>
      </w:r>
      <w:r>
        <w:rPr>
          <w:rFonts w:hint="eastAsia" w:ascii="宋体" w:hAnsi="宋体" w:eastAsia="宋体" w:cs="宋体"/>
          <w:color w:val="111111"/>
          <w:szCs w:val="21"/>
        </w:rPr>
        <w:t>招标人2个团组赴柬埔寨、印尼期间（预计10人）的全程行程</w:t>
      </w:r>
      <w:r>
        <w:rPr>
          <w:rFonts w:ascii="宋体" w:hAnsi="宋体" w:eastAsia="宋体" w:cs="宋体"/>
          <w:color w:val="111111"/>
          <w:szCs w:val="21"/>
        </w:rPr>
        <w:t>服务</w:t>
      </w:r>
      <w:r>
        <w:rPr>
          <w:rFonts w:hint="eastAsia" w:ascii="宋体" w:hAnsi="宋体" w:eastAsia="宋体" w:cs="宋体"/>
          <w:szCs w:val="21"/>
        </w:rPr>
        <w:t>。</w:t>
      </w:r>
      <w:r>
        <w:rPr>
          <w:rFonts w:ascii="宋体" w:hAnsi="宋体" w:eastAsia="宋体" w:cs="宋体"/>
          <w:color w:val="111111"/>
          <w:szCs w:val="21"/>
        </w:rPr>
        <w:t>具体包括</w:t>
      </w:r>
      <w:r>
        <w:rPr>
          <w:rFonts w:hint="eastAsia" w:ascii="宋体" w:hAnsi="宋体" w:eastAsia="宋体" w:cs="宋体"/>
          <w:color w:val="111111"/>
          <w:szCs w:val="21"/>
        </w:rPr>
        <w:t>以下内容</w:t>
      </w:r>
      <w:r>
        <w:rPr>
          <w:rFonts w:ascii="宋体" w:hAnsi="宋体" w:eastAsia="宋体" w:cs="宋体"/>
          <w:color w:val="111111"/>
          <w:szCs w:val="21"/>
        </w:rPr>
        <w:t>：</w:t>
      </w:r>
    </w:p>
    <w:p>
      <w:pPr>
        <w:pStyle w:val="4"/>
        <w:spacing w:line="360" w:lineRule="auto"/>
        <w:rPr>
          <w:rFonts w:hint="eastAsia" w:ascii="宋体" w:hAnsi="宋体"/>
          <w:b/>
          <w:bCs/>
        </w:rPr>
      </w:pPr>
      <w:r>
        <w:rPr>
          <w:rFonts w:hint="eastAsia" w:ascii="宋体" w:hAnsi="宋体"/>
          <w:b/>
          <w:bCs/>
        </w:rPr>
        <w:t>（一）柬埔寨活动执行</w:t>
      </w:r>
    </w:p>
    <w:p>
      <w:pPr>
        <w:spacing w:line="360" w:lineRule="auto"/>
        <w:ind w:firstLine="420" w:firstLineChars="200"/>
        <w:jc w:val="left"/>
        <w:rPr>
          <w:rFonts w:hint="eastAsia" w:ascii="宋体" w:hAnsi="宋体" w:eastAsia="宋体" w:cs="宋体"/>
          <w:szCs w:val="21"/>
        </w:rPr>
      </w:pPr>
      <w:r>
        <w:rPr>
          <w:rFonts w:ascii="宋体" w:hAnsi="宋体" w:eastAsia="宋体" w:cs="宋体"/>
          <w:szCs w:val="21"/>
        </w:rPr>
        <w:t>2026年9月19日星期六（下午），拟于暹粒公立中山学校举办</w:t>
      </w:r>
      <w:r>
        <w:rPr>
          <w:rFonts w:hint="eastAsia" w:ascii="宋体" w:hAnsi="宋体" w:eastAsia="宋体" w:cs="宋体"/>
          <w:szCs w:val="21"/>
        </w:rPr>
        <w:t>1场</w:t>
      </w:r>
      <w:r>
        <w:rPr>
          <w:rFonts w:ascii="宋体" w:hAnsi="宋体" w:eastAsia="宋体" w:cs="宋体"/>
          <w:szCs w:val="21"/>
        </w:rPr>
        <w:t>“粤见亚太·遇见中国（广东）好物”（柬埔寨站）、文化创意展活动，包含学校场地租赁、活动及展览效果设计、布场撤场、会务执行、物料制作、展品组织、国际及当地物流等服务。具体策划执行方案应按招标人实际需求做出调整。</w:t>
      </w:r>
    </w:p>
    <w:p>
      <w:pPr>
        <w:spacing w:line="360" w:lineRule="auto"/>
        <w:ind w:firstLine="420" w:firstLineChars="200"/>
        <w:jc w:val="left"/>
        <w:rPr>
          <w:rFonts w:hint="eastAsia" w:ascii="宋体" w:hAnsi="宋体" w:eastAsia="宋体"/>
          <w:szCs w:val="21"/>
        </w:rPr>
      </w:pPr>
      <w:r>
        <w:rPr>
          <w:rFonts w:ascii="宋体" w:hAnsi="宋体" w:eastAsia="宋体"/>
          <w:szCs w:val="21"/>
        </w:rPr>
        <w:t>服务期间，招标人</w:t>
      </w:r>
      <w:r>
        <w:rPr>
          <w:rFonts w:hint="eastAsia" w:ascii="宋体" w:hAnsi="宋体" w:eastAsia="宋体"/>
          <w:szCs w:val="21"/>
        </w:rPr>
        <w:t>活动执行安排</w:t>
      </w:r>
      <w:r>
        <w:rPr>
          <w:rFonts w:ascii="宋体" w:hAnsi="宋体" w:eastAsia="宋体"/>
          <w:szCs w:val="21"/>
        </w:rPr>
        <w:t>可能有变，中标人按照招标人实际</w:t>
      </w:r>
      <w:r>
        <w:rPr>
          <w:rFonts w:hint="eastAsia" w:ascii="宋体" w:hAnsi="宋体" w:eastAsia="宋体"/>
          <w:szCs w:val="21"/>
        </w:rPr>
        <w:t>需求</w:t>
      </w:r>
      <w:r>
        <w:rPr>
          <w:rFonts w:ascii="宋体" w:hAnsi="宋体" w:eastAsia="宋体"/>
          <w:szCs w:val="21"/>
        </w:rPr>
        <w:t>提供服务。</w:t>
      </w:r>
    </w:p>
    <w:p>
      <w:pPr>
        <w:pStyle w:val="4"/>
        <w:spacing w:line="360" w:lineRule="auto"/>
        <w:rPr>
          <w:rFonts w:hint="eastAsia" w:ascii="宋体" w:hAnsi="宋体"/>
          <w:b/>
          <w:bCs/>
        </w:rPr>
      </w:pPr>
      <w:r>
        <w:rPr>
          <w:rFonts w:hint="eastAsia" w:ascii="宋体" w:hAnsi="宋体"/>
          <w:b/>
          <w:bCs/>
        </w:rPr>
        <w:t>（二）印尼活动执行</w:t>
      </w:r>
    </w:p>
    <w:p>
      <w:pPr>
        <w:spacing w:line="360" w:lineRule="auto"/>
        <w:ind w:firstLine="420" w:firstLineChars="200"/>
        <w:jc w:val="left"/>
        <w:rPr>
          <w:rFonts w:hint="eastAsia" w:ascii="宋体" w:hAnsi="宋体" w:eastAsia="宋体"/>
          <w:szCs w:val="21"/>
        </w:rPr>
      </w:pPr>
      <w:r>
        <w:rPr>
          <w:rFonts w:ascii="宋体" w:hAnsi="宋体" w:eastAsia="宋体"/>
          <w:szCs w:val="21"/>
        </w:rPr>
        <w:t>2026年9月22日星期二（下午），拟于雅加达核心商圈举办</w:t>
      </w:r>
      <w:r>
        <w:rPr>
          <w:rFonts w:hint="eastAsia" w:ascii="宋体" w:hAnsi="宋体" w:eastAsia="宋体"/>
          <w:szCs w:val="21"/>
        </w:rPr>
        <w:t>1场</w:t>
      </w:r>
      <w:r>
        <w:rPr>
          <w:rFonts w:ascii="宋体" w:hAnsi="宋体" w:eastAsia="宋体"/>
          <w:szCs w:val="21"/>
        </w:rPr>
        <w:t>“粤见亚太·遇见中国（广东）好物”（印尼站）、文化创意展活动，包含场地租赁、活动及展览效果设计、布场撤场、会务执行、物料制作、展品组织、国际及当地物流等服务。</w:t>
      </w:r>
      <w:r>
        <w:rPr>
          <w:rFonts w:ascii="宋体" w:hAnsi="宋体" w:eastAsia="宋体" w:cs="宋体"/>
          <w:szCs w:val="21"/>
        </w:rPr>
        <w:t>具体策划执行方案应按招标人实际需求做出调整。</w:t>
      </w:r>
    </w:p>
    <w:p>
      <w:pPr>
        <w:spacing w:line="360" w:lineRule="auto"/>
        <w:ind w:firstLine="420" w:firstLineChars="200"/>
        <w:jc w:val="left"/>
        <w:rPr>
          <w:rFonts w:hint="eastAsia" w:ascii="宋体" w:hAnsi="宋体" w:eastAsia="宋体"/>
          <w:szCs w:val="21"/>
        </w:rPr>
      </w:pPr>
      <w:r>
        <w:rPr>
          <w:rFonts w:ascii="宋体" w:hAnsi="宋体" w:eastAsia="宋体"/>
          <w:szCs w:val="21"/>
        </w:rPr>
        <w:t>服务期间，招标人</w:t>
      </w:r>
      <w:r>
        <w:rPr>
          <w:rFonts w:hint="eastAsia" w:ascii="宋体" w:hAnsi="宋体" w:eastAsia="宋体"/>
          <w:szCs w:val="21"/>
        </w:rPr>
        <w:t>活动执行安排</w:t>
      </w:r>
      <w:r>
        <w:rPr>
          <w:rFonts w:ascii="宋体" w:hAnsi="宋体" w:eastAsia="宋体"/>
          <w:szCs w:val="21"/>
        </w:rPr>
        <w:t>可能有变，中标人按照招标人实际</w:t>
      </w:r>
      <w:r>
        <w:rPr>
          <w:rFonts w:hint="eastAsia" w:ascii="宋体" w:hAnsi="宋体" w:eastAsia="宋体"/>
          <w:szCs w:val="21"/>
        </w:rPr>
        <w:t>需求</w:t>
      </w:r>
      <w:r>
        <w:rPr>
          <w:rFonts w:ascii="宋体" w:hAnsi="宋体" w:eastAsia="宋体"/>
          <w:szCs w:val="21"/>
        </w:rPr>
        <w:t>提供服务。</w:t>
      </w:r>
    </w:p>
    <w:p>
      <w:pPr>
        <w:pStyle w:val="4"/>
        <w:spacing w:line="360" w:lineRule="auto"/>
        <w:rPr>
          <w:rFonts w:hint="eastAsia" w:ascii="宋体" w:hAnsi="宋体"/>
          <w:b/>
          <w:bCs/>
        </w:rPr>
      </w:pPr>
      <w:r>
        <w:rPr>
          <w:rFonts w:hint="eastAsia" w:ascii="宋体" w:hAnsi="宋体"/>
          <w:b/>
          <w:bCs/>
        </w:rPr>
        <w:t>（三）行程服务</w:t>
      </w:r>
    </w:p>
    <w:p>
      <w:pPr>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团组A</w:t>
      </w:r>
      <w:r>
        <w:rPr>
          <w:rFonts w:ascii="宋体" w:hAnsi="宋体" w:eastAsia="宋体" w:cs="宋体"/>
          <w:b/>
          <w:bCs/>
          <w:szCs w:val="21"/>
        </w:rPr>
        <w:t>（6人）</w:t>
      </w:r>
      <w:r>
        <w:rPr>
          <w:rFonts w:hint="eastAsia" w:ascii="宋体" w:hAnsi="宋体" w:eastAsia="宋体" w:cs="宋体"/>
          <w:b/>
          <w:bCs/>
          <w:szCs w:val="21"/>
        </w:rPr>
        <w:t>：</w:t>
      </w:r>
      <w:r>
        <w:rPr>
          <w:rFonts w:ascii="宋体" w:hAnsi="宋体" w:eastAsia="宋体" w:cs="宋体"/>
          <w:b/>
          <w:bCs/>
          <w:szCs w:val="21"/>
        </w:rPr>
        <w:t>拟于2026年9月19日至</w:t>
      </w:r>
      <w:r>
        <w:rPr>
          <w:rFonts w:hint="eastAsia" w:ascii="宋体" w:hAnsi="宋体" w:eastAsia="宋体" w:cs="宋体"/>
          <w:b/>
          <w:bCs/>
          <w:szCs w:val="21"/>
        </w:rPr>
        <w:t>9月</w:t>
      </w:r>
      <w:r>
        <w:rPr>
          <w:rFonts w:ascii="宋体" w:hAnsi="宋体" w:eastAsia="宋体" w:cs="宋体"/>
          <w:b/>
          <w:bCs/>
          <w:szCs w:val="21"/>
        </w:rPr>
        <w:t>24日赴柬埔寨、印尼</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1.协助</w:t>
      </w:r>
      <w:r>
        <w:rPr>
          <w:rFonts w:ascii="宋体" w:hAnsi="宋体" w:eastAsia="宋体" w:cs="宋体"/>
          <w:szCs w:val="21"/>
        </w:rPr>
        <w:t>预订</w:t>
      </w:r>
      <w:r>
        <w:rPr>
          <w:rFonts w:hint="eastAsia" w:ascii="宋体" w:hAnsi="宋体" w:eastAsia="宋体" w:cs="宋体"/>
          <w:szCs w:val="21"/>
        </w:rPr>
        <w:t>往返机票服务：6人</w:t>
      </w:r>
      <w:r>
        <w:rPr>
          <w:rFonts w:ascii="宋体" w:hAnsi="宋体" w:eastAsia="宋体" w:cs="宋体"/>
          <w:szCs w:val="21"/>
        </w:rPr>
        <w:t>广州-金边</w:t>
      </w:r>
      <w:r>
        <w:rPr>
          <w:rFonts w:hint="eastAsia" w:ascii="宋体" w:hAnsi="宋体" w:eastAsia="宋体" w:cs="宋体"/>
          <w:szCs w:val="21"/>
        </w:rPr>
        <w:t>-</w:t>
      </w:r>
      <w:r>
        <w:rPr>
          <w:rFonts w:ascii="宋体" w:hAnsi="宋体" w:eastAsia="宋体" w:cs="宋体"/>
          <w:szCs w:val="21"/>
        </w:rPr>
        <w:t>暹粒、暹粒-金边、金边-吉隆坡-雅加达、雅加达-日惹、日惹-雅加达-广州</w:t>
      </w:r>
      <w:r>
        <w:rPr>
          <w:rFonts w:hint="eastAsia" w:ascii="宋体" w:hAnsi="宋体" w:eastAsia="宋体" w:cs="宋体"/>
          <w:szCs w:val="21"/>
        </w:rPr>
        <w:t>国际机票服务（其中1人为公务舱标准、5人为经济舱标准，优先使用国内航空公司航班），据实结算。</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2.按照政府规定的住宿餐饮标准等安排酒店住宿与用餐</w:t>
      </w:r>
      <w:r>
        <w:rPr>
          <w:rFonts w:ascii="宋体" w:hAnsi="宋体" w:eastAsia="宋体" w:cs="宋体"/>
          <w:szCs w:val="21"/>
        </w:rPr>
        <w:t>（投标人按照1美元=6.9元人民币报价，最终以实际汇率结算）</w:t>
      </w:r>
      <w:r>
        <w:rPr>
          <w:rFonts w:hint="eastAsia" w:ascii="宋体" w:hAnsi="宋体" w:eastAsia="宋体" w:cs="宋体"/>
          <w:szCs w:val="21"/>
        </w:rPr>
        <w:t>。其中包括：</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（1）住宿服务：6人预计柬埔寨</w:t>
      </w:r>
      <w:r>
        <w:rPr>
          <w:rFonts w:ascii="宋体" w:hAnsi="宋体" w:eastAsia="宋体" w:cs="宋体"/>
          <w:szCs w:val="21"/>
        </w:rPr>
        <w:t>暹粒2晚、</w:t>
      </w:r>
      <w:r>
        <w:rPr>
          <w:rFonts w:hint="eastAsia" w:ascii="宋体" w:hAnsi="宋体" w:eastAsia="宋体" w:cs="宋体"/>
          <w:szCs w:val="21"/>
        </w:rPr>
        <w:t>柬埔寨</w:t>
      </w:r>
      <w:r>
        <w:rPr>
          <w:rFonts w:ascii="宋体" w:hAnsi="宋体" w:eastAsia="宋体" w:cs="宋体"/>
          <w:szCs w:val="21"/>
        </w:rPr>
        <w:t>金边1晚</w:t>
      </w:r>
      <w:r>
        <w:rPr>
          <w:rFonts w:hint="eastAsia" w:ascii="宋体" w:hAnsi="宋体" w:eastAsia="宋体" w:cs="宋体"/>
          <w:szCs w:val="21"/>
        </w:rPr>
        <w:t>，标准为不超过100美元/人/天；印尼</w:t>
      </w:r>
      <w:r>
        <w:rPr>
          <w:rFonts w:ascii="宋体" w:hAnsi="宋体" w:eastAsia="宋体" w:cs="宋体"/>
          <w:szCs w:val="21"/>
        </w:rPr>
        <w:t>雅加达1晚、</w:t>
      </w:r>
      <w:r>
        <w:rPr>
          <w:rFonts w:hint="eastAsia" w:ascii="宋体" w:hAnsi="宋体" w:eastAsia="宋体" w:cs="宋体"/>
          <w:szCs w:val="21"/>
        </w:rPr>
        <w:t>印尼</w:t>
      </w:r>
      <w:r>
        <w:rPr>
          <w:rFonts w:ascii="宋体" w:hAnsi="宋体" w:eastAsia="宋体" w:cs="宋体"/>
          <w:szCs w:val="21"/>
        </w:rPr>
        <w:t>日惹1晚</w:t>
      </w:r>
      <w:r>
        <w:rPr>
          <w:rFonts w:hint="eastAsia" w:ascii="宋体" w:hAnsi="宋体" w:eastAsia="宋体" w:cs="宋体"/>
          <w:szCs w:val="21"/>
        </w:rPr>
        <w:t>，标准为不超过125美元/人/天；据实结算。</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bCs/>
          <w:color w:val="000000"/>
          <w:szCs w:val="21"/>
        </w:rPr>
        <w:t>（2）</w:t>
      </w:r>
      <w:r>
        <w:rPr>
          <w:rFonts w:hint="eastAsia" w:ascii="宋体" w:hAnsi="宋体" w:eastAsia="宋体" w:cs="宋体"/>
          <w:szCs w:val="21"/>
        </w:rPr>
        <w:t>保险（境外旅行险）、签证等服务：赴柬埔寨、印尼往返保险及签证服务，据实结算。</w:t>
      </w:r>
    </w:p>
    <w:p>
      <w:pPr>
        <w:spacing w:line="360" w:lineRule="auto"/>
        <w:ind w:firstLine="420" w:firstLineChars="200"/>
        <w:jc w:val="left"/>
        <w:rPr>
          <w:rFonts w:hint="eastAsia" w:ascii="宋体" w:hAnsi="宋体" w:eastAsia="宋体" w:cs="宋体"/>
          <w:bCs/>
          <w:color w:val="000000"/>
          <w:szCs w:val="21"/>
        </w:rPr>
      </w:pPr>
      <w:r>
        <w:rPr>
          <w:rFonts w:hint="eastAsia" w:ascii="宋体" w:hAnsi="宋体" w:eastAsia="宋体" w:cs="宋体"/>
          <w:szCs w:val="21"/>
        </w:rPr>
        <w:t>（3）</w:t>
      </w:r>
      <w:r>
        <w:rPr>
          <w:rFonts w:ascii="宋体" w:hAnsi="宋体" w:eastAsia="宋体" w:cs="宋体"/>
          <w:bCs/>
          <w:color w:val="000000"/>
          <w:szCs w:val="21"/>
        </w:rPr>
        <w:t>行程综合保障服务：</w:t>
      </w:r>
      <w:r>
        <w:rPr>
          <w:rFonts w:hint="eastAsia" w:ascii="宋体" w:hAnsi="宋体" w:eastAsia="宋体" w:cs="宋体"/>
          <w:bCs/>
          <w:color w:val="000000"/>
          <w:szCs w:val="21"/>
        </w:rPr>
        <w:t>6</w:t>
      </w:r>
      <w:r>
        <w:rPr>
          <w:rFonts w:ascii="宋体" w:hAnsi="宋体" w:eastAsia="宋体" w:cs="宋体"/>
          <w:bCs/>
          <w:color w:val="000000"/>
          <w:szCs w:val="21"/>
        </w:rPr>
        <w:t>位工作人员在</w:t>
      </w:r>
      <w:r>
        <w:rPr>
          <w:rFonts w:hint="eastAsia" w:ascii="宋体" w:hAnsi="宋体" w:eastAsia="宋体" w:cs="宋体"/>
          <w:bCs/>
          <w:color w:val="000000"/>
          <w:szCs w:val="21"/>
        </w:rPr>
        <w:t>行程期</w:t>
      </w:r>
      <w:r>
        <w:rPr>
          <w:rFonts w:ascii="宋体" w:hAnsi="宋体" w:eastAsia="宋体" w:cs="宋体"/>
          <w:bCs/>
          <w:color w:val="000000"/>
          <w:szCs w:val="21"/>
        </w:rPr>
        <w:t>间的城市内行程保障服务，按照广东省财政厅、广东省人民政府外事办公室《关于转发财政部外交部&lt;因公临时出国经费管理办法&gt;》（粤财行[2014]11号）、《转发财政部外交部关于调整因公临时出国住宿费标准等有关事项的通知》（粤财行[2018]17号）等因公出国有关经费使用标准要求执行，确保团组在国外顺利开展工作。</w:t>
      </w:r>
    </w:p>
    <w:p>
      <w:pPr>
        <w:spacing w:line="360" w:lineRule="auto"/>
        <w:ind w:firstLine="420" w:firstLineChars="200"/>
        <w:jc w:val="left"/>
        <w:rPr>
          <w:rFonts w:hint="eastAsia" w:ascii="宋体" w:hAnsi="宋体" w:eastAsia="宋体" w:cs="宋体"/>
          <w:bCs/>
          <w:color w:val="000000"/>
          <w:szCs w:val="21"/>
        </w:rPr>
      </w:pPr>
      <w:r>
        <w:rPr>
          <w:rFonts w:hint="eastAsia" w:ascii="宋体" w:hAnsi="宋体" w:eastAsia="宋体" w:cs="宋体"/>
          <w:bCs/>
          <w:color w:val="000000"/>
          <w:szCs w:val="21"/>
        </w:rPr>
        <w:t>（4）翻译服务：行程期间为6</w:t>
      </w:r>
      <w:r>
        <w:rPr>
          <w:rFonts w:ascii="宋体" w:hAnsi="宋体" w:eastAsia="宋体" w:cs="宋体"/>
          <w:bCs/>
          <w:color w:val="000000"/>
          <w:szCs w:val="21"/>
        </w:rPr>
        <w:t>位工作人员</w:t>
      </w:r>
      <w:r>
        <w:rPr>
          <w:rFonts w:hint="eastAsia" w:ascii="宋体" w:hAnsi="宋体" w:eastAsia="宋体" w:cs="宋体"/>
          <w:bCs/>
          <w:color w:val="000000"/>
          <w:szCs w:val="21"/>
        </w:rPr>
        <w:t>提供翻译服务，包括1位</w:t>
      </w:r>
      <w:r>
        <w:rPr>
          <w:rFonts w:ascii="宋体" w:hAnsi="宋体" w:eastAsia="宋体" w:cs="宋体"/>
          <w:bCs/>
          <w:color w:val="000000"/>
          <w:szCs w:val="21"/>
        </w:rPr>
        <w:t>中柬英</w:t>
      </w:r>
      <w:r>
        <w:rPr>
          <w:rFonts w:hint="eastAsia" w:ascii="宋体" w:hAnsi="宋体" w:eastAsia="宋体" w:cs="宋体"/>
          <w:bCs/>
          <w:color w:val="000000"/>
          <w:szCs w:val="21"/>
        </w:rPr>
        <w:t>三语</w:t>
      </w:r>
      <w:r>
        <w:rPr>
          <w:rFonts w:ascii="宋体" w:hAnsi="宋体" w:eastAsia="宋体" w:cs="宋体"/>
          <w:bCs/>
          <w:color w:val="000000"/>
          <w:szCs w:val="21"/>
        </w:rPr>
        <w:t>翻译3天、</w:t>
      </w:r>
      <w:r>
        <w:rPr>
          <w:rFonts w:hint="eastAsia" w:ascii="宋体" w:hAnsi="宋体" w:eastAsia="宋体" w:cs="宋体"/>
          <w:bCs/>
          <w:color w:val="000000"/>
          <w:szCs w:val="21"/>
        </w:rPr>
        <w:t>1位</w:t>
      </w:r>
      <w:r>
        <w:rPr>
          <w:rFonts w:ascii="宋体" w:hAnsi="宋体" w:eastAsia="宋体" w:cs="宋体"/>
          <w:bCs/>
          <w:color w:val="000000"/>
          <w:szCs w:val="21"/>
        </w:rPr>
        <w:t>中英印尼三语翻译3天</w:t>
      </w:r>
      <w:r>
        <w:rPr>
          <w:rFonts w:hint="eastAsia" w:ascii="宋体" w:hAnsi="宋体" w:eastAsia="宋体" w:cs="宋体"/>
          <w:bCs/>
          <w:color w:val="000000"/>
          <w:szCs w:val="21"/>
        </w:rPr>
        <w:t>。</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w:t>
      </w:r>
      <w:r>
        <w:rPr>
          <w:rFonts w:ascii="宋体" w:hAnsi="宋体" w:eastAsia="宋体" w:cs="宋体"/>
          <w:szCs w:val="21"/>
        </w:rPr>
        <w:t>.服务期间，</w:t>
      </w:r>
      <w:r>
        <w:rPr>
          <w:rFonts w:hint="eastAsia" w:ascii="宋体" w:hAnsi="宋体" w:eastAsia="宋体" w:cs="宋体"/>
          <w:szCs w:val="21"/>
        </w:rPr>
        <w:t>招标人</w:t>
      </w:r>
      <w:r>
        <w:rPr>
          <w:rFonts w:ascii="宋体" w:hAnsi="宋体" w:eastAsia="宋体" w:cs="宋体"/>
          <w:szCs w:val="21"/>
        </w:rPr>
        <w:t>实际需求具体行程可能有变，</w:t>
      </w:r>
      <w:r>
        <w:rPr>
          <w:rFonts w:hint="eastAsia" w:ascii="宋体" w:hAnsi="宋体" w:eastAsia="宋体" w:cs="宋体"/>
          <w:szCs w:val="21"/>
        </w:rPr>
        <w:t>中标人按</w:t>
      </w:r>
      <w:r>
        <w:rPr>
          <w:rFonts w:ascii="宋体" w:hAnsi="宋体" w:eastAsia="宋体" w:cs="宋体"/>
          <w:szCs w:val="21"/>
        </w:rPr>
        <w:t>照招标人实际发生的行程提供服务。</w:t>
      </w:r>
    </w:p>
    <w:p>
      <w:pPr>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团组B</w:t>
      </w:r>
      <w:r>
        <w:rPr>
          <w:rFonts w:ascii="宋体" w:hAnsi="宋体" w:eastAsia="宋体" w:cs="宋体"/>
          <w:b/>
          <w:bCs/>
          <w:szCs w:val="21"/>
        </w:rPr>
        <w:t>（4人）</w:t>
      </w:r>
      <w:r>
        <w:rPr>
          <w:rFonts w:hint="eastAsia" w:ascii="宋体" w:hAnsi="宋体" w:eastAsia="宋体" w:cs="宋体"/>
          <w:b/>
          <w:bCs/>
          <w:szCs w:val="21"/>
        </w:rPr>
        <w:t>：</w:t>
      </w:r>
      <w:r>
        <w:rPr>
          <w:rFonts w:ascii="宋体" w:hAnsi="宋体" w:eastAsia="宋体" w:cs="宋体"/>
          <w:b/>
          <w:bCs/>
          <w:szCs w:val="21"/>
        </w:rPr>
        <w:t>拟于2026年9月18日至23日赴柬埔寨、印尼</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1.协助</w:t>
      </w:r>
      <w:r>
        <w:rPr>
          <w:rFonts w:ascii="宋体" w:hAnsi="宋体" w:eastAsia="宋体" w:cs="宋体"/>
          <w:szCs w:val="21"/>
        </w:rPr>
        <w:t>预订</w:t>
      </w:r>
      <w:r>
        <w:rPr>
          <w:rFonts w:hint="eastAsia" w:ascii="宋体" w:hAnsi="宋体" w:eastAsia="宋体" w:cs="宋体"/>
          <w:szCs w:val="21"/>
        </w:rPr>
        <w:t>往返机票服务：4人</w:t>
      </w:r>
      <w:r>
        <w:rPr>
          <w:rFonts w:ascii="宋体" w:hAnsi="宋体" w:eastAsia="宋体" w:cs="宋体"/>
          <w:szCs w:val="21"/>
        </w:rPr>
        <w:t>广州-</w:t>
      </w:r>
      <w:r>
        <w:rPr>
          <w:rFonts w:hint="eastAsia" w:ascii="宋体" w:hAnsi="宋体" w:eastAsia="宋体" w:cs="宋体"/>
          <w:szCs w:val="21"/>
        </w:rPr>
        <w:t>金边-</w:t>
      </w:r>
      <w:r>
        <w:rPr>
          <w:rFonts w:ascii="宋体" w:hAnsi="宋体" w:eastAsia="宋体" w:cs="宋体"/>
          <w:szCs w:val="21"/>
        </w:rPr>
        <w:t>暹粒、暹粒-新加坡-雅加达、雅加达-广州</w:t>
      </w:r>
      <w:r>
        <w:rPr>
          <w:rFonts w:hint="eastAsia" w:ascii="宋体" w:hAnsi="宋体" w:eastAsia="宋体" w:cs="宋体"/>
          <w:szCs w:val="21"/>
        </w:rPr>
        <w:t>国际机票服务（经济舱标准，优先使用国内航空公司航班），据实结算。</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2.按照政府规定的住宿餐饮标准等安排酒店住宿与用餐</w:t>
      </w:r>
      <w:r>
        <w:rPr>
          <w:rFonts w:ascii="宋体" w:hAnsi="宋体" w:eastAsia="宋体" w:cs="宋体"/>
          <w:szCs w:val="21"/>
        </w:rPr>
        <w:t>（投标人按照1美元=6.9元人民币报价，最终以实际汇率结算）</w:t>
      </w:r>
      <w:r>
        <w:rPr>
          <w:rFonts w:hint="eastAsia" w:ascii="宋体" w:hAnsi="宋体" w:eastAsia="宋体" w:cs="宋体"/>
          <w:szCs w:val="21"/>
        </w:rPr>
        <w:t>。其中包括：</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（1）住宿服务：4人预计柬埔寨</w:t>
      </w:r>
      <w:r>
        <w:rPr>
          <w:rFonts w:ascii="宋体" w:hAnsi="宋体" w:eastAsia="宋体" w:cs="宋体"/>
          <w:szCs w:val="21"/>
        </w:rPr>
        <w:t>暹粒2晚、</w:t>
      </w:r>
      <w:r>
        <w:rPr>
          <w:rFonts w:hint="eastAsia" w:ascii="宋体" w:hAnsi="宋体" w:eastAsia="宋体" w:cs="宋体"/>
          <w:szCs w:val="21"/>
        </w:rPr>
        <w:t>标准为不超过100美元/人/天；印尼</w:t>
      </w:r>
      <w:r>
        <w:rPr>
          <w:rFonts w:ascii="宋体" w:hAnsi="宋体" w:eastAsia="宋体" w:cs="宋体"/>
          <w:szCs w:val="21"/>
        </w:rPr>
        <w:t>雅加达</w:t>
      </w:r>
      <w:r>
        <w:rPr>
          <w:rFonts w:hint="eastAsia" w:ascii="宋体" w:hAnsi="宋体" w:eastAsia="宋体" w:cs="宋体"/>
          <w:szCs w:val="21"/>
        </w:rPr>
        <w:t>3</w:t>
      </w:r>
      <w:r>
        <w:rPr>
          <w:rFonts w:ascii="宋体" w:hAnsi="宋体" w:eastAsia="宋体" w:cs="宋体"/>
          <w:szCs w:val="21"/>
        </w:rPr>
        <w:t>晚、</w:t>
      </w:r>
      <w:r>
        <w:rPr>
          <w:rFonts w:hint="eastAsia" w:ascii="宋体" w:hAnsi="宋体" w:eastAsia="宋体" w:cs="宋体"/>
          <w:szCs w:val="21"/>
        </w:rPr>
        <w:t>标准为不超过125美元/人/天；据实结算。</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bCs/>
          <w:color w:val="000000"/>
          <w:szCs w:val="21"/>
        </w:rPr>
        <w:t>（2）</w:t>
      </w:r>
      <w:r>
        <w:rPr>
          <w:rFonts w:hint="eastAsia" w:ascii="宋体" w:hAnsi="宋体" w:eastAsia="宋体" w:cs="宋体"/>
          <w:szCs w:val="21"/>
        </w:rPr>
        <w:t>保险（境外旅行险）、签证等服务：赴柬埔寨、印尼往返保险及签证服务，据实结算。</w:t>
      </w:r>
    </w:p>
    <w:p>
      <w:pPr>
        <w:spacing w:line="360" w:lineRule="auto"/>
        <w:ind w:firstLine="420" w:firstLineChars="200"/>
        <w:jc w:val="left"/>
        <w:rPr>
          <w:rFonts w:hint="eastAsia" w:ascii="宋体" w:hAnsi="宋体" w:eastAsia="宋体" w:cs="宋体"/>
          <w:bCs/>
          <w:color w:val="000000"/>
          <w:szCs w:val="21"/>
        </w:rPr>
      </w:pPr>
      <w:r>
        <w:rPr>
          <w:rFonts w:hint="eastAsia" w:ascii="宋体" w:hAnsi="宋体" w:eastAsia="宋体" w:cs="宋体"/>
          <w:szCs w:val="21"/>
        </w:rPr>
        <w:t>（3）</w:t>
      </w:r>
      <w:r>
        <w:rPr>
          <w:rFonts w:ascii="宋体" w:hAnsi="宋体" w:eastAsia="宋体" w:cs="宋体"/>
          <w:bCs/>
          <w:color w:val="000000"/>
          <w:szCs w:val="21"/>
        </w:rPr>
        <w:t>行程综合保障服务：</w:t>
      </w:r>
      <w:r>
        <w:rPr>
          <w:rFonts w:hint="eastAsia" w:ascii="宋体" w:hAnsi="宋体" w:eastAsia="宋体" w:cs="宋体"/>
          <w:bCs/>
          <w:color w:val="000000"/>
          <w:szCs w:val="21"/>
        </w:rPr>
        <w:t>4</w:t>
      </w:r>
      <w:r>
        <w:rPr>
          <w:rFonts w:ascii="宋体" w:hAnsi="宋体" w:eastAsia="宋体" w:cs="宋体"/>
          <w:bCs/>
          <w:color w:val="000000"/>
          <w:szCs w:val="21"/>
        </w:rPr>
        <w:t>位工作人员在</w:t>
      </w:r>
      <w:r>
        <w:rPr>
          <w:rFonts w:hint="eastAsia" w:ascii="宋体" w:hAnsi="宋体" w:eastAsia="宋体" w:cs="宋体"/>
          <w:bCs/>
          <w:color w:val="000000"/>
          <w:szCs w:val="21"/>
        </w:rPr>
        <w:t>行程</w:t>
      </w:r>
      <w:r>
        <w:rPr>
          <w:rFonts w:ascii="宋体" w:hAnsi="宋体" w:eastAsia="宋体" w:cs="宋体"/>
          <w:bCs/>
          <w:color w:val="000000"/>
          <w:szCs w:val="21"/>
        </w:rPr>
        <w:t>期间的城市内行程保障服务，按照广东省财政厅、广东省人民政府外事办公室《关于转发财政部外交部&lt;因公临时出国经费管理办法&gt;》（粤财行[2014]11号）、《转发财政部外交部关于调整因公临时出国住宿费标准等有关事项的通知》（粤财行[2018]17号）等因公出国有关经费使用标准要求执行，确保团组在国外顺利开展工作。</w:t>
      </w:r>
    </w:p>
    <w:p>
      <w:pPr>
        <w:spacing w:line="360" w:lineRule="auto"/>
        <w:ind w:firstLine="420" w:firstLineChars="200"/>
        <w:jc w:val="left"/>
        <w:rPr>
          <w:rFonts w:hint="eastAsia" w:ascii="宋体" w:hAnsi="宋体" w:eastAsia="宋体" w:cs="宋体"/>
          <w:bCs/>
          <w:color w:val="000000"/>
          <w:szCs w:val="21"/>
        </w:rPr>
      </w:pPr>
      <w:r>
        <w:rPr>
          <w:rFonts w:hint="eastAsia" w:ascii="宋体" w:hAnsi="宋体" w:eastAsia="宋体" w:cs="宋体"/>
          <w:bCs/>
          <w:color w:val="000000"/>
          <w:szCs w:val="21"/>
        </w:rPr>
        <w:t>（4）翻译服务：行程期间为4</w:t>
      </w:r>
      <w:r>
        <w:rPr>
          <w:rFonts w:ascii="宋体" w:hAnsi="宋体" w:eastAsia="宋体" w:cs="宋体"/>
          <w:bCs/>
          <w:color w:val="000000"/>
          <w:szCs w:val="21"/>
        </w:rPr>
        <w:t>位工作人员</w:t>
      </w:r>
      <w:r>
        <w:rPr>
          <w:rFonts w:hint="eastAsia" w:ascii="宋体" w:hAnsi="宋体" w:eastAsia="宋体" w:cs="宋体"/>
          <w:bCs/>
          <w:color w:val="000000"/>
          <w:szCs w:val="21"/>
        </w:rPr>
        <w:t>提供翻译服务，包括1位</w:t>
      </w:r>
      <w:r>
        <w:rPr>
          <w:rFonts w:ascii="宋体" w:hAnsi="宋体" w:eastAsia="宋体" w:cs="宋体"/>
          <w:bCs/>
          <w:color w:val="000000"/>
          <w:szCs w:val="21"/>
        </w:rPr>
        <w:t>中柬英</w:t>
      </w:r>
      <w:r>
        <w:rPr>
          <w:rFonts w:hint="eastAsia" w:ascii="宋体" w:hAnsi="宋体" w:eastAsia="宋体" w:cs="宋体"/>
          <w:bCs/>
          <w:color w:val="000000"/>
          <w:szCs w:val="21"/>
        </w:rPr>
        <w:t>三语</w:t>
      </w:r>
      <w:r>
        <w:rPr>
          <w:rFonts w:ascii="宋体" w:hAnsi="宋体" w:eastAsia="宋体" w:cs="宋体"/>
          <w:bCs/>
          <w:color w:val="000000"/>
          <w:szCs w:val="21"/>
        </w:rPr>
        <w:t>翻译3天、</w:t>
      </w:r>
      <w:r>
        <w:rPr>
          <w:rFonts w:hint="eastAsia" w:ascii="宋体" w:hAnsi="宋体" w:eastAsia="宋体" w:cs="宋体"/>
          <w:bCs/>
          <w:color w:val="000000"/>
          <w:szCs w:val="21"/>
        </w:rPr>
        <w:t>1位</w:t>
      </w:r>
      <w:r>
        <w:rPr>
          <w:rFonts w:ascii="宋体" w:hAnsi="宋体" w:eastAsia="宋体" w:cs="宋体"/>
          <w:bCs/>
          <w:color w:val="000000"/>
          <w:szCs w:val="21"/>
        </w:rPr>
        <w:t>中英印尼三语翻译3天</w:t>
      </w:r>
      <w:r>
        <w:rPr>
          <w:rFonts w:hint="eastAsia" w:ascii="宋体" w:hAnsi="宋体" w:eastAsia="宋体" w:cs="宋体"/>
          <w:bCs/>
          <w:color w:val="000000"/>
          <w:szCs w:val="21"/>
        </w:rPr>
        <w:t>。</w:t>
      </w:r>
    </w:p>
    <w:p>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w:t>
      </w:r>
      <w:r>
        <w:rPr>
          <w:rFonts w:ascii="宋体" w:hAnsi="宋体" w:eastAsia="宋体" w:cs="宋体"/>
          <w:szCs w:val="21"/>
        </w:rPr>
        <w:t>.服务期间，</w:t>
      </w:r>
      <w:r>
        <w:rPr>
          <w:rFonts w:hint="eastAsia" w:ascii="宋体" w:hAnsi="宋体" w:eastAsia="宋体" w:cs="宋体"/>
          <w:szCs w:val="21"/>
        </w:rPr>
        <w:t>招标人</w:t>
      </w:r>
      <w:r>
        <w:rPr>
          <w:rFonts w:ascii="宋体" w:hAnsi="宋体" w:eastAsia="宋体" w:cs="宋体"/>
          <w:szCs w:val="21"/>
        </w:rPr>
        <w:t>实际需求具体行程可能有变，</w:t>
      </w:r>
      <w:r>
        <w:rPr>
          <w:rFonts w:hint="eastAsia" w:ascii="宋体" w:hAnsi="宋体" w:eastAsia="宋体" w:cs="宋体"/>
          <w:szCs w:val="21"/>
        </w:rPr>
        <w:t>中标人按</w:t>
      </w:r>
      <w:r>
        <w:rPr>
          <w:rFonts w:ascii="宋体" w:hAnsi="宋体" w:eastAsia="宋体" w:cs="宋体"/>
          <w:szCs w:val="21"/>
        </w:rPr>
        <w:t>照招标人实际发生的行程提供服务。</w:t>
      </w:r>
    </w:p>
    <w:p>
      <w:pPr>
        <w:spacing w:line="360" w:lineRule="auto"/>
        <w:ind w:firstLine="420" w:firstLineChars="200"/>
        <w:jc w:val="left"/>
        <w:rPr>
          <w:rFonts w:hint="eastAsia" w:ascii="宋体" w:hAnsi="宋体" w:eastAsia="宋体"/>
          <w:szCs w:val="21"/>
        </w:rPr>
      </w:pPr>
      <w:r>
        <w:rPr>
          <w:rFonts w:ascii="宋体" w:hAnsi="宋体" w:eastAsia="宋体"/>
          <w:szCs w:val="21"/>
        </w:rPr>
        <w:t>详细需求</w:t>
      </w:r>
      <w:r>
        <w:rPr>
          <w:rFonts w:hint="eastAsia" w:ascii="宋体" w:hAnsi="宋体" w:eastAsia="宋体"/>
          <w:szCs w:val="21"/>
        </w:rPr>
        <w:t>内容细项详见</w:t>
      </w:r>
      <w:r>
        <w:rPr>
          <w:rFonts w:ascii="宋体" w:hAnsi="宋体" w:eastAsia="宋体"/>
          <w:szCs w:val="21"/>
        </w:rPr>
        <w:t>本项目需求书附件：</w:t>
      </w:r>
    </w:p>
    <w:p>
      <w:pPr>
        <w:spacing w:line="360" w:lineRule="auto"/>
        <w:ind w:firstLine="420" w:firstLineChars="200"/>
        <w:jc w:val="left"/>
        <w:rPr>
          <w:rFonts w:hint="eastAsia" w:ascii="宋体" w:hAnsi="宋体" w:eastAsia="宋体"/>
          <w:szCs w:val="21"/>
        </w:rPr>
      </w:pPr>
      <w:r>
        <w:rPr>
          <w:rFonts w:ascii="宋体" w:hAnsi="宋体" w:eastAsia="宋体"/>
          <w:szCs w:val="21"/>
        </w:rPr>
        <w:t>附</w:t>
      </w:r>
      <w:r>
        <w:rPr>
          <w:rFonts w:hint="eastAsia" w:ascii="宋体" w:hAnsi="宋体" w:eastAsia="宋体"/>
          <w:szCs w:val="21"/>
        </w:rPr>
        <w:t>表一</w:t>
      </w:r>
      <w:r>
        <w:rPr>
          <w:rFonts w:ascii="宋体" w:hAnsi="宋体" w:eastAsia="宋体"/>
          <w:szCs w:val="21"/>
        </w:rPr>
        <w:t>：《</w:t>
      </w:r>
      <w:r>
        <w:rPr>
          <w:rFonts w:ascii="宋体" w:hAnsi="宋体" w:eastAsia="宋体" w:cs="宋体"/>
          <w:bCs/>
          <w:color w:val="000000"/>
          <w:szCs w:val="21"/>
        </w:rPr>
        <w:t>赴柬埔寨、印尼开展文化交流活动及行程服务项目</w:t>
      </w:r>
      <w:r>
        <w:rPr>
          <w:rFonts w:ascii="宋体" w:hAnsi="宋体" w:eastAsia="宋体"/>
          <w:szCs w:val="21"/>
        </w:rPr>
        <w:t>详细需求表》</w:t>
      </w:r>
    </w:p>
    <w:p>
      <w:pPr>
        <w:spacing w:line="360" w:lineRule="auto"/>
        <w:ind w:firstLine="420" w:firstLineChars="200"/>
        <w:jc w:val="left"/>
        <w:rPr>
          <w:rFonts w:hint="eastAsia" w:ascii="宋体" w:hAnsi="宋体" w:eastAsia="宋体"/>
          <w:szCs w:val="21"/>
        </w:rPr>
      </w:pPr>
      <w:r>
        <w:rPr>
          <w:rFonts w:hint="eastAsia" w:ascii="宋体" w:hAnsi="宋体" w:eastAsia="宋体"/>
          <w:szCs w:val="21"/>
        </w:rPr>
        <w:t>附表二：《柬</w:t>
      </w:r>
      <w:r>
        <w:rPr>
          <w:rFonts w:ascii="宋体" w:hAnsi="宋体" w:eastAsia="宋体"/>
          <w:szCs w:val="21"/>
        </w:rPr>
        <w:t>埔寨、印尼广货展品清单</w:t>
      </w:r>
      <w:r>
        <w:rPr>
          <w:rFonts w:hint="eastAsia" w:ascii="宋体" w:hAnsi="宋体" w:eastAsia="宋体"/>
          <w:szCs w:val="21"/>
        </w:rPr>
        <w:t>》</w:t>
      </w:r>
    </w:p>
    <w:p>
      <w:pPr>
        <w:pStyle w:val="4"/>
        <w:spacing w:line="360" w:lineRule="auto"/>
        <w:rPr>
          <w:rFonts w:hint="eastAsia" w:ascii="宋体" w:hAnsi="宋体"/>
          <w:b/>
          <w:bCs/>
        </w:rPr>
      </w:pPr>
      <w:r>
        <w:rPr>
          <w:rFonts w:hint="eastAsia" w:ascii="宋体" w:hAnsi="宋体"/>
          <w:b/>
          <w:bCs/>
        </w:rPr>
        <w:t>（四）服务要求</w:t>
      </w:r>
    </w:p>
    <w:p>
      <w:pPr>
        <w:pStyle w:val="12"/>
        <w:spacing w:line="360" w:lineRule="auto"/>
        <w:jc w:val="left"/>
        <w:rPr>
          <w:rFonts w:hint="eastAsia" w:ascii="宋体" w:hAnsi="宋体"/>
          <w:sz w:val="21"/>
          <w:szCs w:val="21"/>
        </w:rPr>
      </w:pPr>
      <w:r>
        <w:rPr>
          <w:rFonts w:hint="eastAsia" w:ascii="宋体" w:hAnsi="宋体"/>
          <w:sz w:val="21"/>
          <w:szCs w:val="21"/>
        </w:rPr>
        <w:t>中标人应具备以下服务能力：</w:t>
      </w:r>
    </w:p>
    <w:p>
      <w:pPr>
        <w:pStyle w:val="12"/>
        <w:spacing w:line="360" w:lineRule="auto"/>
        <w:jc w:val="left"/>
        <w:rPr>
          <w:rFonts w:hint="eastAsia" w:ascii="宋体" w:hAnsi="宋体"/>
          <w:sz w:val="21"/>
          <w:szCs w:val="21"/>
        </w:rPr>
      </w:pPr>
      <w:r>
        <w:rPr>
          <w:rFonts w:hint="eastAsia" w:ascii="宋体" w:hAnsi="宋体"/>
          <w:sz w:val="21"/>
          <w:szCs w:val="21"/>
        </w:rPr>
        <w:t>1.中标人在服务过程中提供全面的项目管理和协调，确保各环节顺利进行、</w:t>
      </w:r>
      <w:r>
        <w:rPr>
          <w:rFonts w:ascii="宋体" w:hAnsi="宋体"/>
          <w:sz w:val="21"/>
          <w:szCs w:val="21"/>
        </w:rPr>
        <w:t>确保活动的合法合规性。</w:t>
      </w:r>
    </w:p>
    <w:p>
      <w:pPr>
        <w:pStyle w:val="12"/>
        <w:spacing w:line="360" w:lineRule="auto"/>
        <w:jc w:val="left"/>
        <w:rPr>
          <w:rFonts w:hint="eastAsia" w:ascii="宋体" w:hAnsi="宋体"/>
          <w:sz w:val="21"/>
          <w:szCs w:val="21"/>
        </w:rPr>
      </w:pPr>
      <w:r>
        <w:rPr>
          <w:rFonts w:hint="eastAsia" w:ascii="宋体" w:hAnsi="宋体"/>
          <w:sz w:val="21"/>
          <w:szCs w:val="21"/>
        </w:rPr>
        <w:t>2.中标人必须配备专业的团队，专业团队在柬埔寨暹粒和印尼雅加达具备</w:t>
      </w:r>
      <w:r>
        <w:rPr>
          <w:rFonts w:ascii="宋体" w:hAnsi="宋体"/>
          <w:sz w:val="21"/>
          <w:szCs w:val="21"/>
        </w:rPr>
        <w:t>活动策划及统筹执行经验</w:t>
      </w:r>
      <w:r>
        <w:rPr>
          <w:rFonts w:hint="eastAsia" w:ascii="宋体" w:hAnsi="宋体"/>
          <w:sz w:val="21"/>
          <w:szCs w:val="21"/>
        </w:rPr>
        <w:t>的能力；</w:t>
      </w:r>
      <w:r>
        <w:rPr>
          <w:rFonts w:ascii="宋体" w:hAnsi="宋体"/>
          <w:sz w:val="21"/>
          <w:szCs w:val="21"/>
        </w:rPr>
        <w:t>需为2个团组分别准备境内外最少</w:t>
      </w:r>
      <w:r>
        <w:rPr>
          <w:rFonts w:hint="eastAsia" w:ascii="宋体" w:hAnsi="宋体"/>
          <w:sz w:val="21"/>
          <w:szCs w:val="21"/>
        </w:rPr>
        <w:t>四</w:t>
      </w:r>
      <w:r>
        <w:rPr>
          <w:rFonts w:ascii="宋体" w:hAnsi="宋体"/>
          <w:sz w:val="21"/>
          <w:szCs w:val="21"/>
        </w:rPr>
        <w:t>人团队</w:t>
      </w:r>
      <w:r>
        <w:rPr>
          <w:rFonts w:hint="eastAsia" w:ascii="宋体" w:hAnsi="宋体"/>
          <w:sz w:val="21"/>
          <w:szCs w:val="21"/>
        </w:rPr>
        <w:t>，</w:t>
      </w:r>
      <w:r>
        <w:rPr>
          <w:rFonts w:ascii="宋体" w:hAnsi="宋体"/>
          <w:sz w:val="21"/>
          <w:szCs w:val="21"/>
        </w:rPr>
        <w:t>且2个团组</w:t>
      </w:r>
      <w:r>
        <w:rPr>
          <w:rFonts w:hint="eastAsia" w:ascii="宋体" w:hAnsi="宋体"/>
          <w:sz w:val="21"/>
          <w:szCs w:val="21"/>
        </w:rPr>
        <w:t>的</w:t>
      </w:r>
      <w:r>
        <w:rPr>
          <w:rFonts w:ascii="宋体" w:hAnsi="宋体"/>
          <w:sz w:val="21"/>
          <w:szCs w:val="21"/>
        </w:rPr>
        <w:t>团队人员不得重复</w:t>
      </w:r>
      <w:r>
        <w:rPr>
          <w:rFonts w:hint="eastAsia" w:ascii="宋体" w:hAnsi="宋体"/>
          <w:sz w:val="21"/>
          <w:szCs w:val="21"/>
        </w:rPr>
        <w:t>，并给出项目分工说明表。</w:t>
      </w:r>
      <w:r>
        <w:rPr>
          <w:rFonts w:ascii="宋体" w:hAnsi="宋体"/>
          <w:sz w:val="21"/>
          <w:szCs w:val="21"/>
        </w:rPr>
        <w:t>团队成员</w:t>
      </w:r>
      <w:r>
        <w:rPr>
          <w:rFonts w:hint="eastAsia" w:ascii="宋体" w:hAnsi="宋体"/>
          <w:sz w:val="21"/>
          <w:szCs w:val="21"/>
        </w:rPr>
        <w:t>需</w:t>
      </w:r>
      <w:r>
        <w:rPr>
          <w:rFonts w:ascii="宋体" w:hAnsi="宋体"/>
          <w:sz w:val="21"/>
          <w:szCs w:val="21"/>
        </w:rPr>
        <w:t>具备导游职业资格证（即导游证）</w:t>
      </w:r>
      <w:r>
        <w:rPr>
          <w:rFonts w:hint="eastAsia" w:ascii="宋体" w:hAnsi="宋体"/>
          <w:sz w:val="21"/>
          <w:szCs w:val="21"/>
        </w:rPr>
        <w:t>，或者</w:t>
      </w:r>
      <w:r>
        <w:rPr>
          <w:rFonts w:ascii="宋体" w:hAnsi="宋体"/>
          <w:sz w:val="21"/>
          <w:szCs w:val="21"/>
        </w:rPr>
        <w:t>具备专科（含）及以上学历、所学专业为工商管理类或旅游管理类或外语类的相关专业且工作经验不少于3年</w:t>
      </w:r>
      <w:r>
        <w:rPr>
          <w:rFonts w:hint="eastAsia" w:ascii="宋体" w:hAnsi="宋体"/>
          <w:sz w:val="21"/>
          <w:szCs w:val="21"/>
        </w:rPr>
        <w:t>，或者</w:t>
      </w:r>
      <w:r>
        <w:rPr>
          <w:rFonts w:ascii="宋体" w:hAnsi="宋体"/>
          <w:sz w:val="21"/>
          <w:szCs w:val="21"/>
        </w:rPr>
        <w:t>具备线下对外交流活动项目或境外团体出行服务项目等同类案例经验</w:t>
      </w:r>
      <w:r>
        <w:rPr>
          <w:rFonts w:hint="eastAsia" w:ascii="宋体" w:hAnsi="宋体"/>
          <w:sz w:val="21"/>
          <w:szCs w:val="21"/>
        </w:rPr>
        <w:t>。</w:t>
      </w:r>
    </w:p>
    <w:p>
      <w:pPr>
        <w:pStyle w:val="12"/>
        <w:spacing w:line="360" w:lineRule="auto"/>
        <w:jc w:val="left"/>
        <w:rPr>
          <w:rFonts w:hint="eastAsia" w:ascii="宋体" w:hAnsi="宋体"/>
          <w:sz w:val="21"/>
          <w:szCs w:val="21"/>
        </w:rPr>
      </w:pPr>
      <w:r>
        <w:rPr>
          <w:rFonts w:hint="eastAsia" w:ascii="宋体" w:hAnsi="宋体"/>
          <w:sz w:val="21"/>
          <w:szCs w:val="21"/>
        </w:rPr>
        <w:t>3.</w:t>
      </w:r>
      <w:r>
        <w:rPr>
          <w:rFonts w:ascii="宋体" w:hAnsi="宋体"/>
          <w:sz w:val="21"/>
          <w:szCs w:val="21"/>
        </w:rPr>
        <w:t>根据</w:t>
      </w:r>
      <w:r>
        <w:rPr>
          <w:rFonts w:hint="eastAsia" w:ascii="宋体" w:hAnsi="宋体"/>
          <w:sz w:val="21"/>
          <w:szCs w:val="21"/>
        </w:rPr>
        <w:t>招标人</w:t>
      </w:r>
      <w:r>
        <w:rPr>
          <w:rFonts w:ascii="宋体" w:hAnsi="宋体"/>
          <w:sz w:val="21"/>
          <w:szCs w:val="21"/>
        </w:rPr>
        <w:t>要求，</w:t>
      </w:r>
      <w:r>
        <w:rPr>
          <w:rFonts w:hint="eastAsia" w:ascii="宋体" w:hAnsi="宋体"/>
          <w:sz w:val="21"/>
          <w:szCs w:val="21"/>
        </w:rPr>
        <w:t>提供灵活的定制服务，并</w:t>
      </w:r>
      <w:r>
        <w:rPr>
          <w:rFonts w:ascii="宋体" w:hAnsi="宋体"/>
          <w:sz w:val="21"/>
          <w:szCs w:val="21"/>
        </w:rPr>
        <w:t>在</w:t>
      </w:r>
      <w:r>
        <w:rPr>
          <w:rFonts w:hint="eastAsia" w:ascii="宋体" w:hAnsi="宋体"/>
          <w:sz w:val="21"/>
          <w:szCs w:val="21"/>
        </w:rPr>
        <w:t>招标人</w:t>
      </w:r>
      <w:r>
        <w:rPr>
          <w:rFonts w:ascii="宋体" w:hAnsi="宋体"/>
          <w:sz w:val="21"/>
          <w:szCs w:val="21"/>
        </w:rPr>
        <w:t>确定行程后5个工作日内提交方案，经</w:t>
      </w:r>
      <w:r>
        <w:rPr>
          <w:rFonts w:hint="eastAsia" w:ascii="宋体" w:hAnsi="宋体"/>
          <w:sz w:val="21"/>
          <w:szCs w:val="21"/>
        </w:rPr>
        <w:t>招标人</w:t>
      </w:r>
      <w:r>
        <w:rPr>
          <w:rFonts w:ascii="宋体" w:hAnsi="宋体"/>
          <w:sz w:val="21"/>
          <w:szCs w:val="21"/>
        </w:rPr>
        <w:t>确认后再予以实施。</w:t>
      </w:r>
    </w:p>
    <w:p>
      <w:pPr>
        <w:pStyle w:val="12"/>
        <w:spacing w:line="360" w:lineRule="auto"/>
        <w:jc w:val="left"/>
        <w:rPr>
          <w:rFonts w:hint="eastAsia" w:ascii="宋体" w:hAnsi="宋体"/>
          <w:sz w:val="21"/>
          <w:szCs w:val="21"/>
        </w:rPr>
      </w:pPr>
      <w:r>
        <w:rPr>
          <w:rFonts w:hint="eastAsia" w:ascii="宋体" w:hAnsi="宋体"/>
          <w:sz w:val="21"/>
          <w:szCs w:val="21"/>
        </w:rPr>
        <w:t>4.中标人需要有能力处理突发情况，接到一般需求24小时内要予以响应，接到紧急需求需3小时内响应，确保活动顺利进行。</w:t>
      </w:r>
    </w:p>
    <w:p>
      <w:pPr>
        <w:pStyle w:val="12"/>
        <w:spacing w:line="360" w:lineRule="auto"/>
        <w:jc w:val="left"/>
        <w:rPr>
          <w:rFonts w:hint="eastAsia" w:ascii="宋体" w:hAnsi="宋体"/>
          <w:sz w:val="21"/>
          <w:szCs w:val="21"/>
        </w:rPr>
      </w:pPr>
      <w:r>
        <w:rPr>
          <w:rFonts w:hint="eastAsia" w:ascii="宋体" w:hAnsi="宋体"/>
          <w:sz w:val="21"/>
          <w:szCs w:val="21"/>
        </w:rPr>
        <w:t>5.中标人</w:t>
      </w:r>
      <w:r>
        <w:rPr>
          <w:rFonts w:ascii="宋体" w:hAnsi="宋体"/>
          <w:sz w:val="21"/>
          <w:szCs w:val="21"/>
        </w:rPr>
        <w:t>需按本协议约定为</w:t>
      </w:r>
      <w:r>
        <w:rPr>
          <w:rFonts w:hint="eastAsia" w:ascii="宋体" w:hAnsi="宋体"/>
          <w:sz w:val="21"/>
          <w:szCs w:val="21"/>
        </w:rPr>
        <w:t>招标人行程团</w:t>
      </w:r>
      <w:r>
        <w:rPr>
          <w:rFonts w:ascii="宋体" w:hAnsi="宋体"/>
          <w:sz w:val="21"/>
          <w:szCs w:val="21"/>
        </w:rPr>
        <w:t>购买保险。</w:t>
      </w:r>
    </w:p>
    <w:p>
      <w:pPr>
        <w:pStyle w:val="12"/>
        <w:spacing w:line="360" w:lineRule="auto"/>
        <w:jc w:val="left"/>
        <w:rPr>
          <w:rFonts w:hint="eastAsia" w:ascii="宋体" w:hAnsi="宋体"/>
          <w:sz w:val="21"/>
          <w:szCs w:val="21"/>
        </w:rPr>
      </w:pPr>
      <w:r>
        <w:rPr>
          <w:rFonts w:hint="eastAsia" w:ascii="宋体" w:hAnsi="宋体"/>
          <w:sz w:val="21"/>
          <w:szCs w:val="21"/>
        </w:rPr>
        <w:t>6</w:t>
      </w:r>
      <w:r>
        <w:rPr>
          <w:rFonts w:ascii="宋体" w:hAnsi="宋体"/>
          <w:sz w:val="21"/>
          <w:szCs w:val="21"/>
        </w:rPr>
        <w:t>.</w:t>
      </w:r>
      <w:r>
        <w:rPr>
          <w:rFonts w:hint="eastAsia" w:ascii="宋体" w:hAnsi="宋体"/>
          <w:sz w:val="21"/>
          <w:szCs w:val="21"/>
        </w:rPr>
        <w:t>招标人</w:t>
      </w:r>
      <w:r>
        <w:rPr>
          <w:rFonts w:ascii="宋体" w:hAnsi="宋体"/>
          <w:sz w:val="21"/>
          <w:szCs w:val="21"/>
        </w:rPr>
        <w:t>有权根据本协议所约定的内容及标准，检查</w:t>
      </w:r>
      <w:r>
        <w:rPr>
          <w:rFonts w:hint="eastAsia" w:ascii="宋体" w:hAnsi="宋体"/>
          <w:sz w:val="21"/>
          <w:szCs w:val="21"/>
        </w:rPr>
        <w:t>中标人</w:t>
      </w:r>
      <w:r>
        <w:rPr>
          <w:rFonts w:ascii="宋体" w:hAnsi="宋体"/>
          <w:sz w:val="21"/>
          <w:szCs w:val="21"/>
        </w:rPr>
        <w:t>提供的服务质量，如</w:t>
      </w:r>
      <w:r>
        <w:rPr>
          <w:rFonts w:hint="eastAsia" w:ascii="宋体" w:hAnsi="宋体"/>
          <w:sz w:val="21"/>
          <w:szCs w:val="21"/>
        </w:rPr>
        <w:t>中标人</w:t>
      </w:r>
      <w:r>
        <w:rPr>
          <w:rFonts w:ascii="宋体" w:hAnsi="宋体"/>
          <w:sz w:val="21"/>
          <w:szCs w:val="21"/>
        </w:rPr>
        <w:t>提供的服务质量不符合本协议的约定，</w:t>
      </w:r>
      <w:r>
        <w:rPr>
          <w:rFonts w:hint="eastAsia" w:ascii="宋体" w:hAnsi="宋体"/>
          <w:sz w:val="21"/>
          <w:szCs w:val="21"/>
        </w:rPr>
        <w:t>招标人</w:t>
      </w:r>
      <w:r>
        <w:rPr>
          <w:rFonts w:ascii="宋体" w:hAnsi="宋体"/>
          <w:sz w:val="21"/>
          <w:szCs w:val="21"/>
        </w:rPr>
        <w:t>有权要求中标人在合理时间内做出补充或修正。</w:t>
      </w:r>
    </w:p>
    <w:p>
      <w:pPr>
        <w:pStyle w:val="4"/>
        <w:spacing w:line="360" w:lineRule="auto"/>
        <w:rPr>
          <w:rFonts w:hint="eastAsia" w:ascii="宋体" w:hAnsi="宋体"/>
          <w:b/>
          <w:bCs/>
        </w:rPr>
      </w:pPr>
      <w:r>
        <w:rPr>
          <w:rFonts w:hint="eastAsia" w:ascii="宋体" w:hAnsi="宋体"/>
          <w:b/>
          <w:bCs/>
        </w:rPr>
        <w:t>（五）交付及验收</w:t>
      </w:r>
    </w:p>
    <w:p>
      <w:pPr>
        <w:pStyle w:val="12"/>
        <w:spacing w:line="360" w:lineRule="auto"/>
        <w:jc w:val="left"/>
        <w:rPr>
          <w:rFonts w:hint="eastAsia" w:ascii="宋体" w:hAnsi="宋体"/>
          <w:sz w:val="21"/>
          <w:szCs w:val="21"/>
        </w:rPr>
      </w:pPr>
      <w:r>
        <w:rPr>
          <w:rFonts w:hint="eastAsia" w:ascii="宋体" w:hAnsi="宋体"/>
          <w:sz w:val="21"/>
          <w:szCs w:val="21"/>
        </w:rPr>
        <w:t>1.中标人应按照项目采购需求的各项要求按时、按质、按量提供相应的服务，中标人提供的服务、成果等应符合招标人采购需求，招标人据此为标准进行验收。</w:t>
      </w:r>
    </w:p>
    <w:p>
      <w:pPr>
        <w:pStyle w:val="12"/>
        <w:spacing w:line="360" w:lineRule="auto"/>
        <w:jc w:val="left"/>
        <w:rPr>
          <w:rFonts w:hint="eastAsia" w:ascii="宋体" w:hAnsi="宋体"/>
          <w:sz w:val="21"/>
          <w:szCs w:val="21"/>
        </w:rPr>
      </w:pPr>
      <w:r>
        <w:rPr>
          <w:rFonts w:hint="eastAsia" w:ascii="宋体" w:hAnsi="宋体"/>
          <w:sz w:val="21"/>
          <w:szCs w:val="21"/>
        </w:rPr>
        <w:t>2. 招标人根据审核通过的项目方案，对中标人执行程度进行验收。</w:t>
      </w:r>
    </w:p>
    <w:p>
      <w:pPr>
        <w:pStyle w:val="12"/>
        <w:spacing w:line="360" w:lineRule="auto"/>
        <w:jc w:val="left"/>
        <w:rPr>
          <w:rFonts w:hint="eastAsia" w:ascii="宋体" w:hAnsi="宋体"/>
          <w:sz w:val="21"/>
          <w:szCs w:val="21"/>
        </w:rPr>
      </w:pPr>
      <w:r>
        <w:rPr>
          <w:rFonts w:hint="eastAsia" w:ascii="宋体" w:hAnsi="宋体"/>
          <w:sz w:val="21"/>
          <w:szCs w:val="21"/>
        </w:rPr>
        <w:t>3. 中标人按项目要求提供相应的服务，并提供满足招标人验收要求的成果资料后，可书面向招标人申请启动验收。招标人应在中标人申请验收后5个工作日内组织人员进行验收，并在组织验收后5个工作日内给予认可或提出修改意见。</w:t>
      </w:r>
    </w:p>
    <w:p>
      <w:pPr>
        <w:pStyle w:val="3"/>
        <w:spacing w:before="0" w:after="0"/>
        <w:rPr>
          <w:rFonts w:hint="eastAsia" w:ascii="宋体" w:hAnsi="宋体"/>
          <w:b/>
          <w:bCs/>
          <w:sz w:val="21"/>
          <w:szCs w:val="21"/>
        </w:rPr>
      </w:pPr>
      <w:r>
        <w:rPr>
          <w:rFonts w:hint="eastAsia" w:ascii="宋体" w:hAnsi="宋体"/>
          <w:b/>
          <w:bCs/>
          <w:sz w:val="21"/>
          <w:szCs w:val="21"/>
        </w:rPr>
        <w:t>五</w:t>
      </w:r>
      <w:r>
        <w:rPr>
          <w:rFonts w:ascii="宋体" w:hAnsi="宋体"/>
          <w:b/>
          <w:bCs/>
          <w:sz w:val="21"/>
          <w:szCs w:val="21"/>
        </w:rPr>
        <w:t>、报价要求</w:t>
      </w:r>
    </w:p>
    <w:p>
      <w:pPr>
        <w:pStyle w:val="12"/>
        <w:spacing w:line="360" w:lineRule="auto"/>
        <w:jc w:val="left"/>
        <w:rPr>
          <w:rFonts w:hint="eastAsia" w:ascii="宋体" w:hAnsi="宋体"/>
          <w:sz w:val="21"/>
          <w:szCs w:val="21"/>
        </w:rPr>
      </w:pPr>
      <w:r>
        <w:rPr>
          <w:rFonts w:ascii="宋体" w:hAnsi="宋体"/>
          <w:sz w:val="21"/>
          <w:szCs w:val="21"/>
        </w:rPr>
        <w:t>（1）本项目投标报价是完成本项目自赴柬埔寨、印尼开展文化交流活动及行程服务至验收结束后，完成所有工作内容而发生的所有直接费用、间接费用、其他费用、税金等全部费用，以及应由投标人承担的义务、责任和风险所发生的一切费用和赔偿。招标人不再为本项目内容内的任何具体工作任务而支付额外的支出。</w:t>
      </w:r>
    </w:p>
    <w:p>
      <w:pPr>
        <w:pStyle w:val="12"/>
        <w:spacing w:line="360" w:lineRule="auto"/>
        <w:jc w:val="left"/>
        <w:rPr>
          <w:rFonts w:hint="eastAsia" w:ascii="宋体" w:hAnsi="宋体"/>
          <w:sz w:val="21"/>
          <w:szCs w:val="21"/>
        </w:rPr>
      </w:pPr>
      <w:r>
        <w:rPr>
          <w:rFonts w:ascii="宋体" w:hAnsi="宋体"/>
          <w:sz w:val="21"/>
          <w:szCs w:val="21"/>
        </w:rPr>
        <w:t>（2）涉及到美元的部分，供应商</w:t>
      </w:r>
      <w:r>
        <w:rPr>
          <w:rFonts w:hint="eastAsia" w:ascii="宋体" w:hAnsi="宋体"/>
          <w:sz w:val="21"/>
          <w:szCs w:val="21"/>
        </w:rPr>
        <w:t>须按照</w:t>
      </w:r>
      <w:r>
        <w:rPr>
          <w:rFonts w:ascii="宋体" w:hAnsi="宋体"/>
          <w:sz w:val="21"/>
          <w:szCs w:val="21"/>
        </w:rPr>
        <w:t>1美元=</w:t>
      </w:r>
      <w:r>
        <w:rPr>
          <w:rFonts w:hint="eastAsia" w:ascii="宋体" w:hAnsi="宋体"/>
          <w:sz w:val="21"/>
          <w:szCs w:val="21"/>
        </w:rPr>
        <w:t>6.9</w:t>
      </w:r>
      <w:r>
        <w:rPr>
          <w:rFonts w:ascii="宋体" w:hAnsi="宋体"/>
          <w:sz w:val="21"/>
          <w:szCs w:val="21"/>
        </w:rPr>
        <w:t>元人民币报价，最终以实际汇率结算。</w:t>
      </w:r>
    </w:p>
    <w:p>
      <w:pPr>
        <w:pStyle w:val="12"/>
        <w:spacing w:line="360" w:lineRule="auto"/>
        <w:jc w:val="left"/>
        <w:rPr>
          <w:rFonts w:hint="eastAsia" w:ascii="宋体" w:hAnsi="宋体"/>
          <w:sz w:val="21"/>
          <w:szCs w:val="21"/>
        </w:rPr>
      </w:pPr>
      <w:r>
        <w:rPr>
          <w:rFonts w:ascii="宋体" w:hAnsi="宋体"/>
          <w:sz w:val="21"/>
          <w:szCs w:val="21"/>
        </w:rPr>
        <w:t>（3）行程服务中的协助预订往返机票、住宿服务、签证服务、保险服务部分根据实际产生费用据实结算。</w:t>
      </w:r>
    </w:p>
    <w:p>
      <w:pPr>
        <w:spacing w:line="360" w:lineRule="auto"/>
        <w:rPr>
          <w:rFonts w:hint="eastAsia" w:ascii="宋体" w:hAnsi="宋体" w:eastAsia="宋体" w:cs="宋体"/>
          <w:color w:val="111111"/>
          <w:sz w:val="24"/>
          <w:szCs w:val="24"/>
        </w:rPr>
      </w:pPr>
    </w:p>
    <w:p>
      <w:pPr>
        <w:widowControl/>
        <w:jc w:val="left"/>
        <w:rPr>
          <w:rFonts w:hint="eastAsia" w:ascii="宋体" w:hAnsi="宋体" w:eastAsia="宋体" w:cstheme="majorBidi"/>
          <w:b/>
          <w:bCs/>
          <w:szCs w:val="21"/>
        </w:rPr>
      </w:pPr>
      <w:r>
        <w:rPr>
          <w:rFonts w:hint="eastAsia" w:ascii="宋体" w:hAnsi="宋体"/>
          <w:b/>
          <w:bCs/>
          <w:szCs w:val="21"/>
        </w:rPr>
        <w:br w:type="page"/>
      </w:r>
    </w:p>
    <w:p>
      <w:pPr>
        <w:pStyle w:val="3"/>
        <w:spacing w:before="0" w:after="0"/>
        <w:rPr>
          <w:rFonts w:hint="eastAsia" w:ascii="宋体" w:hAnsi="宋体"/>
          <w:b/>
          <w:bCs/>
          <w:sz w:val="21"/>
          <w:szCs w:val="21"/>
        </w:rPr>
      </w:pPr>
      <w:r>
        <w:rPr>
          <w:rFonts w:ascii="宋体" w:hAnsi="宋体"/>
          <w:b/>
          <w:bCs/>
          <w:sz w:val="21"/>
          <w:szCs w:val="21"/>
        </w:rPr>
        <w:t>附表一：《赴柬埔寨、印尼开展文化交流活动及行程服务项目详细需求表》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82"/>
        <w:gridCol w:w="1596"/>
        <w:gridCol w:w="6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339" w:type="pct"/>
            <w:vAlign w:val="center"/>
          </w:tcPr>
          <w:p>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序号</w:t>
            </w:r>
          </w:p>
        </w:tc>
        <w:tc>
          <w:tcPr>
            <w:tcW w:w="930" w:type="pct"/>
            <w:vAlign w:val="center"/>
          </w:tcPr>
          <w:p>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项目需求</w:t>
            </w:r>
          </w:p>
        </w:tc>
        <w:tc>
          <w:tcPr>
            <w:tcW w:w="3731" w:type="pct"/>
            <w:vAlign w:val="center"/>
          </w:tcPr>
          <w:p>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具体需求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5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930" w:type="pct"/>
            <w:vMerge w:val="restar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柬埔寨文化交流活动执行</w:t>
            </w:r>
            <w:r>
              <w:rPr>
                <w:rFonts w:hint="eastAsia" w:ascii="宋体" w:hAnsi="宋体" w:eastAsia="宋体" w:cs="宋体"/>
                <w:color w:val="000000"/>
                <w:kern w:val="0"/>
                <w:szCs w:val="21"/>
              </w:rPr>
              <w:t>服务</w:t>
            </w:r>
            <w:r>
              <w:rPr>
                <w:rFonts w:ascii="宋体" w:hAnsi="宋体" w:eastAsia="宋体" w:cs="宋体"/>
                <w:color w:val="000000"/>
                <w:kern w:val="0"/>
                <w:szCs w:val="21"/>
              </w:rPr>
              <w:t>（9月19日下午，暹粒公立中山学校）</w:t>
            </w: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举办1场“粤见亚太·遇见中国（广东）好物”——广货行天下走进柬埔寨活动，包括场地租赁（可容纳不少于50人）、制作一块约6m*3m的彩色</w:t>
            </w:r>
            <w:r>
              <w:rPr>
                <w:rFonts w:hint="eastAsia" w:ascii="宋体" w:hAnsi="宋体" w:eastAsia="宋体" w:cs="宋体"/>
                <w:color w:val="000000"/>
                <w:kern w:val="0"/>
                <w:szCs w:val="21"/>
              </w:rPr>
              <w:t>PVC</w:t>
            </w:r>
            <w:r>
              <w:rPr>
                <w:rFonts w:ascii="宋体" w:hAnsi="宋体" w:eastAsia="宋体" w:cs="宋体"/>
                <w:color w:val="000000"/>
                <w:kern w:val="0"/>
                <w:szCs w:val="21"/>
              </w:rPr>
              <w:t>布作为活动主背景、制作不少于2个80cm*180cm易拉宝，现场需布置不少于40把观众椅、一块约6</w:t>
            </w:r>
            <w:r>
              <w:rPr>
                <w:rFonts w:hint="eastAsia" w:ascii="宋体" w:hAnsi="宋体" w:eastAsia="宋体" w:cs="宋体"/>
                <w:color w:val="000000"/>
                <w:kern w:val="0"/>
                <w:szCs w:val="21"/>
              </w:rPr>
              <w:t>m</w:t>
            </w:r>
            <w:r>
              <w:rPr>
                <w:rFonts w:ascii="宋体" w:hAnsi="宋体" w:eastAsia="宋体" w:cs="宋体"/>
                <w:color w:val="000000"/>
                <w:kern w:val="0"/>
                <w:szCs w:val="21"/>
              </w:rPr>
              <w:t>*2</w:t>
            </w:r>
            <w:r>
              <w:rPr>
                <w:rFonts w:hint="eastAsia" w:ascii="宋体" w:hAnsi="宋体" w:eastAsia="宋体" w:cs="宋体"/>
                <w:color w:val="000000"/>
                <w:kern w:val="0"/>
                <w:szCs w:val="21"/>
              </w:rPr>
              <w:t>m</w:t>
            </w:r>
            <w:r>
              <w:rPr>
                <w:rFonts w:ascii="宋体" w:hAnsi="宋体" w:eastAsia="宋体" w:cs="宋体"/>
                <w:color w:val="000000"/>
                <w:kern w:val="0"/>
                <w:szCs w:val="21"/>
              </w:rPr>
              <w:t>地毯；需准备不少于2个麦克风、1套音响设备、主持手卡、座位贴、讲话台等会务物资；现场配备1位中柬双语主持人、2位礼仪、2位双语翻译、不少于2位工作人员等；包含布场撤场、清洁维护等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举办1场文化创意展，制作20幅广东优秀图片作品</w:t>
            </w:r>
            <w:r>
              <w:rPr>
                <w:rFonts w:hint="eastAsia" w:ascii="宋体" w:hAnsi="宋体" w:eastAsia="宋体" w:cs="宋体"/>
                <w:color w:val="000000"/>
                <w:kern w:val="0"/>
                <w:szCs w:val="21"/>
              </w:rPr>
              <w:t>（</w:t>
            </w:r>
            <w:r>
              <w:rPr>
                <w:rFonts w:ascii="宋体" w:hAnsi="宋体" w:eastAsia="宋体" w:cs="宋体"/>
                <w:color w:val="000000"/>
                <w:kern w:val="0"/>
                <w:szCs w:val="21"/>
              </w:rPr>
              <w:t>图片素材由招标人提供</w:t>
            </w:r>
            <w:r>
              <w:rPr>
                <w:rFonts w:hint="eastAsia" w:ascii="宋体" w:hAnsi="宋体" w:eastAsia="宋体" w:cs="宋体"/>
                <w:color w:val="000000"/>
                <w:kern w:val="0"/>
                <w:szCs w:val="21"/>
              </w:rPr>
              <w:t>）</w:t>
            </w:r>
            <w:r>
              <w:rPr>
                <w:rFonts w:ascii="宋体" w:hAnsi="宋体" w:eastAsia="宋体" w:cs="宋体"/>
                <w:color w:val="000000"/>
                <w:kern w:val="0"/>
                <w:szCs w:val="21"/>
              </w:rPr>
              <w:t>，展线约15m。单幅图片采用KT板材质，保障画面清晰展示，图片长度不低于90cm；展陈形式采用金属展架，单组展架规格要求宽1.4m、高 2.4m，每组展架最多可悬挂2幅图文作品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3</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举办1场“广货行天下”主题展，租赁2张约6m展台，</w:t>
            </w:r>
            <w:r>
              <w:rPr>
                <w:rFonts w:hint="eastAsia" w:ascii="宋体" w:hAnsi="宋体" w:eastAsia="宋体" w:cs="宋体"/>
                <w:color w:val="000000"/>
                <w:kern w:val="0"/>
                <w:szCs w:val="21"/>
              </w:rPr>
              <w:t>根据招标人展品清单（参考附表二）组织</w:t>
            </w:r>
            <w:r>
              <w:rPr>
                <w:rFonts w:ascii="宋体" w:hAnsi="宋体" w:eastAsia="宋体" w:cs="宋体"/>
                <w:color w:val="000000"/>
                <w:kern w:val="0"/>
                <w:szCs w:val="21"/>
              </w:rPr>
              <w:t>并运输</w:t>
            </w:r>
            <w:r>
              <w:rPr>
                <w:rFonts w:hint="eastAsia" w:ascii="宋体" w:hAnsi="宋体" w:eastAsia="宋体" w:cs="宋体"/>
                <w:color w:val="000000"/>
                <w:kern w:val="0"/>
                <w:szCs w:val="21"/>
              </w:rPr>
              <w:t>34件</w:t>
            </w:r>
            <w:r>
              <w:rPr>
                <w:rFonts w:ascii="宋体" w:hAnsi="宋体" w:eastAsia="宋体" w:cs="宋体"/>
                <w:color w:val="000000"/>
                <w:kern w:val="0"/>
                <w:szCs w:val="21"/>
              </w:rPr>
              <w:t>广货优质展品</w:t>
            </w:r>
            <w:r>
              <w:rPr>
                <w:rFonts w:hint="eastAsia" w:ascii="宋体" w:hAnsi="宋体" w:eastAsia="宋体" w:cs="宋体"/>
                <w:color w:val="000000"/>
                <w:kern w:val="0"/>
                <w:szCs w:val="21"/>
              </w:rPr>
              <w:t>，运输</w:t>
            </w:r>
            <w:r>
              <w:rPr>
                <w:rFonts w:ascii="宋体" w:hAnsi="宋体" w:eastAsia="宋体" w:cs="宋体"/>
                <w:color w:val="000000"/>
                <w:kern w:val="0"/>
                <w:szCs w:val="21"/>
              </w:rPr>
              <w:t>约40本广东书籍前往柬埔寨</w:t>
            </w:r>
            <w:r>
              <w:rPr>
                <w:rFonts w:hint="eastAsia" w:ascii="宋体" w:hAnsi="宋体" w:eastAsia="宋体" w:cs="宋体"/>
                <w:color w:val="000000"/>
                <w:kern w:val="0"/>
                <w:szCs w:val="21"/>
              </w:rPr>
              <w:t>（书籍由招标人提供）</w:t>
            </w:r>
            <w:r>
              <w:rPr>
                <w:rFonts w:ascii="宋体" w:hAnsi="宋体" w:eastAsia="宋体" w:cs="宋体"/>
                <w:color w:val="000000"/>
                <w:kern w:val="0"/>
                <w:szCs w:val="21"/>
              </w:rPr>
              <w:t>。广货展品分为智能科技类、潮玩文创类、预包装农特产品类，展品如智能无弦吉他、AI翻译眼镜、醒狮潮玩、荔枝酥、酥心糖、月饼等，以静态陈列、互动体验形式展示，凸显广东智造、文创实力；设计并制作约40个15*10cm展签、10～15个40～60cmKT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举办1场积木拼搭体验活动，租赁1张约5m展桌、约10把椅子，组织并海外运输约20件广东积木玩具，现场进行广东积木拼搭体验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5</w:t>
            </w:r>
          </w:p>
        </w:tc>
        <w:tc>
          <w:tcPr>
            <w:tcW w:w="930" w:type="pct"/>
            <w:vMerge w:val="restart"/>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印尼</w:t>
            </w:r>
            <w:r>
              <w:rPr>
                <w:rFonts w:ascii="宋体" w:hAnsi="宋体" w:eastAsia="宋体" w:cs="宋体"/>
                <w:color w:val="000000"/>
                <w:kern w:val="0"/>
                <w:szCs w:val="21"/>
              </w:rPr>
              <w:t>文化交流活动执行</w:t>
            </w:r>
            <w:r>
              <w:rPr>
                <w:rFonts w:hint="eastAsia" w:ascii="宋体" w:hAnsi="宋体" w:eastAsia="宋体" w:cs="宋体"/>
                <w:color w:val="000000"/>
                <w:kern w:val="0"/>
                <w:szCs w:val="21"/>
              </w:rPr>
              <w:t>服务</w:t>
            </w:r>
            <w:r>
              <w:rPr>
                <w:rFonts w:ascii="宋体" w:hAnsi="宋体" w:eastAsia="宋体" w:cs="宋体"/>
                <w:color w:val="000000"/>
                <w:kern w:val="0"/>
                <w:szCs w:val="21"/>
              </w:rPr>
              <w:t>（9月22日下午，雅加达核心商圈）</w:t>
            </w: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场地租赁服务：在雅加达市内人流密集的核心商圈租赁开放/半开放空间，场地面积约200</w:t>
            </w:r>
            <w:r>
              <w:rPr>
                <w:rFonts w:hint="eastAsia" w:ascii="宋体" w:hAnsi="宋体" w:eastAsia="宋体" w:cs="微软雅黑"/>
                <w:color w:val="000000"/>
                <w:kern w:val="0"/>
                <w:szCs w:val="21"/>
              </w:rPr>
              <w:t>㎡</w:t>
            </w:r>
            <w:r>
              <w:rPr>
                <w:rFonts w:ascii="宋体" w:hAnsi="宋体" w:eastAsia="宋体" w:cs="宋体"/>
                <w:color w:val="000000"/>
                <w:kern w:val="0"/>
                <w:szCs w:val="21"/>
              </w:rPr>
              <w:t>，使用时长包含1天搭建（9月21日晚可提前入场搭建）、1天正式活动（9月22日）。场地需交通便利、安保条件良好，可灵活布局主活动舞台、展览区域，场地需适配文化创意展及现场交流活动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6</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举办1场“粤见亚太·遇见中国（广东）好物”——广货行天下走进印尼活动，现场需搭建不小于6m*3m LED屏幕、不小于6m*4m舞台、至少2组灯光、1套专业音响、不少于4个麦克风、1个讲话台、不少于50把观众椅、不少于2个80cm*180cm易拉宝等，现场需准备主持手卡、座位贴等会务物资，现场配备1位中印尼语双语主持人、4位礼仪、2位双语翻译、不少于2位工作人员等；包含布场撤场、清洁维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7</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举办1场文化创意展，</w:t>
            </w:r>
            <w:r>
              <w:rPr>
                <w:rFonts w:hint="eastAsia" w:ascii="宋体" w:hAnsi="宋体" w:eastAsia="宋体" w:cs="宋体"/>
                <w:color w:val="000000"/>
                <w:kern w:val="0"/>
                <w:szCs w:val="21"/>
              </w:rPr>
              <w:t>制</w:t>
            </w:r>
            <w:r>
              <w:rPr>
                <w:rFonts w:ascii="宋体" w:hAnsi="宋体" w:eastAsia="宋体" w:cs="宋体"/>
                <w:color w:val="000000"/>
                <w:kern w:val="0"/>
                <w:szCs w:val="21"/>
              </w:rPr>
              <w:t>作30幅广东优秀图片作品</w:t>
            </w:r>
            <w:r>
              <w:rPr>
                <w:rFonts w:hint="eastAsia" w:ascii="宋体" w:hAnsi="宋体" w:eastAsia="宋体" w:cs="宋体"/>
                <w:color w:val="000000"/>
                <w:kern w:val="0"/>
                <w:szCs w:val="21"/>
              </w:rPr>
              <w:t>（</w:t>
            </w:r>
            <w:r>
              <w:rPr>
                <w:rFonts w:ascii="宋体" w:hAnsi="宋体" w:eastAsia="宋体" w:cs="宋体"/>
                <w:color w:val="000000"/>
                <w:kern w:val="0"/>
                <w:szCs w:val="21"/>
              </w:rPr>
              <w:t>图片素材由招标人提供</w:t>
            </w:r>
            <w:r>
              <w:rPr>
                <w:rFonts w:hint="eastAsia" w:ascii="宋体" w:hAnsi="宋体" w:eastAsia="宋体" w:cs="宋体"/>
                <w:color w:val="000000"/>
                <w:kern w:val="0"/>
                <w:szCs w:val="21"/>
              </w:rPr>
              <w:t>）</w:t>
            </w:r>
            <w:r>
              <w:rPr>
                <w:rFonts w:ascii="宋体" w:hAnsi="宋体" w:eastAsia="宋体" w:cs="宋体"/>
                <w:color w:val="000000"/>
                <w:kern w:val="0"/>
                <w:szCs w:val="21"/>
              </w:rPr>
              <w:t>，展线约20m。单幅图片采用KT板材质，保障画面清晰展示，图片长度不低于90cm；展陈形式采用金属展架，单组展架规格要求宽1.4m、高 2.4m，每组展架最多可悬挂2幅图文作品，所有展架均需配套专业照明灯具，保障画面清晰展示、提升现场视觉氛围感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8</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举办1场“广货行天下”主题展，租赁2张约</w:t>
            </w:r>
            <w:r>
              <w:rPr>
                <w:rFonts w:hint="eastAsia" w:ascii="宋体" w:hAnsi="宋体" w:eastAsia="宋体" w:cs="宋体"/>
                <w:color w:val="000000"/>
                <w:kern w:val="0"/>
                <w:szCs w:val="21"/>
              </w:rPr>
              <w:t>6</w:t>
            </w:r>
            <w:r>
              <w:rPr>
                <w:rFonts w:ascii="宋体" w:hAnsi="宋体" w:eastAsia="宋体" w:cs="宋体"/>
                <w:color w:val="000000"/>
                <w:kern w:val="0"/>
                <w:szCs w:val="21"/>
              </w:rPr>
              <w:t>m展台，</w:t>
            </w:r>
            <w:r>
              <w:rPr>
                <w:rFonts w:hint="eastAsia" w:ascii="宋体" w:hAnsi="宋体" w:eastAsia="宋体" w:cs="宋体"/>
                <w:color w:val="000000"/>
                <w:kern w:val="0"/>
                <w:szCs w:val="21"/>
              </w:rPr>
              <w:t>根据招标人展品清单（参考附表二）组织</w:t>
            </w:r>
            <w:r>
              <w:rPr>
                <w:rFonts w:ascii="宋体" w:hAnsi="宋体" w:eastAsia="宋体" w:cs="宋体"/>
                <w:color w:val="000000"/>
                <w:kern w:val="0"/>
                <w:szCs w:val="21"/>
              </w:rPr>
              <w:t>并运输</w:t>
            </w:r>
            <w:r>
              <w:rPr>
                <w:rFonts w:hint="eastAsia" w:ascii="宋体" w:hAnsi="宋体" w:eastAsia="宋体" w:cs="宋体"/>
                <w:color w:val="000000"/>
                <w:kern w:val="0"/>
                <w:szCs w:val="21"/>
              </w:rPr>
              <w:t>34</w:t>
            </w:r>
            <w:r>
              <w:rPr>
                <w:rFonts w:ascii="宋体" w:hAnsi="宋体" w:eastAsia="宋体" w:cs="宋体"/>
                <w:color w:val="000000"/>
                <w:kern w:val="0"/>
                <w:szCs w:val="21"/>
              </w:rPr>
              <w:t>件广货优质展品。广货展品分为智能科技类、潮玩文创类、预包装农特产品类，展品如智能无弦吉他、AI翻译眼镜、醒狮潮玩、荔枝酥、酥心糖、月饼等，以静态陈列、互动体验形式展示，凸显广东智造、文创实力；设计并制作约</w:t>
            </w:r>
            <w:r>
              <w:rPr>
                <w:rFonts w:hint="eastAsia" w:ascii="宋体" w:hAnsi="宋体" w:eastAsia="宋体" w:cs="宋体"/>
                <w:color w:val="000000"/>
                <w:kern w:val="0"/>
                <w:szCs w:val="21"/>
              </w:rPr>
              <w:t>40</w:t>
            </w:r>
            <w:r>
              <w:rPr>
                <w:rFonts w:ascii="宋体" w:hAnsi="宋体" w:eastAsia="宋体" w:cs="宋体"/>
                <w:color w:val="000000"/>
                <w:kern w:val="0"/>
                <w:szCs w:val="21"/>
              </w:rPr>
              <w:t>个15*10cm展签、15～20个40～60cmKT板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9</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组织4-5位印尼模特身穿香云纱、手持“广货”，在活动主舞台进行约5分钟走秀，并在活动期间向现场观众推介“广货”展品、充分调动现场气氛，展现广货魅力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0</w:t>
            </w:r>
          </w:p>
        </w:tc>
        <w:tc>
          <w:tcPr>
            <w:tcW w:w="930" w:type="pct"/>
            <w:vMerge w:val="restart"/>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团组A行程保障服务（9月19日至9月24日）</w:t>
            </w: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国际机票服务（1人，公务舱标准，优先使用国内航空公司航班），据实结算：</w:t>
            </w:r>
            <w:r>
              <w:rPr>
                <w:rFonts w:ascii="宋体" w:hAnsi="宋体" w:eastAsia="宋体" w:cs="宋体"/>
                <w:color w:val="000000"/>
                <w:kern w:val="0"/>
                <w:szCs w:val="21"/>
              </w:rPr>
              <w:br w:type="textWrapping"/>
            </w:r>
            <w:r>
              <w:rPr>
                <w:rFonts w:ascii="宋体" w:hAnsi="宋体" w:eastAsia="宋体" w:cs="宋体"/>
                <w:color w:val="000000"/>
                <w:kern w:val="0"/>
                <w:szCs w:val="21"/>
              </w:rPr>
              <w:t>9月19日：广州-金边-暹粒</w:t>
            </w:r>
            <w:r>
              <w:rPr>
                <w:rFonts w:ascii="宋体" w:hAnsi="宋体" w:eastAsia="宋体" w:cs="宋体"/>
                <w:color w:val="000000"/>
                <w:kern w:val="0"/>
                <w:szCs w:val="21"/>
              </w:rPr>
              <w:br w:type="textWrapping"/>
            </w:r>
            <w:r>
              <w:rPr>
                <w:rFonts w:ascii="宋体" w:hAnsi="宋体" w:eastAsia="宋体" w:cs="宋体"/>
                <w:color w:val="000000"/>
                <w:kern w:val="0"/>
                <w:szCs w:val="21"/>
              </w:rPr>
              <w:t>9月21日：暹粒-金边</w:t>
            </w:r>
            <w:r>
              <w:rPr>
                <w:rFonts w:ascii="宋体" w:hAnsi="宋体" w:eastAsia="宋体" w:cs="宋体"/>
                <w:color w:val="000000"/>
                <w:kern w:val="0"/>
                <w:szCs w:val="21"/>
              </w:rPr>
              <w:br w:type="textWrapping"/>
            </w:r>
            <w:r>
              <w:rPr>
                <w:rFonts w:ascii="宋体" w:hAnsi="宋体" w:eastAsia="宋体" w:cs="宋体"/>
                <w:color w:val="000000"/>
                <w:kern w:val="0"/>
                <w:szCs w:val="21"/>
              </w:rPr>
              <w:t>9月22日：金边-吉隆坡-雅加达</w:t>
            </w:r>
            <w:r>
              <w:rPr>
                <w:rFonts w:ascii="宋体" w:hAnsi="宋体" w:eastAsia="宋体" w:cs="宋体"/>
                <w:color w:val="000000"/>
                <w:kern w:val="0"/>
                <w:szCs w:val="21"/>
              </w:rPr>
              <w:br w:type="textWrapping"/>
            </w:r>
            <w:r>
              <w:rPr>
                <w:rFonts w:ascii="宋体" w:hAnsi="宋体" w:eastAsia="宋体" w:cs="宋体"/>
                <w:color w:val="000000"/>
                <w:kern w:val="0"/>
                <w:szCs w:val="21"/>
              </w:rPr>
              <w:t>9月23日：雅加达-日惹</w:t>
            </w:r>
            <w:r>
              <w:rPr>
                <w:rFonts w:ascii="宋体" w:hAnsi="宋体" w:eastAsia="宋体" w:cs="宋体"/>
                <w:color w:val="000000"/>
                <w:kern w:val="0"/>
                <w:szCs w:val="21"/>
              </w:rPr>
              <w:br w:type="textWrapping"/>
            </w:r>
            <w:r>
              <w:rPr>
                <w:rFonts w:ascii="宋体" w:hAnsi="宋体" w:eastAsia="宋体" w:cs="宋体"/>
                <w:color w:val="000000"/>
                <w:kern w:val="0"/>
                <w:szCs w:val="21"/>
              </w:rPr>
              <w:t>9月24日：日惹-雅加达-广州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1</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国际机票服务（5人，经济舱标准，优先使用国内航空公司航班），据实结算：</w:t>
            </w:r>
            <w:r>
              <w:rPr>
                <w:rFonts w:ascii="宋体" w:hAnsi="宋体" w:eastAsia="宋体" w:cs="宋体"/>
                <w:color w:val="000000"/>
                <w:kern w:val="0"/>
                <w:szCs w:val="21"/>
              </w:rPr>
              <w:br w:type="textWrapping"/>
            </w:r>
            <w:r>
              <w:rPr>
                <w:rFonts w:ascii="宋体" w:hAnsi="宋体" w:eastAsia="宋体" w:cs="宋体"/>
                <w:color w:val="000000"/>
                <w:kern w:val="0"/>
                <w:szCs w:val="21"/>
              </w:rPr>
              <w:t>9月19日：广州-金边-暹粒</w:t>
            </w:r>
            <w:r>
              <w:rPr>
                <w:rFonts w:ascii="宋体" w:hAnsi="宋体" w:eastAsia="宋体" w:cs="宋体"/>
                <w:color w:val="000000"/>
                <w:kern w:val="0"/>
                <w:szCs w:val="21"/>
              </w:rPr>
              <w:br w:type="textWrapping"/>
            </w:r>
            <w:r>
              <w:rPr>
                <w:rFonts w:ascii="宋体" w:hAnsi="宋体" w:eastAsia="宋体" w:cs="宋体"/>
                <w:color w:val="000000"/>
                <w:kern w:val="0"/>
                <w:szCs w:val="21"/>
              </w:rPr>
              <w:t>9月21日：暹粒-金边</w:t>
            </w:r>
            <w:r>
              <w:rPr>
                <w:rFonts w:ascii="宋体" w:hAnsi="宋体" w:eastAsia="宋体" w:cs="宋体"/>
                <w:color w:val="000000"/>
                <w:kern w:val="0"/>
                <w:szCs w:val="21"/>
              </w:rPr>
              <w:br w:type="textWrapping"/>
            </w:r>
            <w:r>
              <w:rPr>
                <w:rFonts w:ascii="宋体" w:hAnsi="宋体" w:eastAsia="宋体" w:cs="宋体"/>
                <w:color w:val="000000"/>
                <w:kern w:val="0"/>
                <w:szCs w:val="21"/>
              </w:rPr>
              <w:t>9月22日：金边-吉隆坡-雅加达</w:t>
            </w:r>
            <w:r>
              <w:rPr>
                <w:rFonts w:ascii="宋体" w:hAnsi="宋体" w:eastAsia="宋体" w:cs="宋体"/>
                <w:color w:val="000000"/>
                <w:kern w:val="0"/>
                <w:szCs w:val="21"/>
              </w:rPr>
              <w:br w:type="textWrapping"/>
            </w:r>
            <w:r>
              <w:rPr>
                <w:rFonts w:ascii="宋体" w:hAnsi="宋体" w:eastAsia="宋体" w:cs="宋体"/>
                <w:color w:val="000000"/>
                <w:kern w:val="0"/>
                <w:szCs w:val="21"/>
              </w:rPr>
              <w:t>9月23日：雅加达-日惹</w:t>
            </w:r>
            <w:r>
              <w:rPr>
                <w:rFonts w:ascii="宋体" w:hAnsi="宋体" w:eastAsia="宋体" w:cs="宋体"/>
                <w:color w:val="000000"/>
                <w:kern w:val="0"/>
                <w:szCs w:val="21"/>
              </w:rPr>
              <w:br w:type="textWrapping"/>
            </w:r>
            <w:r>
              <w:rPr>
                <w:rFonts w:ascii="宋体" w:hAnsi="宋体" w:eastAsia="宋体" w:cs="宋体"/>
                <w:color w:val="000000"/>
                <w:kern w:val="0"/>
                <w:szCs w:val="21"/>
              </w:rPr>
              <w:t>9月24日：日惹-雅加达-广州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2</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酒店住宿：预计暹粒2晚、金边1晚、雅加达1晚、日惹1晚（共6人），住宿标准符合因公出差相关经费管理规定，住宿地点需靠近活动/交流场地，交通便利、安保条件达标，具备基础商务接待与办公条件，据实结算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3</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柬埔寨和印尼行程期间的餐饮、市内交通保障等城市内行程保障服务（包括餐饮服务、市内交通保障服务等，按照柬埔寨3天、印尼3天，共6人）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4</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保险服务（6人），据实结算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5</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签证服务（6人），据实结算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6</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中柬英三语翻译1位（3天）、中英印尼三语翻译1位（3天），每日工作时长不低于14小时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5"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7</w:t>
            </w:r>
          </w:p>
        </w:tc>
        <w:tc>
          <w:tcPr>
            <w:tcW w:w="930" w:type="pct"/>
            <w:vMerge w:val="restart"/>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团组B行程保障服务（9月18日至9月23日）</w:t>
            </w: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国际机票服务（4人，经济舱标准，优先使用国内航空公司航班），据实结算：</w:t>
            </w:r>
            <w:r>
              <w:rPr>
                <w:rFonts w:ascii="宋体" w:hAnsi="宋体" w:eastAsia="宋体" w:cs="宋体"/>
                <w:color w:val="000000"/>
                <w:kern w:val="0"/>
                <w:szCs w:val="21"/>
              </w:rPr>
              <w:br w:type="textWrapping"/>
            </w:r>
            <w:r>
              <w:rPr>
                <w:rFonts w:ascii="宋体" w:hAnsi="宋体" w:eastAsia="宋体" w:cs="宋体"/>
                <w:color w:val="000000"/>
                <w:kern w:val="0"/>
                <w:szCs w:val="21"/>
              </w:rPr>
              <w:t>9月18日：广州-金边-暹粒</w:t>
            </w:r>
            <w:r>
              <w:rPr>
                <w:rFonts w:ascii="宋体" w:hAnsi="宋体" w:eastAsia="宋体" w:cs="宋体"/>
                <w:color w:val="000000"/>
                <w:kern w:val="0"/>
                <w:szCs w:val="21"/>
              </w:rPr>
              <w:br w:type="textWrapping"/>
            </w:r>
            <w:r>
              <w:rPr>
                <w:rFonts w:ascii="宋体" w:hAnsi="宋体" w:eastAsia="宋体" w:cs="宋体"/>
                <w:color w:val="000000"/>
                <w:kern w:val="0"/>
                <w:szCs w:val="21"/>
              </w:rPr>
              <w:t>9月20日：暹粒-新加坡-雅加达</w:t>
            </w:r>
            <w:r>
              <w:rPr>
                <w:rFonts w:ascii="宋体" w:hAnsi="宋体" w:eastAsia="宋体" w:cs="宋体"/>
                <w:color w:val="000000"/>
                <w:kern w:val="0"/>
                <w:szCs w:val="21"/>
              </w:rPr>
              <w:br w:type="textWrapping"/>
            </w:r>
            <w:r>
              <w:rPr>
                <w:rFonts w:ascii="宋体" w:hAnsi="宋体" w:eastAsia="宋体" w:cs="宋体"/>
                <w:color w:val="000000"/>
                <w:kern w:val="0"/>
                <w:szCs w:val="21"/>
              </w:rPr>
              <w:t>9月23日：雅加达-广州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8</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酒店住宿：预计暹粒2晚、雅加达3晚（共4人），住宿标准符合因公出差相关经费管理规定，住宿地点需靠近活动/交流场地，交通便利、安保条件达标，具备基础商务接待与办公条件，据实结算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339" w:type="pct"/>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19</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柬埔寨和印尼行程期间的餐饮、市内交通保障等城市内行程保障服务（包括餐饮服务、市内交通保障服务等，按照柬埔寨3天、印尼3天，共4人）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0</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保险服务（4人），据实结算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1</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签证服务（4人），据实结算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339" w:type="pct"/>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2</w:t>
            </w:r>
          </w:p>
        </w:tc>
        <w:tc>
          <w:tcPr>
            <w:tcW w:w="930" w:type="pct"/>
            <w:vMerge w:val="continue"/>
            <w:vAlign w:val="center"/>
          </w:tcPr>
          <w:p>
            <w:pPr>
              <w:widowControl/>
              <w:jc w:val="center"/>
              <w:rPr>
                <w:rFonts w:hint="eastAsia" w:ascii="宋体" w:hAnsi="宋体" w:eastAsia="宋体" w:cs="宋体"/>
                <w:color w:val="000000"/>
                <w:kern w:val="0"/>
                <w:szCs w:val="21"/>
              </w:rPr>
            </w:pPr>
          </w:p>
        </w:tc>
        <w:tc>
          <w:tcPr>
            <w:tcW w:w="3731" w:type="pct"/>
            <w:vAlign w:val="center"/>
          </w:tcPr>
          <w:p>
            <w:pPr>
              <w:widowControl/>
              <w:spacing w:line="276" w:lineRule="auto"/>
              <w:jc w:val="left"/>
              <w:rPr>
                <w:rFonts w:hint="eastAsia" w:ascii="宋体" w:hAnsi="宋体" w:eastAsia="宋体" w:cs="宋体"/>
                <w:color w:val="000000"/>
                <w:kern w:val="0"/>
                <w:szCs w:val="21"/>
              </w:rPr>
            </w:pPr>
            <w:r>
              <w:rPr>
                <w:rFonts w:ascii="宋体" w:hAnsi="宋体" w:eastAsia="宋体" w:cs="宋体"/>
                <w:color w:val="000000"/>
                <w:kern w:val="0"/>
                <w:szCs w:val="21"/>
              </w:rPr>
              <w:t>中柬英三语翻译1位（3天）、中英印尼三语翻译1位（3天），每日工作时长不低于14小时</w:t>
            </w:r>
          </w:p>
        </w:tc>
      </w:tr>
    </w:tbl>
    <w:p>
      <w:pPr>
        <w:widowControl/>
        <w:jc w:val="left"/>
        <w:rPr>
          <w:rFonts w:hint="eastAsia" w:ascii="宋体" w:hAnsi="宋体" w:eastAsia="宋体" w:cstheme="majorBidi"/>
          <w:b/>
          <w:bCs/>
          <w:szCs w:val="21"/>
        </w:rPr>
      </w:pPr>
      <w:r>
        <w:rPr>
          <w:rFonts w:hint="eastAsia" w:ascii="宋体" w:hAnsi="宋体"/>
          <w:b/>
          <w:bCs/>
          <w:szCs w:val="21"/>
        </w:rPr>
        <w:br w:type="page"/>
      </w:r>
    </w:p>
    <w:p>
      <w:pPr>
        <w:pStyle w:val="3"/>
        <w:spacing w:before="0" w:after="0"/>
        <w:rPr>
          <w:rFonts w:hint="eastAsia" w:ascii="宋体" w:hAnsi="宋体"/>
          <w:b/>
          <w:bCs/>
          <w:sz w:val="21"/>
          <w:szCs w:val="21"/>
        </w:rPr>
      </w:pPr>
      <w:r>
        <w:rPr>
          <w:rFonts w:ascii="宋体" w:hAnsi="宋体"/>
          <w:b/>
          <w:bCs/>
          <w:sz w:val="21"/>
          <w:szCs w:val="21"/>
        </w:rPr>
        <w:t>附表二：《柬埔寨、印尼广货展品清单》</w:t>
      </w:r>
    </w:p>
    <w:tbl>
      <w:tblPr>
        <w:tblStyle w:val="41"/>
        <w:tblW w:w="8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95"/>
        <w:gridCol w:w="1158"/>
        <w:gridCol w:w="5076"/>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序号</w:t>
            </w:r>
          </w:p>
        </w:tc>
        <w:tc>
          <w:tcPr>
            <w:tcW w:w="115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展品类别</w:t>
            </w:r>
          </w:p>
        </w:tc>
        <w:tc>
          <w:tcPr>
            <w:tcW w:w="5076"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展品名称</w:t>
            </w:r>
          </w:p>
        </w:tc>
        <w:tc>
          <w:tcPr>
            <w:tcW w:w="1114"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展品</w:t>
            </w:r>
            <w:r>
              <w:rPr>
                <w:rFonts w:hint="eastAsia" w:ascii="宋体" w:hAnsi="宋体" w:eastAsia="宋体" w:cs="宋体"/>
                <w:color w:val="000000"/>
                <w:kern w:val="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1158" w:type="dxa"/>
            <w:vMerge w:val="restart"/>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预包装农特产品类</w:t>
            </w: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广州酒家荔枝酥</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ascii="宋体" w:hAnsi="宋体" w:eastAsia="宋体" w:cs="宋体"/>
                <w:color w:val="000000"/>
                <w:kern w:val="0"/>
                <w:szCs w:val="21"/>
              </w:rPr>
              <w:t>盒</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olor w:val="000000"/>
                <w:kern w:val="0"/>
                <w:szCs w:val="21"/>
              </w:rPr>
            </w:pPr>
            <w:r>
              <w:rPr>
                <w:rFonts w:hint="eastAsia" w:ascii="宋体" w:hAnsi="宋体" w:eastAsia="宋体"/>
                <w:color w:val="000000"/>
                <w:szCs w:val="21"/>
              </w:rPr>
              <w:t>“</w:t>
            </w:r>
            <w:r>
              <w:rPr>
                <w:rFonts w:ascii="宋体" w:hAnsi="宋体" w:eastAsia="宋体"/>
                <w:color w:val="000000"/>
                <w:szCs w:val="21"/>
              </w:rPr>
              <w:t>广州礼物·花城好礼”糕点</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ascii="宋体" w:hAnsi="宋体" w:eastAsia="宋体" w:cs="宋体"/>
                <w:color w:val="000000"/>
                <w:kern w:val="0"/>
                <w:szCs w:val="21"/>
              </w:rPr>
              <w:t>盒</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“广州礼物·花城锦绣”糕点</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3盒/国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4</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广州酒家月饼</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2盒/国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5</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徐福记酥心糖</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w:t>
            </w:r>
            <w:r>
              <w:rPr>
                <w:rFonts w:ascii="宋体" w:hAnsi="宋体" w:eastAsia="宋体" w:cs="宋体"/>
                <w:color w:val="000000"/>
                <w:kern w:val="0"/>
                <w:szCs w:val="21"/>
              </w:rPr>
              <w:t>包</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6</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徐福记凤梨酥</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5包/国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7</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徐福记沙琪玛</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5包/国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8</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徐福记剥皮软糖/果汁橡皮糖</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w:t>
            </w:r>
            <w:r>
              <w:rPr>
                <w:rFonts w:ascii="宋体" w:hAnsi="宋体" w:eastAsia="宋体" w:cs="宋体"/>
                <w:color w:val="000000"/>
                <w:kern w:val="0"/>
                <w:szCs w:val="21"/>
              </w:rPr>
              <w:t>包</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9</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阿麦斯音乐棒棒糖</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15</w:t>
            </w:r>
            <w:r>
              <w:rPr>
                <w:rFonts w:ascii="宋体" w:hAnsi="宋体" w:eastAsia="宋体" w:cs="宋体"/>
                <w:color w:val="000000"/>
                <w:kern w:val="0"/>
                <w:szCs w:val="21"/>
              </w:rPr>
              <w:t>根</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10</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培林化橘红糖</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ascii="宋体" w:hAnsi="宋体" w:eastAsia="宋体" w:cs="宋体"/>
                <w:color w:val="000000"/>
                <w:kern w:val="0"/>
                <w:szCs w:val="21"/>
              </w:rPr>
              <w:t>罐</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11</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白切鸡味、玫瑰豉油鸡、五指毛桃、猪脚姜牛奶</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4盒/国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12</w:t>
            </w:r>
          </w:p>
        </w:tc>
        <w:tc>
          <w:tcPr>
            <w:tcW w:w="1158" w:type="dxa"/>
            <w:vMerge w:val="restart"/>
            <w:vAlign w:val="center"/>
          </w:tcPr>
          <w:p>
            <w:pPr>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潮玩</w:t>
            </w:r>
            <w:r>
              <w:rPr>
                <w:rFonts w:ascii="宋体" w:hAnsi="宋体" w:eastAsia="宋体" w:cs="宋体"/>
                <w:color w:val="000000"/>
                <w:kern w:val="0"/>
                <w:szCs w:val="21"/>
              </w:rPr>
              <w:t>文创产品</w:t>
            </w: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广州酒家美食文创公仔</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1套/国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13</w:t>
            </w:r>
          </w:p>
        </w:tc>
        <w:tc>
          <w:tcPr>
            <w:tcW w:w="1158" w:type="dxa"/>
            <w:vMerge w:val="continue"/>
            <w:vAlign w:val="center"/>
          </w:tcPr>
          <w:p>
            <w:pPr>
              <w:jc w:val="center"/>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十五运会吉祥物</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1对/国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14</w:t>
            </w:r>
          </w:p>
        </w:tc>
        <w:tc>
          <w:tcPr>
            <w:tcW w:w="1158" w:type="dxa"/>
            <w:vMerge w:val="continue"/>
            <w:vAlign w:val="center"/>
          </w:tcPr>
          <w:p>
            <w:pPr>
              <w:jc w:val="center"/>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广东省第十七届运动会</w:t>
            </w:r>
            <w:r>
              <w:rPr>
                <w:rFonts w:hint="eastAsia" w:ascii="宋体" w:hAnsi="宋体" w:eastAsia="宋体" w:cs="宋体"/>
                <w:color w:val="000000"/>
                <w:kern w:val="0"/>
                <w:szCs w:val="21"/>
              </w:rPr>
              <w:t>吉祥物</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15</w:t>
            </w:r>
          </w:p>
        </w:tc>
        <w:tc>
          <w:tcPr>
            <w:tcW w:w="1158" w:type="dxa"/>
            <w:vMerge w:val="continue"/>
            <w:vAlign w:val="center"/>
          </w:tcPr>
          <w:p>
            <w:pPr>
              <w:jc w:val="center"/>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广东省第十七届运动会</w:t>
            </w:r>
            <w:r>
              <w:rPr>
                <w:rFonts w:hint="eastAsia" w:ascii="宋体" w:hAnsi="宋体" w:eastAsia="宋体" w:cs="宋体"/>
                <w:color w:val="000000"/>
                <w:kern w:val="0"/>
                <w:szCs w:val="21"/>
              </w:rPr>
              <w:t>冰箱贴</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16</w:t>
            </w:r>
          </w:p>
        </w:tc>
        <w:tc>
          <w:tcPr>
            <w:tcW w:w="1158" w:type="dxa"/>
            <w:vMerge w:val="continue"/>
            <w:vAlign w:val="center"/>
          </w:tcPr>
          <w:p>
            <w:pPr>
              <w:widowControl/>
              <w:jc w:val="center"/>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“醒狮”系列3D金属拼图</w:t>
            </w:r>
            <w:r>
              <w:rPr>
                <w:rFonts w:hint="eastAsia" w:ascii="宋体" w:hAnsi="宋体" w:eastAsia="宋体" w:cs="宋体"/>
                <w:color w:val="000000"/>
                <w:kern w:val="0"/>
                <w:szCs w:val="21"/>
              </w:rPr>
              <w:t>（拼酷）</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1对/国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17</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“十里红妆”系列3D金属拼图</w:t>
            </w:r>
            <w:r>
              <w:rPr>
                <w:rFonts w:hint="eastAsia" w:ascii="宋体" w:hAnsi="宋体" w:eastAsia="宋体" w:cs="宋体"/>
                <w:color w:val="000000"/>
                <w:kern w:val="0"/>
                <w:szCs w:val="21"/>
              </w:rPr>
              <w:t>（拼酷）</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18</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疏影螺钿折扇3D金属拼图</w:t>
            </w:r>
            <w:r>
              <w:rPr>
                <w:rFonts w:hint="eastAsia" w:ascii="宋体" w:hAnsi="宋体" w:eastAsia="宋体" w:cs="宋体"/>
                <w:color w:val="000000"/>
                <w:kern w:val="0"/>
                <w:szCs w:val="21"/>
              </w:rPr>
              <w:t>（拼酷）</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19</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本潮纲目·“中医药养生”系列玩偶</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20</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本潮纲目·大药煲</w:t>
            </w:r>
            <w:r>
              <w:rPr>
                <w:rFonts w:hint="eastAsia" w:ascii="宋体" w:hAnsi="宋体" w:eastAsia="宋体" w:cs="宋体"/>
                <w:color w:val="000000"/>
                <w:kern w:val="0"/>
                <w:szCs w:val="21"/>
              </w:rPr>
              <w:t>玩偶</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21</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哈记“烧鹅”系列玩偶</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22</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顺顺荔荔.荔枝系列玩偶</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23</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荔马有梗系列毛绒盲盒</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24</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龙行</w:t>
            </w:r>
            <w:r>
              <w:rPr>
                <w:rFonts w:hint="eastAsia" w:ascii="宋体" w:hAnsi="宋体" w:eastAsia="宋体" w:cs="微软雅黑"/>
                <w:color w:val="000000"/>
                <w:kern w:val="0"/>
                <w:szCs w:val="21"/>
              </w:rPr>
              <w:t>龘龘</w:t>
            </w:r>
            <w:r>
              <w:rPr>
                <w:rFonts w:ascii="宋体" w:hAnsi="宋体" w:eastAsia="宋体" w:cs="宋体"/>
                <w:color w:val="000000"/>
                <w:kern w:val="0"/>
                <w:szCs w:val="21"/>
              </w:rPr>
              <w:t>·龙舟系列包</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25</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春晚</w:t>
            </w:r>
            <w:r>
              <w:rPr>
                <w:rFonts w:ascii="宋体" w:hAnsi="宋体" w:eastAsia="宋体" w:cs="宋体"/>
                <w:color w:val="000000"/>
                <w:kern w:val="0"/>
                <w:szCs w:val="21"/>
              </w:rPr>
              <w:t>吉祥物毛绒包挂</w:t>
            </w:r>
            <w:r>
              <w:rPr>
                <w:rFonts w:hint="eastAsia" w:ascii="宋体" w:hAnsi="宋体" w:eastAsia="宋体" w:cs="宋体"/>
                <w:color w:val="000000"/>
                <w:kern w:val="0"/>
                <w:szCs w:val="21"/>
              </w:rPr>
              <w:t>（</w:t>
            </w:r>
            <w:r>
              <w:rPr>
                <w:rFonts w:ascii="宋体" w:hAnsi="宋体" w:eastAsia="宋体" w:cs="宋体"/>
                <w:color w:val="000000"/>
                <w:kern w:val="0"/>
                <w:szCs w:val="21"/>
              </w:rPr>
              <w:t>骐骐、骥骥、骋骋、驰驰</w:t>
            </w:r>
            <w:r>
              <w:rPr>
                <w:rFonts w:hint="eastAsia" w:ascii="宋体" w:hAnsi="宋体" w:eastAsia="宋体" w:cs="宋体"/>
                <w:color w:val="000000"/>
                <w:kern w:val="0"/>
                <w:szCs w:val="21"/>
              </w:rPr>
              <w:t>）</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26</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汕头美食佳肴积木</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27</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汕头积木花</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20根/国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28</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汕头红头船积木</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29</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汕头英歌舞积木</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30</w:t>
            </w:r>
          </w:p>
        </w:tc>
        <w:tc>
          <w:tcPr>
            <w:tcW w:w="1158" w:type="dxa"/>
            <w:vMerge w:val="restart"/>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智能科技</w:t>
            </w:r>
            <w:r>
              <w:rPr>
                <w:rFonts w:hint="eastAsia" w:ascii="宋体" w:hAnsi="宋体" w:eastAsia="宋体" w:cs="宋体"/>
                <w:color w:val="000000"/>
                <w:kern w:val="0"/>
                <w:szCs w:val="21"/>
              </w:rPr>
              <w:t>产品</w:t>
            </w: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深圳</w:t>
            </w:r>
            <w:r>
              <w:rPr>
                <w:rFonts w:ascii="宋体" w:hAnsi="宋体" w:eastAsia="宋体" w:cs="宋体"/>
                <w:color w:val="000000"/>
                <w:kern w:val="0"/>
                <w:szCs w:val="21"/>
              </w:rPr>
              <w:t>AI同传蓝牙翻译耳机</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31</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欧达M5手持云台口袋相机</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32</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深圳</w:t>
            </w:r>
            <w:r>
              <w:rPr>
                <w:rFonts w:ascii="宋体" w:hAnsi="宋体" w:eastAsia="宋体" w:cs="宋体"/>
                <w:color w:val="000000"/>
                <w:kern w:val="0"/>
                <w:szCs w:val="21"/>
              </w:rPr>
              <w:t>AI翻译眼镜</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33</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感音空气架子鼓</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jc w:val="center"/>
        </w:trPr>
        <w:tc>
          <w:tcPr>
            <w:tcW w:w="695"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34</w:t>
            </w:r>
          </w:p>
        </w:tc>
        <w:tc>
          <w:tcPr>
            <w:tcW w:w="1158" w:type="dxa"/>
            <w:vMerge w:val="continue"/>
            <w:vAlign w:val="center"/>
          </w:tcPr>
          <w:p>
            <w:pPr>
              <w:widowControl/>
              <w:jc w:val="left"/>
              <w:rPr>
                <w:rFonts w:hint="eastAsia" w:ascii="宋体" w:hAnsi="宋体" w:eastAsia="宋体" w:cs="宋体"/>
                <w:color w:val="000000"/>
                <w:kern w:val="0"/>
                <w:szCs w:val="21"/>
              </w:rPr>
            </w:pPr>
          </w:p>
        </w:tc>
        <w:tc>
          <w:tcPr>
            <w:tcW w:w="5076"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Liberlive</w:t>
            </w:r>
            <w:r>
              <w:rPr>
                <w:rFonts w:ascii="宋体" w:hAnsi="宋体" w:eastAsia="宋体" w:cs="宋体"/>
                <w:color w:val="000000"/>
                <w:kern w:val="0"/>
                <w:szCs w:val="21"/>
              </w:rPr>
              <w:t>无弦智能吉他</w:t>
            </w:r>
          </w:p>
        </w:tc>
        <w:tc>
          <w:tcPr>
            <w:tcW w:w="111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个</w:t>
            </w:r>
            <w:r>
              <w:rPr>
                <w:rFonts w:hint="eastAsia" w:ascii="宋体" w:hAnsi="宋体" w:eastAsia="宋体" w:cs="宋体"/>
                <w:color w:val="000000"/>
                <w:kern w:val="0"/>
                <w:szCs w:val="21"/>
              </w:rPr>
              <w:t>（1大1小）/国</w:t>
            </w:r>
          </w:p>
        </w:tc>
      </w:tr>
    </w:tbl>
    <w:p>
      <w:pPr>
        <w:rPr>
          <w:rFonts w:hint="eastAsia" w:ascii="宋体" w:hAnsi="宋体" w:eastAsia="宋体"/>
        </w:rPr>
      </w:pPr>
      <w:r>
        <w:rPr>
          <w:rFonts w:hint="eastAsia" w:ascii="宋体" w:hAnsi="宋体" w:eastAsia="宋体"/>
        </w:rPr>
        <w:t>注：投标人须为招标人提供清单内的全部展品，并须确保活动期间上述展品的使用体验符合招标人活动需要。</w:t>
      </w:r>
    </w:p>
    <w:p>
      <w:pPr>
        <w:rPr>
          <w:rFonts w:hint="eastAsia"/>
        </w:rPr>
      </w:pPr>
    </w:p>
    <w:p>
      <w:pPr>
        <w:pStyle w:val="2"/>
        <w:keepNext w:val="0"/>
        <w:keepLines w:val="0"/>
        <w:pageBreakBefore/>
        <w:spacing w:before="300" w:after="240" w:line="360" w:lineRule="auto"/>
        <w:jc w:val="center"/>
        <w:rPr>
          <w:rFonts w:hint="eastAsia" w:ascii="宋体" w:hAnsi="宋体" w:eastAsia="宋体"/>
          <w:color w:val="000000" w:themeColor="text1"/>
          <w:spacing w:val="20"/>
          <w:sz w:val="36"/>
          <w:szCs w:val="36"/>
          <w14:textFill>
            <w14:solidFill>
              <w14:schemeClr w14:val="tx1"/>
            </w14:solidFill>
          </w14:textFill>
        </w:rPr>
      </w:pPr>
      <w:r>
        <w:rPr>
          <w:rFonts w:hint="eastAsia" w:ascii="宋体" w:hAnsi="宋体" w:eastAsia="宋体"/>
          <w:color w:val="000000" w:themeColor="text1"/>
          <w:spacing w:val="20"/>
          <w:sz w:val="36"/>
          <w:szCs w:val="36"/>
          <w14:textFill>
            <w14:solidFill>
              <w14:schemeClr w14:val="tx1"/>
            </w14:solidFill>
          </w14:textFill>
        </w:rPr>
        <w:t>第三部分</w:t>
      </w:r>
      <w:r>
        <w:rPr>
          <w:rFonts w:ascii="宋体" w:hAnsi="宋体" w:eastAsia="宋体"/>
          <w:color w:val="000000" w:themeColor="text1"/>
          <w:spacing w:val="20"/>
          <w:sz w:val="36"/>
          <w:szCs w:val="36"/>
          <w14:textFill>
            <w14:solidFill>
              <w14:schemeClr w14:val="tx1"/>
            </w14:solidFill>
          </w14:textFill>
        </w:rPr>
        <w:t xml:space="preserve"> </w:t>
      </w:r>
      <w:r>
        <w:rPr>
          <w:rFonts w:hint="eastAsia" w:ascii="宋体" w:hAnsi="宋体" w:eastAsia="宋体"/>
          <w:color w:val="000000" w:themeColor="text1"/>
          <w:spacing w:val="20"/>
          <w:sz w:val="36"/>
          <w:szCs w:val="36"/>
          <w14:textFill>
            <w14:solidFill>
              <w14:schemeClr w14:val="tx1"/>
            </w14:solidFill>
          </w14:textFill>
        </w:rPr>
        <w:t>投标须知前附表</w:t>
      </w:r>
      <w:bookmarkEnd w:id="31"/>
      <w:bookmarkEnd w:id="32"/>
      <w:bookmarkEnd w:id="33"/>
      <w:bookmarkEnd w:id="34"/>
      <w:bookmarkEnd w:id="35"/>
    </w:p>
    <w:p>
      <w:pPr>
        <w:tabs>
          <w:tab w:val="left" w:pos="426"/>
        </w:tabs>
        <w:spacing w:after="156" w:afterLines="50"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本表的条款项号是与投标须知条款项号对应的，或增加的条款，是对第四部分《投标须知》的补充、修改和完善，如果有矛盾的话，应以本表为准。</w:t>
      </w:r>
    </w:p>
    <w:tbl>
      <w:tblPr>
        <w:tblStyle w:val="4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31"/>
        <w:gridCol w:w="76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条款项号</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center"/>
              <w:rPr>
                <w:rFonts w:hint="eastAsia" w:ascii="宋体" w:hAnsi="宋体" w:eastAsia="宋体"/>
                <w:color w:val="000000" w:themeColor="text1"/>
                <w:spacing w:val="20"/>
                <w:sz w:val="22"/>
                <w14:textFill>
                  <w14:solidFill>
                    <w14:schemeClr w14:val="tx1"/>
                  </w14:solidFill>
                </w14:textFill>
              </w:rPr>
            </w:pPr>
            <w:r>
              <w:rPr>
                <w:rFonts w:hint="eastAsia" w:ascii="宋体" w:hAnsi="宋体" w:eastAsia="宋体"/>
                <w:color w:val="000000" w:themeColor="text1"/>
                <w:spacing w:val="20"/>
                <w:sz w:val="22"/>
                <w14:textFill>
                  <w14:solidFill>
                    <w14:schemeClr w14:val="tx1"/>
                  </w14:solidFill>
                </w14:textFill>
              </w:rPr>
              <w:t>对应或增加的条款内容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对第四部分《投标须知》的修改及补充：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一</w:t>
            </w: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2</w:t>
            </w:r>
            <w:r>
              <w:rPr>
                <w:rFonts w:hint="eastAsia" w:ascii="宋体" w:hAnsi="宋体" w:eastAsia="宋体"/>
                <w:color w:val="000000" w:themeColor="text1"/>
                <w:sz w:val="22"/>
                <w:lang w:val="zh-CN"/>
                <w14:textFill>
                  <w14:solidFill>
                    <w14:schemeClr w14:val="tx1"/>
                  </w14:solidFill>
                </w14:textFill>
              </w:rPr>
              <w:t>.2</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资金来源：资金已到位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3</w:t>
            </w:r>
            <w:r>
              <w:rPr>
                <w:rFonts w:hint="eastAsia" w:ascii="宋体" w:hAnsi="宋体" w:eastAsia="宋体"/>
                <w:color w:val="000000" w:themeColor="text1"/>
                <w:sz w:val="22"/>
                <w:lang w:val="zh-CN"/>
                <w14:textFill>
                  <w14:solidFill>
                    <w14:schemeClr w14:val="tx1"/>
                  </w14:solidFill>
                </w14:textFill>
              </w:rPr>
              <w:t>.1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1"/>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招标人</w:t>
            </w:r>
            <w:r>
              <w:rPr>
                <w:rFonts w:ascii="宋体" w:hAnsi="宋体" w:eastAsia="宋体"/>
                <w:color w:val="000000" w:themeColor="text1"/>
                <w:sz w:val="22"/>
                <w14:textFill>
                  <w14:solidFill>
                    <w14:schemeClr w14:val="tx1"/>
                  </w14:solidFill>
                </w14:textFill>
              </w:rPr>
              <w:t>”是指：</w:t>
            </w:r>
            <w:r>
              <w:rPr>
                <w:rFonts w:hint="eastAsia" w:ascii="宋体" w:hAnsi="宋体" w:eastAsia="宋体"/>
                <w:color w:val="000000" w:themeColor="text1"/>
                <w:sz w:val="22"/>
                <w14:textFill>
                  <w14:solidFill>
                    <w14:schemeClr w14:val="tx1"/>
                  </w14:solidFill>
                </w14:textFill>
              </w:rPr>
              <w:t>今日（广东）国际传播有限公司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3</w:t>
            </w:r>
            <w:r>
              <w:rPr>
                <w:rFonts w:hint="eastAsia" w:ascii="宋体" w:hAnsi="宋体" w:eastAsia="宋体"/>
                <w:color w:val="000000" w:themeColor="text1"/>
                <w:sz w:val="22"/>
                <w:lang w:val="zh-CN"/>
                <w14:textFill>
                  <w14:solidFill>
                    <w14:schemeClr w14:val="tx1"/>
                  </w14:solidFill>
                </w14:textFill>
              </w:rPr>
              <w:t>.3</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招标代理机构</w:t>
            </w:r>
            <w:r>
              <w:rPr>
                <w:rFonts w:ascii="宋体" w:hAnsi="宋体" w:eastAsia="宋体"/>
                <w:color w:val="000000" w:themeColor="text1"/>
                <w:sz w:val="22"/>
                <w14:textFill>
                  <w14:solidFill>
                    <w14:schemeClr w14:val="tx1"/>
                  </w14:solidFill>
                </w14:textFill>
              </w:rPr>
              <w:t>”是指：</w:t>
            </w:r>
            <w:r>
              <w:rPr>
                <w:rFonts w:hint="eastAsia" w:ascii="宋体" w:hAnsi="宋体" w:eastAsia="宋体"/>
                <w:color w:val="000000" w:themeColor="text1"/>
                <w:sz w:val="22"/>
                <w14:textFill>
                  <w14:solidFill>
                    <w14:schemeClr w14:val="tx1"/>
                  </w14:solidFill>
                </w14:textFill>
              </w:rPr>
              <w:t>中通服咨询设计研究院有限公司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二</w:t>
            </w: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招标文件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8</w:t>
            </w:r>
            <w:r>
              <w:rPr>
                <w:rFonts w:hint="eastAsia" w:ascii="宋体" w:hAnsi="宋体" w:eastAsia="宋体"/>
                <w:color w:val="000000" w:themeColor="text1"/>
                <w:sz w:val="22"/>
                <w14:textFill>
                  <w14:solidFill>
                    <w14:schemeClr w14:val="tx1"/>
                  </w14:solidFill>
                </w14:textFill>
              </w:rPr>
              <w:t>.1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color w:val="000000" w:themeColor="text1"/>
                <w:sz w:val="22"/>
                <w14:textFill>
                  <w14:solidFill>
                    <w14:schemeClr w14:val="tx1"/>
                  </w14:solidFill>
                </w14:textFill>
              </w:rPr>
            </w:pPr>
            <w:r>
              <w:rPr>
                <w:rFonts w:hint="eastAsia" w:ascii="宋体" w:hAnsi="宋体" w:eastAsia="宋体"/>
                <w:bCs/>
                <w:color w:val="000000" w:themeColor="text1"/>
                <w:sz w:val="22"/>
                <w14:textFill>
                  <w14:solidFill>
                    <w14:schemeClr w14:val="tx1"/>
                  </w14:solidFill>
                </w14:textFill>
              </w:rPr>
              <w:t>答疑会或现场考察：本项目不集中举行答疑会或现场考察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bCs/>
                <w:color w:val="000000" w:themeColor="text1"/>
                <w:sz w:val="22"/>
                <w14:textFill>
                  <w14:solidFill>
                    <w14:schemeClr w14:val="tx1"/>
                  </w14:solidFill>
                </w14:textFill>
              </w:rPr>
            </w:pPr>
            <w:r>
              <w:rPr>
                <w:rFonts w:hint="eastAsia" w:ascii="宋体" w:hAnsi="宋体" w:eastAsia="宋体"/>
                <w:bCs/>
                <w:color w:val="000000" w:themeColor="text1"/>
                <w:sz w:val="22"/>
                <w14:textFill>
                  <w14:solidFill>
                    <w14:schemeClr w14:val="tx1"/>
                  </w14:solidFill>
                </w14:textFill>
              </w:rPr>
              <w:t>三</w:t>
            </w:r>
            <w:r>
              <w:rPr>
                <w:rFonts w:ascii="宋体" w:hAnsi="宋体" w:eastAsia="宋体"/>
                <w:bCs/>
                <w:color w:val="000000" w:themeColor="text1"/>
                <w:sz w:val="22"/>
                <w14:textFill>
                  <w14:solidFill>
                    <w14:schemeClr w14:val="tx1"/>
                  </w14:solidFill>
                </w14:textFill>
              </w:rPr>
              <w:t xml:space="preserve"> </w:t>
            </w:r>
            <w:r>
              <w:rPr>
                <w:rFonts w:hint="eastAsia" w:ascii="宋体" w:hAnsi="宋体" w:eastAsia="宋体"/>
                <w:bCs/>
                <w:color w:val="000000" w:themeColor="text1"/>
                <w:sz w:val="22"/>
                <w14:textFill>
                  <w14:solidFill>
                    <w14:schemeClr w14:val="tx1"/>
                  </w14:solidFill>
                </w14:textFill>
              </w:rPr>
              <w:t>投标文件的编制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w:t>
            </w:r>
            <w:r>
              <w:rPr>
                <w:rFonts w:ascii="宋体" w:hAnsi="宋体" w:eastAsia="宋体"/>
                <w:color w:val="000000" w:themeColor="text1"/>
                <w:sz w:val="22"/>
                <w14:textFill>
                  <w14:solidFill>
                    <w14:schemeClr w14:val="tx1"/>
                  </w14:solidFill>
                </w14:textFill>
              </w:rPr>
              <w:t>2.5</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投标人所报的投标价在合同执行过程中是固定不变的，不得以任何不正当理由予以变更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12.6</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bCs/>
                <w:color w:val="000000" w:themeColor="text1"/>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不允许有备选方案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12.7</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bCs/>
                <w:color w:val="000000" w:themeColor="text1"/>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不允许附加条件报价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14.1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本项目不接受联合体投标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15.1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本项目不属于政府采购项目。</w:t>
            </w:r>
          </w:p>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本项目落实政府采购政策需满足的要求：无。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bCs/>
                <w:color w:val="000000" w:themeColor="text1"/>
                <w:spacing w:val="-4"/>
                <w:sz w:val="22"/>
                <w14:textFill>
                  <w14:solidFill>
                    <w14:schemeClr w14:val="tx1"/>
                  </w14:solidFill>
                </w14:textFill>
              </w:rPr>
            </w:pPr>
            <w:r>
              <w:rPr>
                <w:rFonts w:ascii="宋体" w:hAnsi="宋体" w:eastAsia="宋体"/>
                <w:bCs/>
                <w:color w:val="000000" w:themeColor="text1"/>
                <w:spacing w:val="-4"/>
                <w:sz w:val="22"/>
                <w14:textFill>
                  <w14:solidFill>
                    <w14:schemeClr w14:val="tx1"/>
                  </w14:solidFill>
                </w14:textFill>
              </w:rPr>
              <w:t>17</w:t>
            </w:r>
            <w:r>
              <w:rPr>
                <w:rFonts w:hint="eastAsia" w:ascii="宋体" w:hAnsi="宋体" w:eastAsia="宋体"/>
                <w:bCs/>
                <w:color w:val="000000" w:themeColor="text1"/>
                <w:spacing w:val="-4"/>
                <w:sz w:val="22"/>
                <w14:textFill>
                  <w14:solidFill>
                    <w14:schemeClr w14:val="tx1"/>
                  </w14:solidFill>
                </w14:textFill>
              </w:rPr>
              <w:t>.1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投标人投标时须递交投标保证金为：</w:t>
            </w:r>
          </w:p>
          <w:p>
            <w:pPr>
              <w:spacing w:line="360" w:lineRule="auto"/>
              <w:ind w:right="-183"/>
              <w:rPr>
                <w:rFonts w:hint="eastAsia" w:ascii="宋体" w:hAnsi="宋体" w:eastAsia="宋体"/>
                <w:bCs/>
                <w:color w:val="000000" w:themeColor="text1"/>
                <w:spacing w:val="-4"/>
                <w:sz w:val="24"/>
                <w:szCs w:val="24"/>
                <w14:textFill>
                  <w14:solidFill>
                    <w14:schemeClr w14:val="tx1"/>
                  </w14:solidFill>
                </w14:textFill>
              </w:rPr>
            </w:pPr>
            <w:r>
              <w:rPr>
                <w:rFonts w:ascii="宋体" w:hAnsi="宋体" w:eastAsia="宋体"/>
                <w:bCs/>
                <w:color w:val="000000" w:themeColor="text1"/>
                <w:spacing w:val="-4"/>
                <w:sz w:val="22"/>
                <w14:textFill>
                  <w14:solidFill>
                    <w14:schemeClr w14:val="tx1"/>
                  </w14:solidFill>
                </w14:textFill>
              </w:rPr>
              <w:t>金额：（大写）</w:t>
            </w:r>
            <w:r>
              <w:rPr>
                <w:rFonts w:hint="eastAsia" w:ascii="宋体" w:hAnsi="宋体" w:eastAsia="宋体"/>
                <w:bCs/>
                <w:color w:val="000000" w:themeColor="text1"/>
                <w:spacing w:val="-4"/>
                <w:sz w:val="22"/>
                <w:u w:val="single"/>
                <w14:textFill>
                  <w14:solidFill>
                    <w14:schemeClr w14:val="tx1"/>
                  </w14:solidFill>
                </w14:textFill>
              </w:rPr>
              <w:t>壹万</w:t>
            </w:r>
            <w:r>
              <w:rPr>
                <w:rFonts w:ascii="宋体" w:hAnsi="宋体" w:eastAsia="宋体"/>
                <w:bCs/>
                <w:color w:val="000000" w:themeColor="text1"/>
                <w:spacing w:val="-4"/>
                <w:sz w:val="22"/>
                <w:u w:val="single"/>
                <w14:textFill>
                  <w14:solidFill>
                    <w14:schemeClr w14:val="tx1"/>
                  </w14:solidFill>
                </w14:textFill>
              </w:rPr>
              <w:t>元整</w:t>
            </w:r>
            <w:r>
              <w:rPr>
                <w:rFonts w:hint="eastAsia" w:ascii="宋体" w:hAnsi="宋体" w:eastAsia="宋体"/>
                <w:bCs/>
                <w:color w:val="000000" w:themeColor="text1"/>
                <w:spacing w:val="-4"/>
                <w:sz w:val="22"/>
                <w14:textFill>
                  <w14:solidFill>
                    <w14:schemeClr w14:val="tx1"/>
                  </w14:solidFill>
                </w14:textFill>
              </w:rPr>
              <w:t>，（小写）</w:t>
            </w:r>
            <w:r>
              <w:rPr>
                <w:rFonts w:ascii="宋体" w:hAnsi="宋体" w:eastAsia="宋体" w:cs="Calibri"/>
                <w:bCs/>
                <w:color w:val="000000" w:themeColor="text1"/>
                <w:spacing w:val="-4"/>
                <w:sz w:val="24"/>
                <w:szCs w:val="24"/>
                <w:u w:val="single"/>
                <w14:textFill>
                  <w14:solidFill>
                    <w14:schemeClr w14:val="tx1"/>
                  </w14:solidFill>
                </w14:textFill>
              </w:rPr>
              <w:t>¥</w:t>
            </w:r>
            <w:r>
              <w:rPr>
                <w:rFonts w:hint="eastAsia" w:ascii="宋体" w:hAnsi="宋体" w:eastAsia="宋体"/>
                <w:bCs/>
                <w:color w:val="000000" w:themeColor="text1"/>
                <w:spacing w:val="-4"/>
                <w:sz w:val="24"/>
                <w:szCs w:val="24"/>
                <w:u w:val="single"/>
                <w14:textFill>
                  <w14:solidFill>
                    <w14:schemeClr w14:val="tx1"/>
                  </w14:solidFill>
                </w14:textFill>
              </w:rPr>
              <w:t>10000.00</w:t>
            </w:r>
            <w:r>
              <w:rPr>
                <w:rFonts w:hint="eastAsia" w:ascii="宋体" w:hAnsi="宋体" w:eastAsia="宋体"/>
                <w:bCs/>
                <w:color w:val="000000" w:themeColor="text1"/>
                <w:spacing w:val="-4"/>
                <w:sz w:val="24"/>
                <w:szCs w:val="24"/>
                <w14:textFill>
                  <w14:solidFill>
                    <w14:schemeClr w14:val="tx1"/>
                  </w14:solidFill>
                </w14:textFill>
              </w:rPr>
              <w:t>元</w:t>
            </w:r>
          </w:p>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ascii="宋体" w:hAnsi="宋体" w:eastAsia="宋体"/>
                <w:bCs/>
                <w:color w:val="000000" w:themeColor="text1"/>
                <w:spacing w:val="-4"/>
                <w:sz w:val="22"/>
                <w14:textFill>
                  <w14:solidFill>
                    <w14:schemeClr w14:val="tx1"/>
                  </w14:solidFill>
                </w14:textFill>
              </w:rPr>
              <w:t>缴纳截止时间</w:t>
            </w:r>
            <w:r>
              <w:rPr>
                <w:rFonts w:hint="eastAsia" w:ascii="宋体" w:hAnsi="宋体" w:eastAsia="宋体"/>
                <w:bCs/>
                <w:color w:val="000000" w:themeColor="text1"/>
                <w:spacing w:val="-4"/>
                <w:sz w:val="22"/>
                <w14:textFill>
                  <w14:solidFill>
                    <w14:schemeClr w14:val="tx1"/>
                  </w14:solidFill>
                </w14:textFill>
              </w:rPr>
              <w:t>：同</w:t>
            </w:r>
            <w:r>
              <w:rPr>
                <w:rFonts w:ascii="宋体" w:hAnsi="宋体" w:eastAsia="宋体"/>
                <w:bCs/>
                <w:color w:val="000000" w:themeColor="text1"/>
                <w:spacing w:val="-4"/>
                <w:sz w:val="22"/>
                <w14:textFill>
                  <w14:solidFill>
                    <w14:schemeClr w14:val="tx1"/>
                  </w14:solidFill>
                </w14:textFill>
              </w:rPr>
              <w:t>本项目</w:t>
            </w:r>
            <w:r>
              <w:rPr>
                <w:rFonts w:hint="eastAsia" w:ascii="宋体" w:hAnsi="宋体" w:eastAsia="宋体"/>
                <w:bCs/>
                <w:color w:val="000000" w:themeColor="text1"/>
                <w:spacing w:val="-4"/>
                <w:sz w:val="22"/>
                <w14:textFill>
                  <w14:solidFill>
                    <w14:schemeClr w14:val="tx1"/>
                  </w14:solidFill>
                </w14:textFill>
              </w:rPr>
              <w:t>开标</w:t>
            </w:r>
            <w:r>
              <w:rPr>
                <w:rFonts w:ascii="宋体" w:hAnsi="宋体" w:eastAsia="宋体"/>
                <w:bCs/>
                <w:color w:val="000000" w:themeColor="text1"/>
                <w:spacing w:val="-4"/>
                <w:sz w:val="22"/>
                <w14:textFill>
                  <w14:solidFill>
                    <w14:schemeClr w14:val="tx1"/>
                  </w14:solidFill>
                </w14:textFill>
              </w:rPr>
              <w:t>时间</w:t>
            </w:r>
            <w:r>
              <w:rPr>
                <w:rFonts w:hint="eastAsia" w:ascii="宋体" w:hAnsi="宋体" w:eastAsia="宋体"/>
                <w:bCs/>
                <w:color w:val="000000" w:themeColor="text1"/>
                <w:spacing w:val="-4"/>
                <w:sz w:val="22"/>
                <w14:textFill>
                  <w14:solidFill>
                    <w14:schemeClr w14:val="tx1"/>
                  </w14:solidFill>
                </w14:textFill>
              </w:rPr>
              <w:t>（见招标公告）</w:t>
            </w:r>
            <w:r>
              <w:rPr>
                <w:rFonts w:ascii="宋体" w:hAnsi="宋体" w:eastAsia="宋体"/>
                <w:bCs/>
                <w:color w:val="000000" w:themeColor="text1"/>
                <w:spacing w:val="-4"/>
                <w:sz w:val="22"/>
                <w14:textFill>
                  <w14:solidFill>
                    <w14:schemeClr w14:val="tx1"/>
                  </w14:solidFill>
                </w14:textFill>
              </w:rPr>
              <w:t>，以</w:t>
            </w:r>
            <w:r>
              <w:rPr>
                <w:rFonts w:hint="eastAsia" w:ascii="宋体" w:hAnsi="宋体" w:eastAsia="宋体"/>
                <w:bCs/>
                <w:color w:val="000000" w:themeColor="text1"/>
                <w:spacing w:val="-4"/>
                <w:sz w:val="22"/>
                <w14:textFill>
                  <w14:solidFill>
                    <w14:schemeClr w14:val="tx1"/>
                  </w14:solidFill>
                </w14:textFill>
              </w:rPr>
              <w:t>投标</w:t>
            </w:r>
            <w:r>
              <w:rPr>
                <w:rFonts w:ascii="宋体" w:hAnsi="宋体" w:eastAsia="宋体"/>
                <w:bCs/>
                <w:color w:val="000000" w:themeColor="text1"/>
                <w:spacing w:val="-4"/>
                <w:sz w:val="22"/>
                <w14:textFill>
                  <w14:solidFill>
                    <w14:schemeClr w14:val="tx1"/>
                  </w14:solidFill>
                </w14:textFill>
              </w:rPr>
              <w:t>保证金账户实际收款时间为准</w:t>
            </w:r>
            <w:r>
              <w:rPr>
                <w:rFonts w:hint="eastAsia" w:ascii="宋体" w:hAnsi="宋体" w:eastAsia="宋体"/>
                <w:bCs/>
                <w:color w:val="000000" w:themeColor="text1"/>
                <w:spacing w:val="-4"/>
                <w:sz w:val="22"/>
                <w14:textFill>
                  <w14:solidFill>
                    <w14:schemeClr w14:val="tx1"/>
                  </w14:solidFill>
                </w14:textFill>
              </w:rPr>
              <w:t>。</w:t>
            </w:r>
          </w:p>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ascii="宋体" w:hAnsi="宋体" w:eastAsia="宋体"/>
                <w:bCs/>
                <w:color w:val="000000" w:themeColor="text1"/>
                <w:spacing w:val="-4"/>
                <w:sz w:val="22"/>
                <w14:textFill>
                  <w14:solidFill>
                    <w14:schemeClr w14:val="tx1"/>
                  </w14:solidFill>
                </w14:textFill>
              </w:rPr>
              <w:t>缴纳</w:t>
            </w:r>
            <w:r>
              <w:rPr>
                <w:rFonts w:hint="eastAsia" w:ascii="宋体" w:hAnsi="宋体" w:eastAsia="宋体"/>
                <w:bCs/>
                <w:color w:val="000000" w:themeColor="text1"/>
                <w:spacing w:val="-4"/>
                <w:sz w:val="22"/>
                <w14:textFill>
                  <w14:solidFill>
                    <w14:schemeClr w14:val="tx1"/>
                  </w14:solidFill>
                </w14:textFill>
              </w:rPr>
              <w:t>投标</w:t>
            </w:r>
            <w:r>
              <w:rPr>
                <w:rFonts w:ascii="宋体" w:hAnsi="宋体" w:eastAsia="宋体"/>
                <w:bCs/>
                <w:color w:val="000000" w:themeColor="text1"/>
                <w:spacing w:val="-4"/>
                <w:sz w:val="22"/>
                <w14:textFill>
                  <w14:solidFill>
                    <w14:schemeClr w14:val="tx1"/>
                  </w14:solidFill>
                </w14:textFill>
              </w:rPr>
              <w:t>保证金账户信息：</w:t>
            </w:r>
          </w:p>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ascii="宋体" w:hAnsi="宋体" w:eastAsia="宋体"/>
                <w:bCs/>
                <w:color w:val="000000" w:themeColor="text1"/>
                <w:spacing w:val="-4"/>
                <w:sz w:val="22"/>
                <w14:textFill>
                  <w14:solidFill>
                    <w14:schemeClr w14:val="tx1"/>
                  </w14:solidFill>
                </w14:textFill>
              </w:rPr>
              <w:t>账户名称：中通服咨询设计研究院有限公司</w:t>
            </w:r>
          </w:p>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ascii="宋体" w:hAnsi="宋体" w:eastAsia="宋体"/>
                <w:bCs/>
                <w:color w:val="000000" w:themeColor="text1"/>
                <w:spacing w:val="-4"/>
                <w:sz w:val="22"/>
                <w14:textFill>
                  <w14:solidFill>
                    <w14:schemeClr w14:val="tx1"/>
                  </w14:solidFill>
                </w14:textFill>
              </w:rPr>
              <w:t>账号：12590209571000100000156</w:t>
            </w:r>
          </w:p>
          <w:p>
            <w:pPr>
              <w:spacing w:line="360" w:lineRule="auto"/>
              <w:ind w:right="-183"/>
              <w:rPr>
                <w:rFonts w:hint="eastAsia" w:ascii="宋体" w:hAnsi="宋体" w:eastAsia="宋体"/>
                <w:bCs/>
                <w:color w:val="000000" w:themeColor="text1"/>
                <w:spacing w:val="-4"/>
                <w:sz w:val="22"/>
                <w14:textFill>
                  <w14:solidFill>
                    <w14:schemeClr w14:val="tx1"/>
                  </w14:solidFill>
                </w14:textFill>
              </w:rPr>
            </w:pPr>
            <w:r>
              <w:rPr>
                <w:rFonts w:ascii="宋体" w:hAnsi="宋体" w:eastAsia="宋体"/>
                <w:bCs/>
                <w:color w:val="000000" w:themeColor="text1"/>
                <w:spacing w:val="-4"/>
                <w:sz w:val="22"/>
                <w14:textFill>
                  <w14:solidFill>
                    <w14:schemeClr w14:val="tx1"/>
                  </w14:solidFill>
                </w14:textFill>
              </w:rPr>
              <w:t>开户银行：</w:t>
            </w:r>
            <w:r>
              <w:rPr>
                <w:rFonts w:hint="eastAsia" w:ascii="宋体" w:hAnsi="宋体" w:eastAsia="宋体"/>
                <w:bCs/>
                <w:color w:val="000000" w:themeColor="text1"/>
                <w:spacing w:val="-4"/>
                <w:sz w:val="22"/>
                <w14:textFill>
                  <w14:solidFill>
                    <w14:schemeClr w14:val="tx1"/>
                  </w14:solidFill>
                </w14:textFill>
              </w:rPr>
              <w:t>招商银行股份有限公司南京中山北路支行</w:t>
            </w:r>
          </w:p>
          <w:p>
            <w:pPr>
              <w:spacing w:line="360" w:lineRule="auto"/>
              <w:ind w:right="-183"/>
              <w:rPr>
                <w:rFonts w:hint="eastAsia" w:ascii="宋体" w:hAnsi="宋体" w:eastAsia="宋体" w:cs="Arial"/>
                <w:sz w:val="22"/>
                <w:u w:val="single"/>
              </w:rPr>
            </w:pPr>
            <w:r>
              <w:rPr>
                <w:rFonts w:hint="eastAsia" w:ascii="宋体" w:hAnsi="宋体" w:eastAsia="宋体"/>
                <w:bCs/>
                <w:color w:val="000000" w:themeColor="text1"/>
                <w:spacing w:val="-4"/>
                <w:sz w:val="22"/>
                <w14:textFill>
                  <w14:solidFill>
                    <w14:schemeClr w14:val="tx1"/>
                  </w14:solidFill>
                </w14:textFill>
              </w:rPr>
              <w:t>缴纳时需备注“XXX公司+XXX项目投标保证金”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bCs/>
                <w:color w:val="000000" w:themeColor="text1"/>
                <w:spacing w:val="-4"/>
                <w:sz w:val="22"/>
                <w14:textFill>
                  <w14:solidFill>
                    <w14:schemeClr w14:val="tx1"/>
                  </w14:solidFill>
                </w14:textFill>
              </w:rPr>
            </w:pPr>
            <w:r>
              <w:rPr>
                <w:rFonts w:hint="eastAsia" w:ascii="宋体" w:hAnsi="宋体" w:eastAsia="宋体"/>
                <w:bCs/>
                <w:color w:val="000000" w:themeColor="text1"/>
                <w:spacing w:val="-4"/>
                <w:sz w:val="22"/>
                <w14:textFill>
                  <w14:solidFill>
                    <w14:schemeClr w14:val="tx1"/>
                  </w14:solidFill>
                </w14:textFill>
              </w:rPr>
              <w:t>1</w:t>
            </w:r>
            <w:r>
              <w:rPr>
                <w:rFonts w:ascii="宋体" w:hAnsi="宋体" w:eastAsia="宋体"/>
                <w:bCs/>
                <w:color w:val="000000" w:themeColor="text1"/>
                <w:spacing w:val="-4"/>
                <w:sz w:val="22"/>
                <w14:textFill>
                  <w14:solidFill>
                    <w14:schemeClr w14:val="tx1"/>
                  </w14:solidFill>
                </w14:textFill>
              </w:rPr>
              <w:t>7</w:t>
            </w:r>
            <w:r>
              <w:rPr>
                <w:rFonts w:hint="eastAsia" w:ascii="宋体" w:hAnsi="宋体" w:eastAsia="宋体"/>
                <w:bCs/>
                <w:color w:val="000000" w:themeColor="text1"/>
                <w:spacing w:val="-4"/>
                <w:sz w:val="22"/>
                <w14:textFill>
                  <w14:solidFill>
                    <w14:schemeClr w14:val="tx1"/>
                  </w14:solidFill>
                </w14:textFill>
              </w:rPr>
              <w:t>.2</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bCs/>
                <w:color w:val="000000" w:themeColor="text1"/>
                <w:sz w:val="22"/>
                <w14:textFill>
                  <w14:solidFill>
                    <w14:schemeClr w14:val="tx1"/>
                  </w14:solidFill>
                </w14:textFill>
              </w:rPr>
            </w:pPr>
            <w:r>
              <w:rPr>
                <w:rFonts w:hint="eastAsia" w:ascii="宋体" w:hAnsi="宋体" w:eastAsia="宋体"/>
                <w:bCs/>
                <w:color w:val="000000" w:themeColor="text1"/>
                <w:sz w:val="22"/>
                <w14:textFill>
                  <w14:solidFill>
                    <w14:schemeClr w14:val="tx1"/>
                  </w14:solidFill>
                </w14:textFill>
              </w:rPr>
              <w:t>投标保证金作为供应商投标的组成部分，与投标文件一同递交。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183"/>
              <w:jc w:val="left"/>
              <w:rPr>
                <w:rFonts w:hint="eastAsia" w:ascii="宋体" w:hAnsi="宋体" w:eastAsia="宋体"/>
                <w:bCs/>
                <w:color w:val="000000" w:themeColor="text1"/>
                <w:spacing w:val="-4"/>
                <w:sz w:val="22"/>
                <w14:textFill>
                  <w14:solidFill>
                    <w14:schemeClr w14:val="tx1"/>
                  </w14:solidFill>
                </w14:textFill>
              </w:rPr>
            </w:pPr>
            <w:r>
              <w:rPr>
                <w:rFonts w:hint="eastAsia" w:ascii="宋体" w:hAnsi="宋体" w:eastAsia="宋体"/>
                <w:bCs/>
                <w:color w:val="000000" w:themeColor="text1"/>
                <w:sz w:val="22"/>
                <w14:textFill>
                  <w14:solidFill>
                    <w14:schemeClr w14:val="tx1"/>
                  </w14:solidFill>
                </w14:textFill>
              </w:rPr>
              <w:t>1</w:t>
            </w:r>
            <w:r>
              <w:rPr>
                <w:rFonts w:ascii="宋体" w:hAnsi="宋体" w:eastAsia="宋体"/>
                <w:bCs/>
                <w:color w:val="000000" w:themeColor="text1"/>
                <w:sz w:val="22"/>
                <w14:textFill>
                  <w14:solidFill>
                    <w14:schemeClr w14:val="tx1"/>
                  </w14:solidFill>
                </w14:textFill>
              </w:rPr>
              <w:t>7</w:t>
            </w:r>
            <w:r>
              <w:rPr>
                <w:rFonts w:hint="eastAsia" w:ascii="宋体" w:hAnsi="宋体" w:eastAsia="宋体"/>
                <w:bCs/>
                <w:color w:val="000000" w:themeColor="text1"/>
                <w:sz w:val="22"/>
                <w14:textFill>
                  <w14:solidFill>
                    <w14:schemeClr w14:val="tx1"/>
                  </w14:solidFill>
                </w14:textFill>
              </w:rPr>
              <w:t>.3</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bCs/>
                <w:color w:val="000000" w:themeColor="text1"/>
                <w:sz w:val="22"/>
                <w14:textFill>
                  <w14:solidFill>
                    <w14:schemeClr w14:val="tx1"/>
                  </w14:solidFill>
                </w14:textFill>
              </w:rPr>
            </w:pPr>
            <w:r>
              <w:rPr>
                <w:rFonts w:hint="eastAsia" w:ascii="宋体" w:hAnsi="宋体" w:eastAsia="宋体"/>
                <w:bCs/>
                <w:color w:val="000000" w:themeColor="text1"/>
                <w:sz w:val="22"/>
                <w14:textFill>
                  <w14:solidFill>
                    <w14:schemeClr w14:val="tx1"/>
                  </w14:solidFill>
                </w14:textFill>
              </w:rPr>
              <w:t>投标人应按要求提交投标保证金。本项目投标保证金采用非现金转账形式提交。投标人与交款人名称必须一致，非投标人缴纳的投标保证金无效。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18</w:t>
            </w:r>
            <w:r>
              <w:rPr>
                <w:rFonts w:hint="eastAsia" w:ascii="宋体" w:hAnsi="宋体" w:eastAsia="宋体"/>
                <w:color w:val="000000" w:themeColor="text1"/>
                <w:sz w:val="22"/>
                <w:lang w:val="zh-CN"/>
                <w14:textFill>
                  <w14:solidFill>
                    <w14:schemeClr w14:val="tx1"/>
                  </w14:solidFill>
                </w14:textFill>
              </w:rPr>
              <w:t>.1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40"/>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投标有效期：递交投标文件截止日后</w:t>
            </w:r>
            <w:r>
              <w:rPr>
                <w:rFonts w:ascii="宋体" w:hAnsi="宋体" w:eastAsia="宋体"/>
                <w:color w:val="000000" w:themeColor="text1"/>
                <w:sz w:val="22"/>
                <w:u w:val="single"/>
                <w:lang w:val="zh-CN"/>
                <w14:textFill>
                  <w14:solidFill>
                    <w14:schemeClr w14:val="tx1"/>
                  </w14:solidFill>
                </w14:textFill>
              </w:rPr>
              <w:t xml:space="preserve"> 90 </w:t>
            </w:r>
            <w:r>
              <w:rPr>
                <w:rFonts w:hint="eastAsia" w:ascii="宋体" w:hAnsi="宋体" w:eastAsia="宋体"/>
                <w:color w:val="000000" w:themeColor="text1"/>
                <w:sz w:val="22"/>
                <w:lang w:val="zh-CN"/>
                <w14:textFill>
                  <w14:solidFill>
                    <w14:schemeClr w14:val="tx1"/>
                  </w14:solidFill>
                </w14:textFill>
              </w:rPr>
              <w:t>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19</w:t>
            </w:r>
            <w:r>
              <w:rPr>
                <w:rFonts w:hint="eastAsia" w:ascii="宋体" w:hAnsi="宋体" w:eastAsia="宋体"/>
                <w:color w:val="000000" w:themeColor="text1"/>
                <w:sz w:val="22"/>
                <w:lang w:val="zh-CN"/>
                <w14:textFill>
                  <w14:solidFill>
                    <w14:schemeClr w14:val="tx1"/>
                  </w14:solidFill>
                </w14:textFill>
              </w:rPr>
              <w:t>.1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4"/>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投标文件份数：</w:t>
            </w:r>
            <w:r>
              <w:rPr>
                <w:rFonts w:ascii="宋体" w:hAnsi="宋体" w:eastAsia="宋体"/>
                <w:color w:val="000000" w:themeColor="text1"/>
                <w:sz w:val="22"/>
                <w:lang w:val="zh-CN"/>
                <w14:textFill>
                  <w14:solidFill>
                    <w14:schemeClr w14:val="tx1"/>
                  </w14:solidFill>
                </w14:textFill>
              </w:rPr>
              <w:t>正本一份，副本</w:t>
            </w:r>
            <w:r>
              <w:rPr>
                <w:rFonts w:hint="eastAsia" w:ascii="宋体" w:hAnsi="宋体" w:eastAsia="宋体"/>
                <w:color w:val="000000" w:themeColor="text1"/>
                <w:sz w:val="22"/>
                <w14:textFill>
                  <w14:solidFill>
                    <w14:schemeClr w14:val="tx1"/>
                  </w14:solidFill>
                </w14:textFill>
              </w:rPr>
              <w:t>四</w:t>
            </w:r>
            <w:r>
              <w:rPr>
                <w:rFonts w:ascii="宋体" w:hAnsi="宋体" w:eastAsia="宋体"/>
                <w:color w:val="000000" w:themeColor="text1"/>
                <w:sz w:val="22"/>
                <w:lang w:val="zh-CN"/>
                <w14:textFill>
                  <w14:solidFill>
                    <w14:schemeClr w14:val="tx1"/>
                  </w14:solidFill>
                </w14:textFill>
              </w:rPr>
              <w:t>份，电子文件</w:t>
            </w:r>
            <w:r>
              <w:rPr>
                <w:rFonts w:hint="eastAsia" w:ascii="宋体" w:hAnsi="宋体" w:eastAsia="宋体"/>
                <w:color w:val="000000" w:themeColor="text1"/>
                <w:sz w:val="22"/>
                <w:lang w:val="zh-CN"/>
                <w14:textFill>
                  <w14:solidFill>
                    <w14:schemeClr w14:val="tx1"/>
                  </w14:solidFill>
                </w14:textFill>
              </w:rPr>
              <w:t>一</w:t>
            </w:r>
            <w:r>
              <w:rPr>
                <w:rFonts w:ascii="宋体" w:hAnsi="宋体" w:eastAsia="宋体"/>
                <w:color w:val="000000" w:themeColor="text1"/>
                <w:sz w:val="22"/>
                <w:lang w:val="zh-CN"/>
                <w14:textFill>
                  <w14:solidFill>
                    <w14:schemeClr w14:val="tx1"/>
                  </w14:solidFill>
                </w14:textFill>
              </w:rPr>
              <w:t>份</w:t>
            </w:r>
            <w:r>
              <w:rPr>
                <w:rFonts w:hint="eastAsia" w:ascii="宋体" w:hAnsi="宋体" w:eastAsia="宋体"/>
                <w:color w:val="000000" w:themeColor="text1"/>
                <w:sz w:val="22"/>
                <w:lang w:val="zh-CN"/>
                <w14:textFill>
                  <w14:solidFill>
                    <w14:schemeClr w14:val="tx1"/>
                  </w14:solidFill>
                </w14:textFill>
              </w:rPr>
              <w:t>，唱标信封一个。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ind w:right="-4"/>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五</w:t>
            </w:r>
            <w:r>
              <w:rPr>
                <w:rFonts w:ascii="宋体" w:hAnsi="宋体" w:eastAsia="宋体"/>
                <w:color w:val="000000" w:themeColor="text1"/>
                <w:sz w:val="22"/>
                <w:lang w:val="zh-CN"/>
                <w14:textFill>
                  <w14:solidFill>
                    <w14:schemeClr w14:val="tx1"/>
                  </w14:solidFill>
                </w14:textFill>
              </w:rPr>
              <w:t xml:space="preserve"> </w:t>
            </w:r>
            <w:r>
              <w:rPr>
                <w:rFonts w:hint="eastAsia" w:ascii="宋体" w:hAnsi="宋体" w:eastAsia="宋体"/>
                <w:color w:val="000000" w:themeColor="text1"/>
                <w:sz w:val="22"/>
                <w:lang w:val="zh-CN"/>
                <w14:textFill>
                  <w14:solidFill>
                    <w14:schemeClr w14:val="tx1"/>
                  </w14:solidFill>
                </w14:textFill>
              </w:rPr>
              <w:t>开标与评标准则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4"/>
              <w:jc w:val="left"/>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2</w:t>
            </w:r>
            <w:r>
              <w:rPr>
                <w:rFonts w:ascii="宋体" w:hAnsi="宋体" w:eastAsia="宋体"/>
                <w:color w:val="000000" w:themeColor="text1"/>
                <w:sz w:val="22"/>
                <w:lang w:val="zh-CN"/>
                <w14:textFill>
                  <w14:solidFill>
                    <w14:schemeClr w14:val="tx1"/>
                  </w14:solidFill>
                </w14:textFill>
              </w:rPr>
              <w:t>5.2</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4"/>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评标委员会由</w:t>
            </w:r>
            <w:r>
              <w:rPr>
                <w:rFonts w:hint="eastAsia" w:ascii="宋体" w:hAnsi="宋体" w:eastAsia="宋体"/>
                <w:color w:val="000000" w:themeColor="text1"/>
                <w:sz w:val="22"/>
                <w14:textFill>
                  <w14:solidFill>
                    <w14:schemeClr w14:val="tx1"/>
                  </w14:solidFill>
                </w14:textFill>
              </w:rPr>
              <w:t>招标</w:t>
            </w:r>
            <w:r>
              <w:rPr>
                <w:rFonts w:hint="eastAsia" w:ascii="宋体" w:hAnsi="宋体" w:eastAsia="宋体"/>
                <w:color w:val="000000" w:themeColor="text1"/>
                <w:sz w:val="22"/>
                <w:lang w:val="zh-CN"/>
                <w14:textFill>
                  <w14:solidFill>
                    <w14:schemeClr w14:val="tx1"/>
                  </w14:solidFill>
                </w14:textFill>
              </w:rPr>
              <w:t>人</w:t>
            </w:r>
            <w:r>
              <w:rPr>
                <w:rFonts w:hint="eastAsia" w:ascii="宋体" w:hAnsi="宋体" w:eastAsia="宋体"/>
                <w:color w:val="000000" w:themeColor="text1"/>
                <w:sz w:val="22"/>
                <w14:textFill>
                  <w14:solidFill>
                    <w14:schemeClr w14:val="tx1"/>
                  </w14:solidFill>
                </w14:textFill>
              </w:rPr>
              <w:t>依法组建</w:t>
            </w:r>
            <w:r>
              <w:rPr>
                <w:rFonts w:hint="eastAsia" w:ascii="宋体" w:hAnsi="宋体" w:eastAsia="宋体"/>
                <w:color w:val="000000" w:themeColor="text1"/>
                <w:sz w:val="22"/>
                <w:lang w:val="zh-CN"/>
                <w14:textFill>
                  <w14:solidFill>
                    <w14:schemeClr w14:val="tx1"/>
                  </w14:solidFill>
                </w14:textFill>
              </w:rPr>
              <w:t>，成员人数为</w:t>
            </w:r>
            <w:r>
              <w:rPr>
                <w:rFonts w:ascii="宋体" w:hAnsi="宋体" w:eastAsia="宋体"/>
                <w:color w:val="000000" w:themeColor="text1"/>
                <w:sz w:val="22"/>
                <w:lang w:val="zh-CN"/>
                <w14:textFill>
                  <w14:solidFill>
                    <w14:schemeClr w14:val="tx1"/>
                  </w14:solidFill>
                </w14:textFill>
              </w:rPr>
              <w:t>5</w:t>
            </w:r>
            <w:r>
              <w:rPr>
                <w:rFonts w:hint="eastAsia" w:ascii="宋体" w:hAnsi="宋体" w:eastAsia="宋体"/>
                <w:color w:val="000000" w:themeColor="text1"/>
                <w:sz w:val="22"/>
                <w:lang w:val="zh-CN"/>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4"/>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25</w:t>
            </w:r>
            <w:r>
              <w:rPr>
                <w:rFonts w:hint="eastAsia" w:ascii="宋体" w:hAnsi="宋体" w:eastAsia="宋体"/>
                <w:color w:val="000000" w:themeColor="text1"/>
                <w:sz w:val="22"/>
                <w:lang w:val="zh-CN"/>
                <w14:textFill>
                  <w14:solidFill>
                    <w14:schemeClr w14:val="tx1"/>
                  </w14:solidFill>
                </w14:textFill>
              </w:rPr>
              <w:t>.5</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4"/>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评标方法：采用综合评分法，详见第五部分。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六</w:t>
            </w:r>
            <w:r>
              <w:rPr>
                <w:rFonts w:ascii="宋体" w:hAnsi="宋体" w:eastAsia="宋体"/>
                <w:color w:val="000000" w:themeColor="text1"/>
                <w:sz w:val="22"/>
                <w:lang w:val="zh-CN"/>
                <w14:textFill>
                  <w14:solidFill>
                    <w14:schemeClr w14:val="tx1"/>
                  </w14:solidFill>
                </w14:textFill>
              </w:rPr>
              <w:t xml:space="preserve"> </w:t>
            </w:r>
            <w:r>
              <w:rPr>
                <w:rFonts w:hint="eastAsia" w:ascii="宋体" w:hAnsi="宋体" w:eastAsia="宋体"/>
                <w:color w:val="000000" w:themeColor="text1"/>
                <w:sz w:val="22"/>
                <w:lang w:val="zh-CN"/>
                <w14:textFill>
                  <w14:solidFill>
                    <w14:schemeClr w14:val="tx1"/>
                  </w14:solidFill>
                </w14:textFill>
              </w:rPr>
              <w:t>授予合同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4"/>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3</w:t>
            </w:r>
            <w:r>
              <w:rPr>
                <w:rFonts w:hint="eastAsia" w:ascii="宋体" w:hAnsi="宋体" w:eastAsia="宋体"/>
                <w:color w:val="000000" w:themeColor="text1"/>
                <w:sz w:val="22"/>
                <w:lang w:val="zh-CN"/>
                <w14:textFill>
                  <w14:solidFill>
                    <w14:schemeClr w14:val="tx1"/>
                  </w14:solidFill>
                </w14:textFill>
              </w:rPr>
              <w:t>2.1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4"/>
              <w:rPr>
                <w:rFonts w:hint="eastAsia" w:ascii="宋体" w:hAnsi="宋体" w:eastAsia="宋体"/>
                <w:color w:val="000000" w:themeColor="text1"/>
                <w:sz w:val="22"/>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合同签订时间：自《中标通知书》发出之日起30日内。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645" w:type="pct"/>
            <w:tcBorders>
              <w:top w:val="single" w:color="auto" w:sz="4" w:space="0"/>
              <w:left w:val="single" w:color="auto" w:sz="4" w:space="0"/>
              <w:right w:val="single" w:color="auto" w:sz="4" w:space="0"/>
            </w:tcBorders>
            <w:vAlign w:val="center"/>
          </w:tcPr>
          <w:p>
            <w:pPr>
              <w:spacing w:line="360" w:lineRule="auto"/>
              <w:ind w:right="-4"/>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3</w:t>
            </w:r>
            <w:r>
              <w:rPr>
                <w:rFonts w:hint="eastAsia" w:ascii="宋体" w:hAnsi="宋体" w:eastAsia="宋体"/>
                <w:color w:val="000000" w:themeColor="text1"/>
                <w:sz w:val="22"/>
                <w:lang w:val="zh-CN"/>
                <w14:textFill>
                  <w14:solidFill>
                    <w14:schemeClr w14:val="tx1"/>
                  </w14:solidFill>
                </w14:textFill>
              </w:rPr>
              <w:t>5.1</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4"/>
              <w:rPr>
                <w:rFonts w:hint="eastAsia" w:ascii="宋体" w:hAnsi="宋体" w:eastAsia="宋体"/>
                <w:color w:val="000000" w:themeColor="text1"/>
                <w:sz w:val="22"/>
                <w:szCs w:val="24"/>
                <w:lang w:val="zh-CN"/>
                <w14:textFill>
                  <w14:solidFill>
                    <w14:schemeClr w14:val="tx1"/>
                  </w14:solidFill>
                </w14:textFill>
              </w:rPr>
            </w:pPr>
            <w:r>
              <w:rPr>
                <w:rFonts w:hint="eastAsia" w:ascii="宋体" w:hAnsi="宋体" w:eastAsia="宋体"/>
                <w:color w:val="000000" w:themeColor="text1"/>
                <w:sz w:val="22"/>
                <w:lang w:val="zh-CN"/>
                <w14:textFill>
                  <w14:solidFill>
                    <w14:schemeClr w14:val="tx1"/>
                  </w14:solidFill>
                </w14:textFill>
              </w:rPr>
              <w:t>履约担保：</w:t>
            </w:r>
            <w:r>
              <w:rPr>
                <w:rFonts w:hint="eastAsia" w:ascii="宋体" w:hAnsi="宋体" w:eastAsia="宋体"/>
                <w:color w:val="000000" w:themeColor="text1"/>
                <w:sz w:val="22"/>
                <w14:textFill>
                  <w14:solidFill>
                    <w14:schemeClr w14:val="tx1"/>
                  </w14:solidFill>
                </w14:textFill>
              </w:rPr>
              <w:t>不收取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45" w:type="pct"/>
            <w:tcBorders>
              <w:top w:val="single" w:color="auto" w:sz="4" w:space="0"/>
              <w:left w:val="single" w:color="auto" w:sz="4" w:space="0"/>
              <w:bottom w:val="single" w:color="auto" w:sz="4" w:space="0"/>
              <w:right w:val="single" w:color="auto" w:sz="4" w:space="0"/>
            </w:tcBorders>
            <w:vAlign w:val="center"/>
          </w:tcPr>
          <w:p>
            <w:pPr>
              <w:spacing w:line="360" w:lineRule="auto"/>
              <w:ind w:right="-4"/>
              <w:jc w:val="left"/>
              <w:rPr>
                <w:rFonts w:hint="eastAsia" w:ascii="宋体" w:hAnsi="宋体" w:eastAsia="宋体"/>
                <w:color w:val="000000" w:themeColor="text1"/>
                <w:sz w:val="22"/>
                <w:lang w:val="zh-CN"/>
                <w14:textFill>
                  <w14:solidFill>
                    <w14:schemeClr w14:val="tx1"/>
                  </w14:solidFill>
                </w14:textFill>
              </w:rPr>
            </w:pPr>
            <w:r>
              <w:rPr>
                <w:rFonts w:ascii="宋体" w:hAnsi="宋体" w:eastAsia="宋体"/>
                <w:color w:val="000000" w:themeColor="text1"/>
                <w:sz w:val="22"/>
                <w:lang w:val="zh-CN"/>
                <w14:textFill>
                  <w14:solidFill>
                    <w14:schemeClr w14:val="tx1"/>
                  </w14:solidFill>
                </w14:textFill>
              </w:rPr>
              <w:t>36</w:t>
            </w:r>
            <w:r>
              <w:rPr>
                <w:rFonts w:hint="eastAsia" w:ascii="宋体" w:hAnsi="宋体" w:eastAsia="宋体"/>
                <w:color w:val="000000" w:themeColor="text1"/>
                <w:sz w:val="22"/>
                <w:lang w:val="zh-CN"/>
                <w14:textFill>
                  <w14:solidFill>
                    <w14:schemeClr w14:val="tx1"/>
                  </w14:solidFill>
                </w14:textFill>
              </w:rPr>
              <w:t>.2</w:t>
            </w:r>
          </w:p>
        </w:tc>
        <w:tc>
          <w:tcPr>
            <w:tcW w:w="4354" w:type="pct"/>
            <w:tcBorders>
              <w:top w:val="single" w:color="auto" w:sz="4" w:space="0"/>
              <w:left w:val="single" w:color="auto" w:sz="4" w:space="0"/>
              <w:bottom w:val="single" w:color="auto" w:sz="4" w:space="0"/>
              <w:right w:val="single" w:color="auto" w:sz="4" w:space="0"/>
            </w:tcBorders>
            <w:vAlign w:val="center"/>
          </w:tcPr>
          <w:p>
            <w:pPr>
              <w:spacing w:line="360" w:lineRule="auto"/>
              <w:ind w:right="-4"/>
              <w:rPr>
                <w:rFonts w:hint="eastAsia" w:ascii="宋体" w:hAnsi="宋体" w:eastAsia="宋体"/>
                <w:bCs/>
                <w:color w:val="000000" w:themeColor="text1"/>
                <w:sz w:val="22"/>
                <w14:textFill>
                  <w14:solidFill>
                    <w14:schemeClr w14:val="tx1"/>
                  </w14:solidFill>
                </w14:textFill>
              </w:rPr>
            </w:pPr>
            <w:r>
              <w:rPr>
                <w:rFonts w:hint="eastAsia" w:ascii="宋体" w:hAnsi="宋体" w:eastAsia="宋体"/>
                <w:bCs/>
                <w:color w:val="000000" w:themeColor="text1"/>
                <w:sz w:val="22"/>
                <w14:textFill>
                  <w14:solidFill>
                    <w14:schemeClr w14:val="tx1"/>
                  </w14:solidFill>
                </w14:textFill>
              </w:rPr>
              <w:t>本项目类型为：</w:t>
            </w:r>
            <w:r>
              <w:rPr>
                <w:rFonts w:hint="eastAsia" w:ascii="宋体" w:hAnsi="宋体" w:eastAsia="宋体"/>
                <w:bCs/>
                <w:color w:val="000000" w:themeColor="text1"/>
                <w:sz w:val="22"/>
                <w:u w:val="single"/>
                <w14:textFill>
                  <w14:solidFill>
                    <w14:schemeClr w14:val="tx1"/>
                  </w14:solidFill>
                </w14:textFill>
              </w:rPr>
              <w:t>服务类</w:t>
            </w:r>
            <w:r>
              <w:rPr>
                <w:rFonts w:hint="eastAsia" w:ascii="宋体" w:hAnsi="宋体" w:eastAsia="宋体"/>
                <w:bCs/>
                <w:color w:val="000000" w:themeColor="text1"/>
                <w:sz w:val="22"/>
                <w14:textFill>
                  <w14:solidFill>
                    <w14:schemeClr w14:val="tx1"/>
                  </w14:solidFill>
                </w14:textFill>
              </w:rPr>
              <w:t>。</w:t>
            </w:r>
            <w:bookmarkStart w:id="161" w:name="_GoBack"/>
            <w:bookmarkEnd w:id="161"/>
          </w:p>
        </w:tc>
      </w:tr>
    </w:tbl>
    <w:p>
      <w:pPr>
        <w:pStyle w:val="2"/>
        <w:keepNext w:val="0"/>
        <w:keepLines w:val="0"/>
        <w:pageBreakBefore/>
        <w:spacing w:line="360" w:lineRule="auto"/>
        <w:jc w:val="center"/>
        <w:rPr>
          <w:rFonts w:hint="eastAsia" w:ascii="宋体" w:hAnsi="宋体" w:eastAsia="宋体"/>
          <w:color w:val="000000" w:themeColor="text1"/>
          <w:spacing w:val="20"/>
          <w:sz w:val="36"/>
          <w:szCs w:val="36"/>
          <w14:textFill>
            <w14:solidFill>
              <w14:schemeClr w14:val="tx1"/>
            </w14:solidFill>
          </w14:textFill>
        </w:rPr>
      </w:pPr>
      <w:bookmarkStart w:id="36" w:name="_Toc32109"/>
      <w:bookmarkStart w:id="37" w:name="_Toc391627750"/>
      <w:bookmarkStart w:id="38" w:name="_Toc15035"/>
      <w:bookmarkStart w:id="39" w:name="_Toc2435"/>
      <w:bookmarkStart w:id="40" w:name="_Toc405313954"/>
      <w:r>
        <w:rPr>
          <w:rFonts w:hint="eastAsia" w:ascii="宋体" w:hAnsi="宋体" w:eastAsia="宋体"/>
          <w:color w:val="000000" w:themeColor="text1"/>
          <w:spacing w:val="20"/>
          <w:sz w:val="36"/>
          <w:szCs w:val="36"/>
          <w14:textFill>
            <w14:solidFill>
              <w14:schemeClr w14:val="tx1"/>
            </w14:solidFill>
          </w14:textFill>
        </w:rPr>
        <w:t>第四部分</w:t>
      </w:r>
      <w:r>
        <w:rPr>
          <w:rFonts w:ascii="宋体" w:hAnsi="宋体" w:eastAsia="宋体"/>
          <w:color w:val="000000" w:themeColor="text1"/>
          <w:spacing w:val="20"/>
          <w:sz w:val="36"/>
          <w:szCs w:val="36"/>
          <w14:textFill>
            <w14:solidFill>
              <w14:schemeClr w14:val="tx1"/>
            </w14:solidFill>
          </w14:textFill>
        </w:rPr>
        <w:t xml:space="preserve"> </w:t>
      </w:r>
      <w:r>
        <w:rPr>
          <w:rFonts w:hint="eastAsia" w:ascii="宋体" w:hAnsi="宋体" w:eastAsia="宋体"/>
          <w:color w:val="000000" w:themeColor="text1"/>
          <w:spacing w:val="20"/>
          <w:sz w:val="36"/>
          <w:szCs w:val="36"/>
          <w14:textFill>
            <w14:solidFill>
              <w14:schemeClr w14:val="tx1"/>
            </w14:solidFill>
          </w14:textFill>
        </w:rPr>
        <w:t>投标须知</w:t>
      </w:r>
      <w:bookmarkEnd w:id="36"/>
      <w:bookmarkEnd w:id="37"/>
      <w:bookmarkEnd w:id="38"/>
      <w:bookmarkEnd w:id="39"/>
      <w:bookmarkEnd w:id="40"/>
    </w:p>
    <w:p>
      <w:pPr>
        <w:pStyle w:val="63"/>
        <w:numPr>
          <w:ilvl w:val="0"/>
          <w:numId w:val="2"/>
        </w:numPr>
        <w:spacing w:before="312" w:beforeLines="100" w:line="360" w:lineRule="auto"/>
        <w:contextualSpacing w:val="0"/>
        <w:outlineLvl w:val="1"/>
        <w:rPr>
          <w:rFonts w:hint="eastAsia" w:ascii="宋体" w:hAnsi="宋体" w:eastAsia="宋体" w:cs="微软雅黑"/>
          <w:b/>
          <w:bCs/>
          <w:color w:val="000000" w:themeColor="text1"/>
          <w:sz w:val="28"/>
          <w:szCs w:val="28"/>
          <w14:textFill>
            <w14:solidFill>
              <w14:schemeClr w14:val="tx1"/>
            </w14:solidFill>
          </w14:textFill>
        </w:rPr>
      </w:pPr>
      <w:bookmarkStart w:id="41" w:name="_Toc28405"/>
      <w:bookmarkStart w:id="42" w:name="_Toc6265"/>
      <w:r>
        <w:rPr>
          <w:rFonts w:hint="eastAsia" w:ascii="宋体" w:hAnsi="宋体" w:eastAsia="宋体" w:cs="微软雅黑"/>
          <w:b/>
          <w:bCs/>
          <w:color w:val="000000" w:themeColor="text1"/>
          <w:sz w:val="28"/>
          <w:szCs w:val="28"/>
          <w14:textFill>
            <w14:solidFill>
              <w14:schemeClr w14:val="tx1"/>
            </w14:solidFill>
          </w14:textFill>
        </w:rPr>
        <w:t>说明</w:t>
      </w:r>
      <w:bookmarkEnd w:id="41"/>
      <w:bookmarkEnd w:id="42"/>
    </w:p>
    <w:p>
      <w:pPr>
        <w:pStyle w:val="63"/>
        <w:spacing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1</w:t>
      </w:r>
      <w:r>
        <w:rPr>
          <w:rFonts w:hint="eastAsia" w:ascii="宋体" w:hAnsi="宋体" w:eastAsia="宋体" w:cs="宋体"/>
          <w:b/>
          <w:color w:val="000000" w:themeColor="text1"/>
          <w:sz w:val="24"/>
          <w:szCs w:val="28"/>
          <w14:textFill>
            <w14:solidFill>
              <w14:schemeClr w14:val="tx1"/>
            </w14:solidFill>
          </w14:textFill>
        </w:rPr>
        <w:t>总则</w:t>
      </w:r>
    </w:p>
    <w:p>
      <w:pPr>
        <w:spacing w:line="360" w:lineRule="auto"/>
        <w:ind w:firstLine="480" w:firstLineChars="200"/>
        <w:rPr>
          <w:rFonts w:hint="eastAsia" w:ascii="宋体" w:hAnsi="宋体" w:eastAsia="宋体" w:cs="宋体"/>
          <w:bCs/>
          <w:color w:val="000000" w:themeColor="text1"/>
          <w:sz w:val="24"/>
          <w:szCs w:val="28"/>
          <w14:textFill>
            <w14:solidFill>
              <w14:schemeClr w14:val="tx1"/>
            </w14:solidFill>
          </w14:textFill>
        </w:rPr>
      </w:pPr>
      <w:r>
        <w:rPr>
          <w:rFonts w:hint="eastAsia" w:ascii="宋体" w:hAnsi="宋体" w:eastAsia="宋体" w:cs="宋体"/>
          <w:bCs/>
          <w:color w:val="000000" w:themeColor="text1"/>
          <w:sz w:val="24"/>
          <w:szCs w:val="28"/>
          <w14:textFill>
            <w14:solidFill>
              <w14:schemeClr w14:val="tx1"/>
            </w14:solidFill>
          </w14:textFill>
        </w:rPr>
        <w:t>招标人、招标代理机构及投标人进行的本次采购活动适用《</w:t>
      </w:r>
      <w:bookmarkStart w:id="43" w:name="_Hlk75725950"/>
      <w:r>
        <w:rPr>
          <w:rFonts w:hint="eastAsia" w:ascii="宋体" w:hAnsi="宋体" w:eastAsia="宋体" w:cs="宋体"/>
          <w:bCs/>
          <w:color w:val="000000" w:themeColor="text1"/>
          <w:sz w:val="24"/>
          <w:szCs w:val="28"/>
          <w14:textFill>
            <w14:solidFill>
              <w14:schemeClr w14:val="tx1"/>
            </w14:solidFill>
          </w14:textFill>
        </w:rPr>
        <w:t>中华人民共和国</w:t>
      </w:r>
      <w:bookmarkEnd w:id="43"/>
      <w:r>
        <w:rPr>
          <w:rFonts w:hint="eastAsia" w:ascii="宋体" w:hAnsi="宋体" w:eastAsia="宋体" w:cs="宋体"/>
          <w:bCs/>
          <w:color w:val="000000" w:themeColor="text1"/>
          <w:sz w:val="24"/>
          <w:szCs w:val="28"/>
          <w14:textFill>
            <w14:solidFill>
              <w14:schemeClr w14:val="tx1"/>
            </w14:solidFill>
          </w14:textFill>
        </w:rPr>
        <w:t>政府采购法》及其配套的法规、规章、政策，以及招标人相关采购管理制度。投标人应仔细阅读本项目招标公告及招标文件的所有内容（包括变更、补充、澄清以及修改等，且均为招标文件的组成部分），按照招标文件要求以及格式编制投标文件，并保证其真实性，否则一切后果自负。</w:t>
      </w:r>
    </w:p>
    <w:p>
      <w:pPr>
        <w:spacing w:line="360" w:lineRule="auto"/>
        <w:ind w:firstLine="480" w:firstLineChars="200"/>
        <w:rPr>
          <w:rFonts w:hint="eastAsia" w:ascii="宋体" w:hAnsi="宋体" w:eastAsia="宋体" w:cs="宋体"/>
          <w:bCs/>
          <w:color w:val="000000" w:themeColor="text1"/>
          <w:sz w:val="24"/>
          <w:szCs w:val="28"/>
          <w14:textFill>
            <w14:solidFill>
              <w14:schemeClr w14:val="tx1"/>
            </w14:solidFill>
          </w14:textFill>
        </w:rPr>
      </w:pPr>
      <w:r>
        <w:rPr>
          <w:rFonts w:hint="eastAsia" w:ascii="宋体" w:hAnsi="宋体" w:eastAsia="宋体" w:cs="宋体"/>
          <w:bCs/>
          <w:color w:val="000000" w:themeColor="text1"/>
          <w:sz w:val="24"/>
          <w:szCs w:val="28"/>
          <w14:textFill>
            <w14:solidFill>
              <w14:schemeClr w14:val="tx1"/>
            </w14:solidFill>
          </w14:textFill>
        </w:rPr>
        <w:t>本次公开招标项目，是以招标公告的方式邀请非特定的投标人参加投标。</w:t>
      </w:r>
    </w:p>
    <w:p>
      <w:pPr>
        <w:pStyle w:val="63"/>
        <w:spacing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2</w:t>
      </w:r>
      <w:r>
        <w:rPr>
          <w:rFonts w:hint="eastAsia" w:ascii="宋体" w:hAnsi="宋体" w:eastAsia="宋体" w:cs="宋体"/>
          <w:b/>
          <w:color w:val="000000" w:themeColor="text1"/>
          <w:sz w:val="24"/>
          <w:szCs w:val="28"/>
          <w14:textFill>
            <w14:solidFill>
              <w14:schemeClr w14:val="tx1"/>
            </w14:solidFill>
          </w14:textFill>
        </w:rPr>
        <w:t>适用范围</w:t>
      </w:r>
    </w:p>
    <w:p>
      <w:pPr>
        <w:pStyle w:val="63"/>
        <w:numPr>
          <w:ilvl w:val="0"/>
          <w:numId w:val="3"/>
        </w:numPr>
        <w:spacing w:line="360" w:lineRule="auto"/>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本招标文件仅适用于本次招标公告中所涉及的项目和内容。</w:t>
      </w:r>
    </w:p>
    <w:p>
      <w:pPr>
        <w:pStyle w:val="63"/>
        <w:numPr>
          <w:ilvl w:val="0"/>
          <w:numId w:val="3"/>
        </w:numPr>
        <w:spacing w:line="360" w:lineRule="auto"/>
        <w:contextualSpacing w:val="0"/>
        <w:rPr>
          <w:rFonts w:hint="eastAsia" w:ascii="宋体" w:hAnsi="宋体" w:eastAsia="宋体" w:cs="宋体"/>
          <w:b/>
          <w:color w:val="000000" w:themeColor="text1"/>
          <w:sz w:val="24"/>
          <w:szCs w:val="28"/>
          <w:u w:val="single"/>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资金来源：</w:t>
      </w:r>
      <w:r>
        <w:rPr>
          <w:rFonts w:hint="eastAsia" w:ascii="宋体" w:hAnsi="宋体" w:eastAsia="宋体" w:cs="宋体"/>
          <w:b/>
          <w:color w:val="000000" w:themeColor="text1"/>
          <w:sz w:val="24"/>
          <w:szCs w:val="28"/>
          <w:u w:val="single"/>
          <w14:textFill>
            <w14:solidFill>
              <w14:schemeClr w14:val="tx1"/>
            </w14:solidFill>
          </w14:textFill>
        </w:rPr>
        <w:t>（详见投标须知前附表）</w:t>
      </w:r>
      <w:r>
        <w:rPr>
          <w:rFonts w:hint="eastAsia" w:ascii="宋体" w:hAnsi="宋体" w:eastAsia="宋体" w:cs="宋体"/>
          <w:color w:val="000000" w:themeColor="text1"/>
          <w:sz w:val="24"/>
          <w:szCs w:val="28"/>
          <w14:textFill>
            <w14:solidFill>
              <w14:schemeClr w14:val="tx1"/>
            </w14:solidFill>
          </w14:textFill>
        </w:rPr>
        <w:t>。</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3</w:t>
      </w:r>
      <w:r>
        <w:rPr>
          <w:rFonts w:hint="eastAsia" w:ascii="宋体" w:hAnsi="宋体" w:eastAsia="宋体" w:cs="宋体"/>
          <w:b/>
          <w:color w:val="000000" w:themeColor="text1"/>
          <w:sz w:val="24"/>
          <w:szCs w:val="28"/>
          <w14:textFill>
            <w14:solidFill>
              <w14:schemeClr w14:val="tx1"/>
            </w14:solidFill>
          </w14:textFill>
        </w:rPr>
        <w:t>定义</w:t>
      </w:r>
    </w:p>
    <w:p>
      <w:pPr>
        <w:pStyle w:val="63"/>
        <w:numPr>
          <w:ilvl w:val="0"/>
          <w:numId w:val="4"/>
        </w:numPr>
        <w:tabs>
          <w:tab w:val="left" w:pos="426"/>
        </w:tabs>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 xml:space="preserve">招标人：是采购活动当事人之一，负责项目的整体规划、技术方案可行性设计论证与实施，作为合同采购方（用户）的主体承担质疑回复、履行合同、验收与评价等义务。 </w:t>
      </w:r>
    </w:p>
    <w:p>
      <w:pPr>
        <w:pStyle w:val="63"/>
        <w:numPr>
          <w:ilvl w:val="0"/>
          <w:numId w:val="4"/>
        </w:numPr>
        <w:tabs>
          <w:tab w:val="left" w:pos="426"/>
        </w:tabs>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招标代理机构：负责整个采购活动的组织，依法负责编制和发布招标文件，对招标文件拥有最终的解释权，不以任何身份出任评标委员会成员。</w:t>
      </w:r>
    </w:p>
    <w:p>
      <w:pPr>
        <w:pStyle w:val="63"/>
        <w:numPr>
          <w:ilvl w:val="0"/>
          <w:numId w:val="4"/>
        </w:numPr>
        <w:tabs>
          <w:tab w:val="left" w:pos="426"/>
        </w:tabs>
        <w:spacing w:line="360" w:lineRule="auto"/>
        <w:ind w:hanging="941"/>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投标人：是响应招标参加投标竞争的法人或其他组织或自然人。</w:t>
      </w:r>
    </w:p>
    <w:p>
      <w:pPr>
        <w:pStyle w:val="63"/>
        <w:numPr>
          <w:ilvl w:val="0"/>
          <w:numId w:val="4"/>
        </w:numPr>
        <w:tabs>
          <w:tab w:val="left" w:pos="426"/>
        </w:tabs>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 xml:space="preserve">评标委员会：是指根据《中华人民共和国政府采购法》等法律法规规定，由招标人代表和有关专家组成以确定中标供应商或者推荐中标候选人的临时组织。 </w:t>
      </w:r>
    </w:p>
    <w:p>
      <w:pPr>
        <w:pStyle w:val="63"/>
        <w:numPr>
          <w:ilvl w:val="0"/>
          <w:numId w:val="4"/>
        </w:numPr>
        <w:tabs>
          <w:tab w:val="left" w:pos="426"/>
        </w:tabs>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中标人：是指经评标委员会评审确定的对招标文件做出实质性响应，经招标人按照规定在评标委员会推荐的中标候选人中确定的或评标委员会受招标人委托直接确认的投标人。</w:t>
      </w:r>
    </w:p>
    <w:p>
      <w:pPr>
        <w:pStyle w:val="63"/>
        <w:numPr>
          <w:ilvl w:val="0"/>
          <w:numId w:val="4"/>
        </w:numPr>
        <w:tabs>
          <w:tab w:val="left" w:pos="426"/>
        </w:tabs>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合格的投标人是指：详见《第一部分 招标公告/投标邀请函》投标供应商的资格要求。</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4</w:t>
      </w:r>
      <w:r>
        <w:rPr>
          <w:rFonts w:hint="eastAsia" w:ascii="宋体" w:hAnsi="宋体" w:eastAsia="宋体" w:cs="宋体"/>
          <w:b/>
          <w:color w:val="000000" w:themeColor="text1"/>
          <w:sz w:val="24"/>
          <w:szCs w:val="28"/>
          <w14:textFill>
            <w14:solidFill>
              <w14:schemeClr w14:val="tx1"/>
            </w14:solidFill>
          </w14:textFill>
        </w:rPr>
        <w:t>合格的货物和服务</w:t>
      </w:r>
    </w:p>
    <w:p>
      <w:pPr>
        <w:pStyle w:val="63"/>
        <w:numPr>
          <w:ilvl w:val="0"/>
          <w:numId w:val="5"/>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货物是指投标人制造或组织符合招标文件要求的货物等。投标的货物必须是其合法生产、合法来源的符合国家有关标准要求的货物，并满足招标文件规定的规格、参数、质量、价格、有效期、售后服务等要求。</w:t>
      </w:r>
    </w:p>
    <w:p>
      <w:pPr>
        <w:pStyle w:val="63"/>
        <w:numPr>
          <w:ilvl w:val="0"/>
          <w:numId w:val="5"/>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服务是指除货物和工程以外的其他采购对象，且满足实质性采购需求。</w:t>
      </w:r>
    </w:p>
    <w:p>
      <w:pPr>
        <w:pStyle w:val="63"/>
        <w:numPr>
          <w:ilvl w:val="0"/>
          <w:numId w:val="5"/>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若所投产品属于政府强制采购节能产品的，则投标人必须提供该产品国家强制性节能产品认证证书进行响应，并提供有效的中国节能产品认证证书，否则视为无效投标。</w:t>
      </w:r>
    </w:p>
    <w:p>
      <w:pPr>
        <w:pStyle w:val="63"/>
        <w:numPr>
          <w:ilvl w:val="0"/>
          <w:numId w:val="5"/>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投标人提供的所有服务，其质量、技术等特征必须符合国家、行业现行法律、法规的相关标准和《中华人民共和国政府采购法》的有关规定及采购需求。</w:t>
      </w:r>
    </w:p>
    <w:p>
      <w:pPr>
        <w:pStyle w:val="63"/>
        <w:numPr>
          <w:ilvl w:val="0"/>
          <w:numId w:val="5"/>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pacing w:val="-6"/>
          <w:sz w:val="24"/>
          <w:szCs w:val="24"/>
          <w14:textFill>
            <w14:solidFill>
              <w14:schemeClr w14:val="tx1"/>
            </w14:solidFill>
          </w14:textFill>
        </w:rPr>
        <w:t>招标人有权拒绝接受任何不合格的服务，由此产生的费用及相关后果均由投标人自行承担；</w:t>
      </w:r>
    </w:p>
    <w:p>
      <w:pPr>
        <w:pStyle w:val="63"/>
        <w:numPr>
          <w:ilvl w:val="0"/>
          <w:numId w:val="5"/>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应保证本项目的投标技术、服务或其任何一部分不会产生因第三方提出侵犯其专利权、商标权或其他知识产权而产生的法律和经济纠纷；如果投标人不拥有相应的知识产权，则须在报价中包括合法获取该知识产权的相关费用，并在投标文件中附上相关证明文件。如因第三方提出其专利权、商标权或其他知识产权的侵权之诉，则一切法律责任由投标人承担。</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5</w:t>
      </w:r>
      <w:r>
        <w:rPr>
          <w:rFonts w:hint="eastAsia" w:ascii="宋体" w:hAnsi="宋体" w:eastAsia="宋体" w:cs="宋体"/>
          <w:b/>
          <w:color w:val="000000" w:themeColor="text1"/>
          <w:sz w:val="24"/>
          <w:szCs w:val="28"/>
          <w14:textFill>
            <w14:solidFill>
              <w14:schemeClr w14:val="tx1"/>
            </w14:solidFill>
          </w14:textFill>
        </w:rPr>
        <w:t>投标费用</w:t>
      </w:r>
    </w:p>
    <w:p>
      <w:pPr>
        <w:pStyle w:val="63"/>
        <w:numPr>
          <w:ilvl w:val="0"/>
          <w:numId w:val="6"/>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投标人应承担所有与准备和参加投标有关的费用。不论投标的结果如何，招标代理机构和招标人均无义务和责任承担相关费用。</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6</w:t>
      </w:r>
      <w:r>
        <w:rPr>
          <w:rFonts w:hint="eastAsia" w:ascii="宋体" w:hAnsi="宋体" w:eastAsia="宋体" w:cs="宋体"/>
          <w:b/>
          <w:color w:val="000000" w:themeColor="text1"/>
          <w:sz w:val="24"/>
          <w:szCs w:val="28"/>
          <w14:textFill>
            <w14:solidFill>
              <w14:schemeClr w14:val="tx1"/>
            </w14:solidFill>
          </w14:textFill>
        </w:rPr>
        <w:t>担保</w:t>
      </w:r>
    </w:p>
    <w:p>
      <w:pPr>
        <w:pStyle w:val="63"/>
        <w:numPr>
          <w:ilvl w:val="0"/>
          <w:numId w:val="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担保，是指由担保机构为供应商交纳投标保证金向招标人或招标代理机构提供的保证担保。供应商在投标有效期内撤回投标文件或中标后不签订采购合同的，由担保机构按照担保函的约定履行支付投标保证金的责任。</w:t>
      </w:r>
    </w:p>
    <w:p>
      <w:pPr>
        <w:pStyle w:val="63"/>
        <w:numPr>
          <w:ilvl w:val="0"/>
          <w:numId w:val="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履约担保，是指由担保机构为供应商交纳履约保证金向招标人或招标代理机构提供的保证担保。供应商未按采购合同履行约定义务的，由担保机构按照担保函约定履行支付履约保证金的责任。</w:t>
      </w:r>
    </w:p>
    <w:p>
      <w:pPr>
        <w:pStyle w:val="63"/>
        <w:numPr>
          <w:ilvl w:val="0"/>
          <w:numId w:val="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融资担保，是指担保机构为供应商向银行融资提供的保证担保。</w:t>
      </w:r>
    </w:p>
    <w:p>
      <w:pPr>
        <w:pStyle w:val="63"/>
        <w:numPr>
          <w:ilvl w:val="0"/>
          <w:numId w:val="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供应商可以以投标担保函、履约担保函形式缴纳保证金。</w:t>
      </w:r>
    </w:p>
    <w:p>
      <w:pPr>
        <w:pStyle w:val="63"/>
        <w:numPr>
          <w:ilvl w:val="0"/>
          <w:numId w:val="2"/>
        </w:numPr>
        <w:spacing w:before="312" w:beforeLines="100" w:line="360" w:lineRule="auto"/>
        <w:contextualSpacing w:val="0"/>
        <w:rPr>
          <w:rFonts w:hint="eastAsia" w:ascii="宋体" w:hAnsi="宋体" w:eastAsia="宋体"/>
          <w:b/>
          <w:bCs/>
          <w:color w:val="000000" w:themeColor="text1"/>
          <w:sz w:val="28"/>
          <w:szCs w:val="28"/>
          <w14:textFill>
            <w14:solidFill>
              <w14:schemeClr w14:val="tx1"/>
            </w14:solidFill>
          </w14:textFill>
        </w:rPr>
      </w:pPr>
      <w:bookmarkStart w:id="44" w:name="_Toc31691"/>
      <w:bookmarkStart w:id="45" w:name="_Toc9845"/>
      <w:r>
        <w:rPr>
          <w:rFonts w:hint="eastAsia" w:ascii="宋体" w:hAnsi="宋体" w:eastAsia="宋体" w:cs="微软雅黑"/>
          <w:b/>
          <w:bCs/>
          <w:color w:val="000000" w:themeColor="text1"/>
          <w:sz w:val="28"/>
          <w:szCs w:val="28"/>
          <w14:textFill>
            <w14:solidFill>
              <w14:schemeClr w14:val="tx1"/>
            </w14:solidFill>
          </w14:textFill>
        </w:rPr>
        <w:t>招标文件</w:t>
      </w:r>
      <w:bookmarkEnd w:id="44"/>
      <w:bookmarkEnd w:id="45"/>
      <w:bookmarkStart w:id="46" w:name="_Toc357676115"/>
    </w:p>
    <w:p>
      <w:pPr>
        <w:pStyle w:val="63"/>
        <w:spacing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7</w:t>
      </w:r>
      <w:r>
        <w:rPr>
          <w:rFonts w:hint="eastAsia" w:ascii="宋体" w:hAnsi="宋体" w:eastAsia="宋体" w:cs="宋体"/>
          <w:b/>
          <w:color w:val="000000" w:themeColor="text1"/>
          <w:sz w:val="24"/>
          <w:szCs w:val="28"/>
          <w14:textFill>
            <w14:solidFill>
              <w14:schemeClr w14:val="tx1"/>
            </w14:solidFill>
          </w14:textFill>
        </w:rPr>
        <w:t>招标文件的编制依据与构成</w:t>
      </w:r>
      <w:bookmarkEnd w:id="46"/>
    </w:p>
    <w:p>
      <w:pPr>
        <w:pStyle w:val="63"/>
        <w:numPr>
          <w:ilvl w:val="0"/>
          <w:numId w:val="8"/>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本招标文件的编制依据是</w:t>
      </w:r>
      <w:r>
        <w:rPr>
          <w:rFonts w:hint="eastAsia" w:ascii="宋体" w:hAnsi="宋体" w:eastAsia="宋体" w:cs="宋体"/>
          <w:color w:val="000000" w:themeColor="text1"/>
          <w:sz w:val="24"/>
          <w:szCs w:val="24"/>
          <w14:textFill>
            <w14:solidFill>
              <w14:schemeClr w14:val="tx1"/>
            </w14:solidFill>
          </w14:textFill>
        </w:rPr>
        <w:t>《中华人民共和国政府采购法》、《中华人民共和国政府采购法实施条例》、财政部《政府采购货物和服务招标投标管理办法》</w:t>
      </w:r>
      <w:r>
        <w:rPr>
          <w:rFonts w:hint="eastAsia" w:ascii="宋体" w:hAnsi="宋体" w:eastAsia="宋体" w:cs="宋体"/>
          <w:bCs/>
          <w:color w:val="000000" w:themeColor="text1"/>
          <w:sz w:val="24"/>
          <w:szCs w:val="24"/>
          <w14:textFill>
            <w14:solidFill>
              <w14:schemeClr w14:val="tx1"/>
            </w14:solidFill>
          </w14:textFill>
        </w:rPr>
        <w:t>等法律法规。</w:t>
      </w:r>
    </w:p>
    <w:p>
      <w:pPr>
        <w:pStyle w:val="63"/>
        <w:numPr>
          <w:ilvl w:val="0"/>
          <w:numId w:val="8"/>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要求提供的服务、采购过程和合同条件在招标文件中均有说明。招标文件以中文文字编写。招标文件由下列文件以及在招标过程中发出的澄清、修改和补充文件组成，组成内容如下：</w:t>
      </w:r>
    </w:p>
    <w:p>
      <w:pPr>
        <w:spacing w:line="360" w:lineRule="auto"/>
        <w:ind w:firstLine="484" w:firstLine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第一部分 招标公告/投标邀请函</w:t>
      </w:r>
    </w:p>
    <w:p>
      <w:pPr>
        <w:spacing w:line="360" w:lineRule="auto"/>
        <w:ind w:firstLine="484" w:firstLine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第二部分 招标需求书</w:t>
      </w:r>
    </w:p>
    <w:p>
      <w:pPr>
        <w:spacing w:line="360" w:lineRule="auto"/>
        <w:ind w:firstLine="484" w:firstLine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第三部分 投标须知前附表</w:t>
      </w:r>
    </w:p>
    <w:p>
      <w:pPr>
        <w:spacing w:line="360" w:lineRule="auto"/>
        <w:ind w:firstLine="484" w:firstLine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第四部分 投标须知</w:t>
      </w:r>
    </w:p>
    <w:p>
      <w:pPr>
        <w:spacing w:line="360" w:lineRule="auto"/>
        <w:ind w:firstLine="484" w:firstLine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第五部分 评标方法、步骤、标准</w:t>
      </w:r>
    </w:p>
    <w:p>
      <w:pPr>
        <w:spacing w:line="360" w:lineRule="auto"/>
        <w:ind w:firstLine="484" w:firstLine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第六部分 合同书格式</w:t>
      </w:r>
    </w:p>
    <w:p>
      <w:pPr>
        <w:spacing w:line="360" w:lineRule="auto"/>
        <w:ind w:firstLine="484" w:firstLineChars="202"/>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第七部分 投标文件格式</w:t>
      </w:r>
    </w:p>
    <w:p>
      <w:pPr>
        <w:pStyle w:val="63"/>
        <w:numPr>
          <w:ilvl w:val="0"/>
          <w:numId w:val="8"/>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应认真阅读、并充分理解招标文件的全部内容（包括所有的补充、修改内容重要事项、格式、条款和服务要求等）。投标人没有按照招标文件要求提交全部资料，或者投标文件没有对招标文件在各方面都作出实质性响应是投标人的风险，有可能导致其投标被拒绝，或被认定为无效投标或被确定为投标无效。</w:t>
      </w:r>
    </w:p>
    <w:p>
      <w:pPr>
        <w:pStyle w:val="63"/>
        <w:numPr>
          <w:ilvl w:val="0"/>
          <w:numId w:val="8"/>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本招标文件的解释权归“中通服咨询设计研究院有限公司”所有。</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8</w:t>
      </w:r>
      <w:r>
        <w:rPr>
          <w:rFonts w:hint="eastAsia" w:ascii="宋体" w:hAnsi="宋体" w:eastAsia="宋体" w:cs="宋体"/>
          <w:b/>
          <w:color w:val="000000" w:themeColor="text1"/>
          <w:sz w:val="24"/>
          <w:szCs w:val="28"/>
          <w14:textFill>
            <w14:solidFill>
              <w14:schemeClr w14:val="tx1"/>
            </w14:solidFill>
          </w14:textFill>
        </w:rPr>
        <w:t>招标文件的答疑、澄清或修改</w:t>
      </w:r>
    </w:p>
    <w:p>
      <w:pPr>
        <w:pStyle w:val="63"/>
        <w:numPr>
          <w:ilvl w:val="0"/>
          <w:numId w:val="9"/>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除非</w:t>
      </w:r>
      <w:r>
        <w:rPr>
          <w:rFonts w:hint="eastAsia" w:ascii="宋体" w:hAnsi="宋体" w:eastAsia="宋体" w:cs="宋体"/>
          <w:b/>
          <w:bCs/>
          <w:color w:val="000000" w:themeColor="text1"/>
          <w:sz w:val="24"/>
          <w:szCs w:val="24"/>
          <w:u w:val="single"/>
          <w14:textFill>
            <w14:solidFill>
              <w14:schemeClr w14:val="tx1"/>
            </w14:solidFill>
          </w14:textFill>
        </w:rPr>
        <w:t>投标须知前附表</w:t>
      </w:r>
      <w:r>
        <w:rPr>
          <w:rFonts w:hint="eastAsia" w:ascii="宋体" w:hAnsi="宋体" w:eastAsia="宋体" w:cs="宋体"/>
          <w:bCs/>
          <w:color w:val="000000" w:themeColor="text1"/>
          <w:sz w:val="24"/>
          <w:szCs w:val="24"/>
          <w14:textFill>
            <w14:solidFill>
              <w14:schemeClr w14:val="tx1"/>
            </w14:solidFill>
          </w14:textFill>
        </w:rPr>
        <w:t>中另有规定，不举行项目集中答疑会或现场考察，如举行集中答疑会或现场考察的，则按以下规定：</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8.1.1在</w:t>
      </w:r>
      <w:r>
        <w:rPr>
          <w:rFonts w:hint="eastAsia" w:ascii="宋体" w:hAnsi="宋体" w:eastAsia="宋体" w:cs="宋体"/>
          <w:b/>
          <w:bCs/>
          <w:color w:val="000000" w:themeColor="text1"/>
          <w:sz w:val="24"/>
          <w:szCs w:val="24"/>
          <w:u w:val="single"/>
          <w14:textFill>
            <w14:solidFill>
              <w14:schemeClr w14:val="tx1"/>
            </w14:solidFill>
          </w14:textFill>
        </w:rPr>
        <w:t>投标须知前附表</w:t>
      </w:r>
      <w:r>
        <w:rPr>
          <w:rFonts w:hint="eastAsia" w:ascii="宋体" w:hAnsi="宋体" w:eastAsia="宋体" w:cs="宋体"/>
          <w:bCs/>
          <w:color w:val="000000" w:themeColor="text1"/>
          <w:sz w:val="24"/>
          <w:szCs w:val="24"/>
          <w14:textFill>
            <w14:solidFill>
              <w14:schemeClr w14:val="tx1"/>
            </w14:solidFill>
          </w14:textFill>
        </w:rPr>
        <w:t>中规定的日期、时间和地点组织公开答疑会或现场考察。</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8.1.2潜在投标人对本项目提出的疑问，需在答疑会或现场考察召开日前至少一个工作日将问题清单以书面形式（加盖公章）提交至招标代理机构，潜在投标人代表于上述的时间和地点出席答疑会或现场考察。</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8.1.3已获取招标文件的投标人如不出席答疑会或现场考察视为对招标文件所有内容无任何异议。</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8.1.4投标人在规定的时间内未对招标文件提出澄清或疑问的，招标代理机构将视其为无异议。</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8.1.5对招标文件中描述有歧义或前后不一致的地方，评标委员会有权进行评判，但对同一条款的评判应适用于每个投标人。</w:t>
      </w:r>
    </w:p>
    <w:p>
      <w:pPr>
        <w:pStyle w:val="63"/>
        <w:numPr>
          <w:ilvl w:val="0"/>
          <w:numId w:val="9"/>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招标人或者招标代理机构可以对已发出的招标文件进行必要的澄清或者修改。澄清或者修改的内容可能影响投标文件编制的，招标人或者招标代理机构应当在投标截止时间至少15日前，以书面形式通知所有获取招标文件的潜在投标人；不足15日的，招标人或者招标代理机构应当顺延提交投标文件的截止时间。</w:t>
      </w:r>
    </w:p>
    <w:p>
      <w:pPr>
        <w:pStyle w:val="63"/>
        <w:numPr>
          <w:ilvl w:val="0"/>
          <w:numId w:val="9"/>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招标文件的澄清或修改内容作为招标文件的组成部分，具有约束作用。当招标文件、招标文件的澄清或修改等在同一内容的表述上不一致时，以最后发出的书面文件为准。</w:t>
      </w:r>
    </w:p>
    <w:p>
      <w:pPr>
        <w:pStyle w:val="63"/>
        <w:numPr>
          <w:ilvl w:val="0"/>
          <w:numId w:val="9"/>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招标期间，投标人有义务上网查看，公告一经上网发布，即视为送达。投标人应于收到该澄清或修改文件的二十四小时内以书面形式给予确认。</w:t>
      </w:r>
    </w:p>
    <w:p>
      <w:pPr>
        <w:pStyle w:val="63"/>
        <w:numPr>
          <w:ilvl w:val="0"/>
          <w:numId w:val="2"/>
        </w:numPr>
        <w:spacing w:before="312" w:beforeLines="100" w:line="360" w:lineRule="auto"/>
        <w:contextualSpacing w:val="0"/>
        <w:rPr>
          <w:rFonts w:hint="eastAsia" w:ascii="宋体" w:hAnsi="宋体" w:eastAsia="宋体"/>
          <w:b/>
          <w:bCs/>
          <w:color w:val="000000" w:themeColor="text1"/>
          <w:sz w:val="28"/>
          <w:szCs w:val="28"/>
          <w14:textFill>
            <w14:solidFill>
              <w14:schemeClr w14:val="tx1"/>
            </w14:solidFill>
          </w14:textFill>
        </w:rPr>
      </w:pPr>
      <w:bookmarkStart w:id="47" w:name="_Toc31968"/>
      <w:bookmarkStart w:id="48" w:name="_Toc9880"/>
      <w:bookmarkStart w:id="49" w:name="_Toc2232"/>
      <w:bookmarkStart w:id="50" w:name="_Toc24370"/>
      <w:r>
        <w:rPr>
          <w:rFonts w:hint="eastAsia" w:ascii="宋体" w:hAnsi="宋体" w:eastAsia="宋体"/>
          <w:b/>
          <w:bCs/>
          <w:color w:val="000000" w:themeColor="text1"/>
          <w:sz w:val="28"/>
          <w:szCs w:val="28"/>
          <w14:textFill>
            <w14:solidFill>
              <w14:schemeClr w14:val="tx1"/>
            </w14:solidFill>
          </w14:textFill>
        </w:rPr>
        <w:t>投标文件的编制</w:t>
      </w:r>
      <w:bookmarkEnd w:id="47"/>
      <w:bookmarkEnd w:id="48"/>
    </w:p>
    <w:p>
      <w:pPr>
        <w:pStyle w:val="63"/>
        <w:spacing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9</w:t>
      </w:r>
      <w:r>
        <w:rPr>
          <w:rFonts w:hint="eastAsia" w:ascii="宋体" w:hAnsi="宋体" w:eastAsia="宋体" w:cs="宋体"/>
          <w:b/>
          <w:color w:val="000000" w:themeColor="text1"/>
          <w:sz w:val="24"/>
          <w:szCs w:val="28"/>
          <w14:textFill>
            <w14:solidFill>
              <w14:schemeClr w14:val="tx1"/>
            </w14:solidFill>
          </w14:textFill>
        </w:rPr>
        <w:t>投标的语言</w:t>
      </w:r>
    </w:p>
    <w:p>
      <w:pPr>
        <w:pStyle w:val="63"/>
        <w:numPr>
          <w:ilvl w:val="0"/>
          <w:numId w:val="10"/>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提交的投标文件以及投标人与招标采购单位就有关投标的所有来往函电均应使用中文书写。投标人提交的支持资料和已印刷的文献可以用另一种语言，但相应内容应附有中文翻译本，在解释投标文件的修改内容时以中文翻译本为准。对中文翻译有异议的，以权威机构的译本为准。</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bookmarkStart w:id="51" w:name="_Toc357676120"/>
      <w:r>
        <w:rPr>
          <w:rFonts w:hint="eastAsia" w:ascii="宋体" w:hAnsi="宋体" w:eastAsia="宋体" w:cs="宋体"/>
          <w:b/>
          <w:szCs w:val="28"/>
        </w:rPr>
        <w:t>10</w:t>
      </w:r>
      <w:r>
        <w:rPr>
          <w:rFonts w:hint="eastAsia" w:ascii="宋体" w:hAnsi="宋体" w:eastAsia="宋体" w:cs="宋体"/>
          <w:b/>
          <w:color w:val="000000" w:themeColor="text1"/>
          <w:sz w:val="24"/>
          <w:szCs w:val="28"/>
          <w14:textFill>
            <w14:solidFill>
              <w14:schemeClr w14:val="tx1"/>
            </w14:solidFill>
          </w14:textFill>
        </w:rPr>
        <w:t>投标文件的构成</w:t>
      </w:r>
      <w:bookmarkEnd w:id="51"/>
    </w:p>
    <w:p>
      <w:pPr>
        <w:pStyle w:val="63"/>
        <w:numPr>
          <w:ilvl w:val="0"/>
          <w:numId w:val="11"/>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投标人编写的投标文件，编排顺序参见投标文件格式。投标文件的构成应符合法律法规及招标文件的要求。</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11</w:t>
      </w:r>
      <w:r>
        <w:rPr>
          <w:rFonts w:hint="eastAsia" w:ascii="宋体" w:hAnsi="宋体" w:eastAsia="宋体" w:cs="宋体"/>
          <w:b/>
          <w:color w:val="000000" w:themeColor="text1"/>
          <w:sz w:val="24"/>
          <w:szCs w:val="28"/>
          <w14:textFill>
            <w14:solidFill>
              <w14:schemeClr w14:val="tx1"/>
            </w14:solidFill>
          </w14:textFill>
        </w:rPr>
        <w:t>投标文件的编写</w:t>
      </w:r>
    </w:p>
    <w:p>
      <w:pPr>
        <w:pStyle w:val="63"/>
        <w:numPr>
          <w:ilvl w:val="0"/>
          <w:numId w:val="12"/>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投标人应完整、真实、准确地填写招标文件中提供的投标函、开标一览表、分项报价表（如适用）以及招标文件中规定的其它所有内容。</w:t>
      </w:r>
    </w:p>
    <w:p>
      <w:pPr>
        <w:pStyle w:val="63"/>
        <w:numPr>
          <w:ilvl w:val="0"/>
          <w:numId w:val="12"/>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对招标文件中多个包组进行投标的，其投标文件的编制可按每个包组的要求分别装订和封装。投标人应当对投标文件进行装订，对未经装订的投标文件可能发生的文件散落或缺损，由此造成的后果和责任由投标人承担。</w:t>
      </w:r>
    </w:p>
    <w:p>
      <w:pPr>
        <w:pStyle w:val="63"/>
        <w:numPr>
          <w:ilvl w:val="0"/>
          <w:numId w:val="12"/>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投标人必须对投标文件所提供的全部资料的真实性承担法律责任，并无条件接受招标人和监督管理部门对其中任何资料进行核实（核对原件）的要求。</w:t>
      </w:r>
    </w:p>
    <w:p>
      <w:pPr>
        <w:pStyle w:val="63"/>
        <w:numPr>
          <w:ilvl w:val="0"/>
          <w:numId w:val="12"/>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如果因为投标人的投标文件只填写和提供了本招标文件要求的部分内容和附件，或没有提供招标文件中所要求的全部资料及数据，由此造成的后果和责任由投标人承担。</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12</w:t>
      </w:r>
      <w:r>
        <w:rPr>
          <w:rFonts w:hint="eastAsia" w:ascii="宋体" w:hAnsi="宋体" w:eastAsia="宋体" w:cs="宋体"/>
          <w:b/>
          <w:color w:val="000000" w:themeColor="text1"/>
          <w:sz w:val="24"/>
          <w:szCs w:val="28"/>
          <w14:textFill>
            <w14:solidFill>
              <w14:schemeClr w14:val="tx1"/>
            </w14:solidFill>
          </w14:textFill>
        </w:rPr>
        <w:t>投标报价</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投标人应按照“第二部分 招标需求”中采购项目服务要求规定的内容、责任范围进行报价。并按《开标一览表》及《分项报价表》（如适用）的要求报出总价和分项价格。</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投标分项报价表内容应包含：</w:t>
      </w:r>
    </w:p>
    <w:p>
      <w:pPr>
        <w:pStyle w:val="63"/>
        <w:numPr>
          <w:ilvl w:val="2"/>
          <w:numId w:val="14"/>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招标文件要求全部货物及服务所需的费用；</w:t>
      </w:r>
    </w:p>
    <w:p>
      <w:pPr>
        <w:pStyle w:val="63"/>
        <w:numPr>
          <w:ilvl w:val="2"/>
          <w:numId w:val="14"/>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投标报价包含履行合同所有相关内容所需的费用；</w:t>
      </w:r>
    </w:p>
    <w:p>
      <w:pPr>
        <w:pStyle w:val="63"/>
        <w:numPr>
          <w:ilvl w:val="2"/>
          <w:numId w:val="14"/>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投标报价均应包含所有的税费；</w:t>
      </w:r>
    </w:p>
    <w:p>
      <w:pPr>
        <w:pStyle w:val="63"/>
        <w:numPr>
          <w:ilvl w:val="2"/>
          <w:numId w:val="14"/>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其他一切隐含及不可预见的费用。</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投标报价为本次招标内容的总价包干，投标报价即为合同价，不得在中标后提出任何增加费用要求，投标人在投标时应充分考虑相关风险性因素。</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投标人在中标并签署合同后，服务期限内出现的任何遗漏，均由中标人负责，招标人将不再支付任何费用。</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除</w:t>
      </w:r>
      <w:r>
        <w:rPr>
          <w:rFonts w:hint="eastAsia" w:ascii="宋体" w:hAnsi="宋体" w:eastAsia="宋体" w:cs="宋体"/>
          <w:b/>
          <w:bCs/>
          <w:color w:val="000000" w:themeColor="text1"/>
          <w:sz w:val="24"/>
          <w:szCs w:val="24"/>
          <w:u w:val="single"/>
          <w14:textFill>
            <w14:solidFill>
              <w14:schemeClr w14:val="tx1"/>
            </w14:solidFill>
          </w14:textFill>
        </w:rPr>
        <w:t>投标须知前附表</w:t>
      </w:r>
      <w:r>
        <w:rPr>
          <w:rFonts w:hint="eastAsia" w:ascii="宋体" w:hAnsi="宋体" w:eastAsia="宋体" w:cs="宋体"/>
          <w:bCs/>
          <w:color w:val="000000" w:themeColor="text1"/>
          <w:sz w:val="24"/>
          <w:szCs w:val="24"/>
          <w14:textFill>
            <w14:solidFill>
              <w14:schemeClr w14:val="tx1"/>
            </w14:solidFill>
          </w14:textFill>
        </w:rPr>
        <w:t>中另有规定外，投标人所报的投标价在合同执行过程中是固定不变的，不得以任何理由予以变更。任何包含价格调整要求的投标被认为是非实质性响应投标而予以拒绝。</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除</w:t>
      </w:r>
      <w:r>
        <w:rPr>
          <w:rFonts w:hint="eastAsia" w:ascii="宋体" w:hAnsi="宋体" w:eastAsia="宋体" w:cs="宋体"/>
          <w:b/>
          <w:bCs/>
          <w:color w:val="000000" w:themeColor="text1"/>
          <w:sz w:val="24"/>
          <w:szCs w:val="24"/>
          <w:u w:val="single"/>
          <w14:textFill>
            <w14:solidFill>
              <w14:schemeClr w14:val="tx1"/>
            </w14:solidFill>
          </w14:textFill>
        </w:rPr>
        <w:t>投标须知前附表</w:t>
      </w:r>
      <w:r>
        <w:rPr>
          <w:rFonts w:hint="eastAsia" w:ascii="宋体" w:hAnsi="宋体" w:eastAsia="宋体" w:cs="宋体"/>
          <w:bCs/>
          <w:color w:val="000000" w:themeColor="text1"/>
          <w:sz w:val="24"/>
          <w:szCs w:val="24"/>
          <w14:textFill>
            <w14:solidFill>
              <w14:schemeClr w14:val="tx1"/>
            </w14:solidFill>
          </w14:textFill>
        </w:rPr>
        <w:t>中允许有备选方案外，本次招标不接受选择性报价，否则将被视为无效投标。</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除</w:t>
      </w:r>
      <w:r>
        <w:rPr>
          <w:rFonts w:hint="eastAsia" w:ascii="宋体" w:hAnsi="宋体" w:eastAsia="宋体" w:cs="宋体"/>
          <w:b/>
          <w:bCs/>
          <w:color w:val="000000" w:themeColor="text1"/>
          <w:sz w:val="24"/>
          <w:szCs w:val="24"/>
          <w:u w:val="single"/>
          <w14:textFill>
            <w14:solidFill>
              <w14:schemeClr w14:val="tx1"/>
            </w14:solidFill>
          </w14:textFill>
        </w:rPr>
        <w:t>投标须知前附表</w:t>
      </w:r>
      <w:r>
        <w:rPr>
          <w:rFonts w:hint="eastAsia" w:ascii="宋体" w:hAnsi="宋体" w:eastAsia="宋体" w:cs="宋体"/>
          <w:bCs/>
          <w:color w:val="000000" w:themeColor="text1"/>
          <w:sz w:val="24"/>
          <w:szCs w:val="24"/>
          <w14:textFill>
            <w14:solidFill>
              <w14:schemeClr w14:val="tx1"/>
            </w14:solidFill>
          </w14:textFill>
        </w:rPr>
        <w:t>另有规定外，本次招标不接受具有附加条件的报价，否则将被视为无效投标。</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投标人的投标报价高于采购预算或最高单价限价的，该投标人的投标文件将被视为非响应性报价作无效投标处理。</w:t>
      </w:r>
    </w:p>
    <w:p>
      <w:pPr>
        <w:pStyle w:val="63"/>
        <w:numPr>
          <w:ilvl w:val="0"/>
          <w:numId w:val="13"/>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中标人向招标代理机构交纳中标服务费，中标服务费不在投标报价中单列。</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13</w:t>
      </w:r>
      <w:r>
        <w:rPr>
          <w:rFonts w:hint="eastAsia" w:ascii="宋体" w:hAnsi="宋体" w:eastAsia="宋体" w:cs="宋体"/>
          <w:b/>
          <w:color w:val="000000" w:themeColor="text1"/>
          <w:sz w:val="24"/>
          <w:szCs w:val="28"/>
          <w14:textFill>
            <w14:solidFill>
              <w14:schemeClr w14:val="tx1"/>
            </w14:solidFill>
          </w14:textFill>
        </w:rPr>
        <w:t>投标货币</w:t>
      </w:r>
    </w:p>
    <w:p>
      <w:pPr>
        <w:pStyle w:val="63"/>
        <w:numPr>
          <w:ilvl w:val="0"/>
          <w:numId w:val="15"/>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投标货币以人民币标价，以其它货币标价的投标将予以拒绝。</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14</w:t>
      </w:r>
      <w:r>
        <w:rPr>
          <w:rFonts w:hint="eastAsia" w:ascii="宋体" w:hAnsi="宋体" w:eastAsia="宋体" w:cs="宋体"/>
          <w:b/>
          <w:color w:val="000000" w:themeColor="text1"/>
          <w:sz w:val="24"/>
          <w:szCs w:val="28"/>
          <w14:textFill>
            <w14:solidFill>
              <w14:schemeClr w14:val="tx1"/>
            </w14:solidFill>
          </w14:textFill>
        </w:rPr>
        <w:t>联合体投标</w:t>
      </w:r>
    </w:p>
    <w:p>
      <w:pPr>
        <w:pStyle w:val="63"/>
        <w:numPr>
          <w:ilvl w:val="0"/>
          <w:numId w:val="16"/>
        </w:numPr>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除非</w:t>
      </w:r>
      <w:r>
        <w:rPr>
          <w:rFonts w:hint="eastAsia" w:ascii="宋体" w:hAnsi="宋体" w:eastAsia="宋体" w:cs="宋体"/>
          <w:b/>
          <w:bCs/>
          <w:color w:val="000000" w:themeColor="text1"/>
          <w:sz w:val="24"/>
          <w:szCs w:val="24"/>
          <w:u w:val="single"/>
          <w14:textFill>
            <w14:solidFill>
              <w14:schemeClr w14:val="tx1"/>
            </w14:solidFill>
          </w14:textFill>
        </w:rPr>
        <w:t>招标公告/投标邀请函</w:t>
      </w:r>
      <w:r>
        <w:rPr>
          <w:rFonts w:hint="eastAsia" w:ascii="宋体" w:hAnsi="宋体" w:eastAsia="宋体" w:cs="宋体"/>
          <w:bCs/>
          <w:color w:val="000000" w:themeColor="text1"/>
          <w:sz w:val="24"/>
          <w:szCs w:val="24"/>
          <w14:textFill>
            <w14:solidFill>
              <w14:schemeClr w14:val="tx1"/>
            </w14:solidFill>
          </w14:textFill>
        </w:rPr>
        <w:t>中另有规定，不接受联合体投标。如果投标邀请中规定允许联合体投标的，则必须满足：</w:t>
      </w:r>
    </w:p>
    <w:p>
      <w:pPr>
        <w:pStyle w:val="63"/>
        <w:numPr>
          <w:ilvl w:val="0"/>
          <w:numId w:val="17"/>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以联合体形式进行采购的，参加联合体的投标人均应当具备《中华人民共和国政府采购法》第二十二条规定的条件，联合体各方之间应当签订联合体协议，明确约定联合体各方承担的工作和义务，并将共同联合体协议连同投标文件一并提交；</w:t>
      </w:r>
    </w:p>
    <w:p>
      <w:pPr>
        <w:pStyle w:val="63"/>
        <w:numPr>
          <w:ilvl w:val="0"/>
          <w:numId w:val="17"/>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联合体各方签订共同投标协议书后，不得再以自己名义单独在同一项目（采购包）中投标，也不得组成新的联合体参加同一项目（采购包）投标，若违反规定则其参与的所有投标将视为无效投标；</w:t>
      </w:r>
    </w:p>
    <w:p>
      <w:pPr>
        <w:pStyle w:val="63"/>
        <w:numPr>
          <w:ilvl w:val="0"/>
          <w:numId w:val="17"/>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联合体投标的，可以由联合体中的一方或者共同提交投标保证金，以一方名义提交投标保证金的，对联合体各方均具有约束力；</w:t>
      </w:r>
    </w:p>
    <w:p>
      <w:pPr>
        <w:pStyle w:val="63"/>
        <w:numPr>
          <w:ilvl w:val="0"/>
          <w:numId w:val="17"/>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联合体中有同类资质的投标人按照联合体分工承担相同工作的，按照资质等级较低的投标人确定资质等级。</w:t>
      </w:r>
    </w:p>
    <w:p>
      <w:pPr>
        <w:pStyle w:val="63"/>
        <w:numPr>
          <w:ilvl w:val="0"/>
          <w:numId w:val="17"/>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联合体各方应当共同与招标人签订采购合同，就采购合同约定的事项对招标人承担连带责任。</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bookmarkStart w:id="52" w:name="_Toc357676125"/>
      <w:r>
        <w:rPr>
          <w:rFonts w:hint="eastAsia" w:ascii="宋体" w:hAnsi="宋体" w:eastAsia="宋体" w:cs="宋体"/>
          <w:b/>
          <w:szCs w:val="28"/>
        </w:rPr>
        <w:t>15</w:t>
      </w:r>
      <w:r>
        <w:rPr>
          <w:rFonts w:hint="eastAsia" w:ascii="宋体" w:hAnsi="宋体" w:eastAsia="宋体" w:cs="宋体"/>
          <w:b/>
          <w:color w:val="000000" w:themeColor="text1"/>
          <w:sz w:val="24"/>
          <w:szCs w:val="28"/>
          <w14:textFill>
            <w14:solidFill>
              <w14:schemeClr w14:val="tx1"/>
            </w14:solidFill>
          </w14:textFill>
        </w:rPr>
        <w:t>证明投标人合格和资格的文件</w:t>
      </w:r>
      <w:bookmarkEnd w:id="52"/>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15.1投标人应提交证明其有资格参加投标和中标后有能力履行合同的文件，并作为其投标文件的一部分。如果投标人为联合体，应提交联合体各方的资格证明文件、共同投标协议并注明主体方及各方拟承担的工作和责任。</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15.2投标人提交的资格证明文件应证明其满足本须知定义的合格投标人。</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16</w:t>
      </w:r>
      <w:r>
        <w:rPr>
          <w:rFonts w:hint="eastAsia" w:ascii="宋体" w:hAnsi="宋体" w:eastAsia="宋体" w:cs="宋体"/>
          <w:b/>
          <w:color w:val="000000" w:themeColor="text1"/>
          <w:sz w:val="24"/>
          <w:szCs w:val="28"/>
          <w14:textFill>
            <w14:solidFill>
              <w14:schemeClr w14:val="tx1"/>
            </w14:solidFill>
          </w14:textFill>
        </w:rPr>
        <w:t>投标担保</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16.1投标人投标时须附有投标保证金为：</w:t>
      </w:r>
      <w:r>
        <w:rPr>
          <w:rFonts w:hint="eastAsia" w:ascii="宋体" w:hAnsi="宋体" w:eastAsia="宋体" w:cs="宋体"/>
          <w:bCs/>
          <w:color w:val="000000" w:themeColor="text1"/>
          <w:sz w:val="24"/>
          <w:szCs w:val="24"/>
          <w:u w:val="single"/>
          <w14:textFill>
            <w14:solidFill>
              <w14:schemeClr w14:val="tx1"/>
            </w14:solidFill>
          </w14:textFill>
        </w:rPr>
        <w:t>（</w:t>
      </w:r>
      <w:r>
        <w:rPr>
          <w:rFonts w:hint="eastAsia" w:ascii="宋体" w:hAnsi="宋体" w:eastAsia="宋体" w:cs="宋体"/>
          <w:b/>
          <w:bCs/>
          <w:color w:val="000000" w:themeColor="text1"/>
          <w:sz w:val="24"/>
          <w:szCs w:val="24"/>
          <w:u w:val="single"/>
          <w14:textFill>
            <w14:solidFill>
              <w14:schemeClr w14:val="tx1"/>
            </w14:solidFill>
          </w14:textFill>
        </w:rPr>
        <w:t>详见投标须知前附表</w:t>
      </w:r>
      <w:r>
        <w:rPr>
          <w:rFonts w:hint="eastAsia" w:ascii="宋体" w:hAnsi="宋体" w:eastAsia="宋体" w:cs="宋体"/>
          <w:bCs/>
          <w:color w:val="000000" w:themeColor="text1"/>
          <w:sz w:val="24"/>
          <w:szCs w:val="24"/>
          <w:u w:val="single"/>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16.2投标保证金作为供应商投标的组成部分，与投标文件一同递交。</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16.3投标人应按要求提交投标保证金，投标保证金应当以支票、汇票、本票或者金融机构、担保机构出具的保函等非现金形式提交。投标人与交款人名称必须一致，非投标人缴纳的投标保证金无效。</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16.4如项目出现分包情况的，投标人必须按包号分别提交投标保证金并注明包号；</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16.5提交保证金时应符合下列规定：</w:t>
      </w:r>
    </w:p>
    <w:p>
      <w:pPr>
        <w:pStyle w:val="63"/>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16.5.1投标保证金以转账形式递交的，请务必按以下信息填写汇款单：</w:t>
      </w:r>
      <w:r>
        <w:rPr>
          <w:rFonts w:hint="eastAsia" w:ascii="宋体" w:hAnsi="宋体" w:eastAsia="宋体" w:cs="宋体"/>
          <w:bCs/>
          <w:color w:val="000000" w:themeColor="text1"/>
          <w:sz w:val="24"/>
          <w:szCs w:val="24"/>
          <w:u w:val="single"/>
          <w14:textFill>
            <w14:solidFill>
              <w14:schemeClr w14:val="tx1"/>
            </w14:solidFill>
          </w14:textFill>
        </w:rPr>
        <w:t>（</w:t>
      </w:r>
      <w:r>
        <w:rPr>
          <w:rFonts w:hint="eastAsia" w:ascii="宋体" w:hAnsi="宋体" w:eastAsia="宋体" w:cs="宋体"/>
          <w:b/>
          <w:bCs/>
          <w:color w:val="000000" w:themeColor="text1"/>
          <w:sz w:val="24"/>
          <w:szCs w:val="24"/>
          <w:u w:val="single"/>
          <w14:textFill>
            <w14:solidFill>
              <w14:schemeClr w14:val="tx1"/>
            </w14:solidFill>
          </w14:textFill>
        </w:rPr>
        <w:t>详见投标须知前附表</w:t>
      </w:r>
      <w:r>
        <w:rPr>
          <w:rFonts w:hint="eastAsia" w:ascii="宋体" w:hAnsi="宋体" w:eastAsia="宋体" w:cs="宋体"/>
          <w:bCs/>
          <w:color w:val="000000" w:themeColor="text1"/>
          <w:sz w:val="24"/>
          <w:szCs w:val="24"/>
          <w:u w:val="single"/>
          <w14:textFill>
            <w14:solidFill>
              <w14:schemeClr w14:val="tx1"/>
            </w14:solidFill>
          </w14:textFill>
        </w:rPr>
        <w:t>），汇入该账户</w:t>
      </w:r>
      <w:r>
        <w:rPr>
          <w:rFonts w:hint="eastAsia" w:ascii="宋体" w:hAnsi="宋体" w:eastAsia="宋体" w:cs="宋体"/>
          <w:bCs/>
          <w:color w:val="000000" w:themeColor="text1"/>
          <w:sz w:val="24"/>
          <w:szCs w:val="24"/>
          <w14:textFill>
            <w14:solidFill>
              <w14:schemeClr w14:val="tx1"/>
            </w14:solidFill>
          </w14:textFill>
        </w:rPr>
        <w:t>。</w:t>
      </w:r>
    </w:p>
    <w:p>
      <w:pPr>
        <w:pStyle w:val="63"/>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16.5.2采用《政府采购投标担保函》递交的，投标担保函有效期应与投标有效期一致。</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16.6未中标的投标人的投标保证金将在本项目《中标通知书》发出之日起5个工作日内退还。中标人的投标保证金自采购合同签订之日起5个工作日内退还。</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16.7中标人有下列情形之一的，投标保证金将被没收：</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16.7.1投标人在招标文件中规定的投标有效期内撤销其投标文件；</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16.7.2提供虚假材料谋取中标的；</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16.7.3中标后，无正当理由放弃中标资格；</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16.7.4中标后，无正当理由不与招标人签订合同；</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16.7.5法律法规规定的其它行为。</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17</w:t>
      </w:r>
      <w:r>
        <w:rPr>
          <w:rFonts w:hint="eastAsia" w:ascii="宋体" w:hAnsi="宋体" w:eastAsia="宋体" w:cs="宋体"/>
          <w:b/>
          <w:color w:val="000000" w:themeColor="text1"/>
          <w:sz w:val="24"/>
          <w:szCs w:val="28"/>
          <w14:textFill>
            <w14:solidFill>
              <w14:schemeClr w14:val="tx1"/>
            </w14:solidFill>
          </w14:textFill>
        </w:rPr>
        <w:t>投标有效期</w:t>
      </w:r>
    </w:p>
    <w:p>
      <w:pPr>
        <w:pStyle w:val="63"/>
        <w:spacing w:line="360" w:lineRule="auto"/>
        <w:ind w:left="567" w:hanging="567"/>
        <w:contextualSpacing w:val="0"/>
        <w:rPr>
          <w:rFonts w:hint="eastAsia" w:ascii="宋体" w:hAnsi="宋体" w:eastAsia="宋体" w:cs="宋体"/>
          <w:bCs/>
          <w:color w:val="000000" w:themeColor="text1"/>
          <w:spacing w:val="-2"/>
          <w:sz w:val="24"/>
          <w:szCs w:val="24"/>
          <w14:textFill>
            <w14:solidFill>
              <w14:schemeClr w14:val="tx1"/>
            </w14:solidFill>
          </w14:textFill>
        </w:rPr>
      </w:pPr>
      <w:r>
        <w:rPr>
          <w:rFonts w:hint="eastAsia" w:ascii="宋体" w:hAnsi="宋体" w:eastAsia="宋体" w:cs="宋体"/>
          <w:bCs/>
          <w:color w:val="000000" w:themeColor="text1"/>
          <w:spacing w:val="-2"/>
          <w:sz w:val="24"/>
          <w:szCs w:val="24"/>
          <w14:textFill>
            <w14:solidFill>
              <w14:schemeClr w14:val="tx1"/>
            </w14:solidFill>
          </w14:textFill>
        </w:rPr>
        <w:t>17.1投标</w:t>
      </w:r>
      <w:r>
        <w:rPr>
          <w:rFonts w:hint="eastAsia" w:ascii="宋体" w:hAnsi="宋体" w:eastAsia="宋体" w:cs="宋体"/>
          <w:color w:val="000000" w:themeColor="text1"/>
          <w:sz w:val="24"/>
          <w:szCs w:val="28"/>
          <w14:textFill>
            <w14:solidFill>
              <w14:schemeClr w14:val="tx1"/>
            </w14:solidFill>
          </w14:textFill>
        </w:rPr>
        <w:t>有效期自招标文件规定的</w:t>
      </w:r>
      <w:r>
        <w:rPr>
          <w:rFonts w:hint="eastAsia" w:ascii="宋体" w:hAnsi="宋体" w:eastAsia="宋体" w:cs="宋体"/>
          <w:bCs/>
          <w:color w:val="000000" w:themeColor="text1"/>
          <w:spacing w:val="-2"/>
          <w:sz w:val="24"/>
          <w:szCs w:val="24"/>
          <w14:textFill>
            <w14:solidFill>
              <w14:schemeClr w14:val="tx1"/>
            </w14:solidFill>
          </w14:textFill>
        </w:rPr>
        <w:t>投标文件</w:t>
      </w:r>
      <w:r>
        <w:rPr>
          <w:rFonts w:hint="eastAsia" w:ascii="宋体" w:hAnsi="宋体" w:eastAsia="宋体" w:cs="宋体"/>
          <w:color w:val="000000" w:themeColor="text1"/>
          <w:sz w:val="24"/>
          <w:szCs w:val="28"/>
          <w14:textFill>
            <w14:solidFill>
              <w14:schemeClr w14:val="tx1"/>
            </w14:solidFill>
          </w14:textFill>
        </w:rPr>
        <w:t>递交截止时间起算</w:t>
      </w:r>
      <w:r>
        <w:rPr>
          <w:rFonts w:hint="eastAsia" w:ascii="宋体" w:hAnsi="宋体" w:eastAsia="宋体" w:cs="宋体"/>
          <w:bCs/>
          <w:color w:val="000000" w:themeColor="text1"/>
          <w:spacing w:val="-2"/>
          <w:sz w:val="24"/>
          <w:szCs w:val="24"/>
          <w14:textFill>
            <w14:solidFill>
              <w14:schemeClr w14:val="tx1"/>
            </w14:solidFill>
          </w14:textFill>
        </w:rPr>
        <w:t>，并在</w:t>
      </w:r>
      <w:r>
        <w:rPr>
          <w:rFonts w:hint="eastAsia" w:ascii="宋体" w:hAnsi="宋体" w:eastAsia="宋体" w:cs="宋体"/>
          <w:b/>
          <w:color w:val="000000" w:themeColor="text1"/>
          <w:sz w:val="24"/>
          <w:szCs w:val="24"/>
          <w:u w:val="single"/>
          <w14:textFill>
            <w14:solidFill>
              <w14:schemeClr w14:val="tx1"/>
            </w14:solidFill>
          </w14:textFill>
        </w:rPr>
        <w:t>投标须知前附表</w:t>
      </w:r>
      <w:r>
        <w:rPr>
          <w:rFonts w:hint="eastAsia" w:ascii="宋体" w:hAnsi="宋体" w:eastAsia="宋体" w:cs="宋体"/>
          <w:color w:val="000000" w:themeColor="text1"/>
          <w:sz w:val="24"/>
          <w:szCs w:val="28"/>
          <w14:textFill>
            <w14:solidFill>
              <w14:schemeClr w14:val="tx1"/>
            </w14:solidFill>
          </w14:textFill>
        </w:rPr>
        <w:t>中所述期限内有效</w:t>
      </w:r>
      <w:r>
        <w:rPr>
          <w:rFonts w:hint="eastAsia" w:ascii="宋体" w:hAnsi="宋体" w:eastAsia="宋体" w:cs="宋体"/>
          <w:bCs/>
          <w:color w:val="000000" w:themeColor="text1"/>
          <w:spacing w:val="-2"/>
          <w:sz w:val="24"/>
          <w:szCs w:val="24"/>
          <w14:textFill>
            <w14:solidFill>
              <w14:schemeClr w14:val="tx1"/>
            </w14:solidFill>
          </w14:textFill>
        </w:rPr>
        <w:t>。投标有效期</w:t>
      </w:r>
      <w:r>
        <w:rPr>
          <w:rFonts w:hint="eastAsia" w:ascii="宋体" w:hAnsi="宋体" w:eastAsia="宋体" w:cs="宋体"/>
          <w:color w:val="000000" w:themeColor="text1"/>
          <w:sz w:val="24"/>
          <w:szCs w:val="28"/>
          <w14:textFill>
            <w14:solidFill>
              <w14:schemeClr w14:val="tx1"/>
            </w14:solidFill>
          </w14:textFill>
        </w:rPr>
        <w:t>比规定时间短</w:t>
      </w:r>
      <w:r>
        <w:rPr>
          <w:rFonts w:hint="eastAsia" w:ascii="宋体" w:hAnsi="宋体" w:eastAsia="宋体" w:cs="宋体"/>
          <w:bCs/>
          <w:color w:val="000000" w:themeColor="text1"/>
          <w:spacing w:val="-2"/>
          <w:sz w:val="24"/>
          <w:szCs w:val="24"/>
          <w14:textFill>
            <w14:solidFill>
              <w14:schemeClr w14:val="tx1"/>
            </w14:solidFill>
          </w14:textFill>
        </w:rPr>
        <w:t>的投标将被视为非实质性响应，视为无效投标。</w:t>
      </w:r>
    </w:p>
    <w:p>
      <w:pPr>
        <w:pStyle w:val="63"/>
        <w:spacing w:line="360" w:lineRule="auto"/>
        <w:ind w:left="567" w:hanging="567"/>
        <w:contextualSpacing w:val="0"/>
        <w:rPr>
          <w:rFonts w:hint="eastAsia" w:ascii="宋体" w:hAnsi="宋体" w:eastAsia="宋体" w:cs="宋体"/>
          <w:bCs/>
          <w:color w:val="000000" w:themeColor="text1"/>
          <w:spacing w:val="-2"/>
          <w:sz w:val="24"/>
          <w:szCs w:val="24"/>
          <w14:textFill>
            <w14:solidFill>
              <w14:schemeClr w14:val="tx1"/>
            </w14:solidFill>
          </w14:textFill>
        </w:rPr>
      </w:pPr>
      <w:r>
        <w:rPr>
          <w:rFonts w:hint="eastAsia" w:ascii="宋体" w:hAnsi="宋体" w:eastAsia="宋体" w:cs="宋体"/>
          <w:bCs/>
          <w:color w:val="000000" w:themeColor="text1"/>
          <w:spacing w:val="-2"/>
          <w:sz w:val="24"/>
          <w:szCs w:val="24"/>
          <w14:textFill>
            <w14:solidFill>
              <w14:schemeClr w14:val="tx1"/>
            </w14:solidFill>
          </w14:textFill>
        </w:rPr>
        <w:t>17.2</w:t>
      </w:r>
      <w:r>
        <w:rPr>
          <w:rFonts w:hint="eastAsia" w:ascii="宋体" w:hAnsi="宋体" w:eastAsia="宋体" w:cs="宋体"/>
          <w:bCs/>
          <w:color w:val="000000" w:themeColor="text1"/>
          <w:sz w:val="24"/>
          <w:szCs w:val="24"/>
          <w14:textFill>
            <w14:solidFill>
              <w14:schemeClr w14:val="tx1"/>
            </w14:solidFill>
          </w14:textFill>
        </w:rPr>
        <w:t>出现特殊情况需延长投标有效期的，招标人或招标代理机构可于投标有效期满之前要求投标人同意延长有效期，要求与答复均以书面形式通知所有投标人。投标人同意延长的，应相应延长其投标保证金的有效期，但不得要求或被允许修改或撤销其投标文件；投标人可以拒绝延长有效期，但其投标将会被视为无效，拒绝延长有效期的投标人有权收回其投标保证金。</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bookmarkStart w:id="53" w:name="_Toc357676129"/>
      <w:r>
        <w:rPr>
          <w:rFonts w:hint="eastAsia" w:ascii="宋体" w:hAnsi="宋体" w:eastAsia="宋体" w:cs="宋体"/>
          <w:b/>
          <w:szCs w:val="28"/>
        </w:rPr>
        <w:t>18</w:t>
      </w:r>
      <w:r>
        <w:rPr>
          <w:rFonts w:hint="eastAsia" w:ascii="宋体" w:hAnsi="宋体" w:eastAsia="宋体" w:cs="宋体"/>
          <w:b/>
          <w:color w:val="000000" w:themeColor="text1"/>
          <w:sz w:val="24"/>
          <w:szCs w:val="28"/>
          <w14:textFill>
            <w14:solidFill>
              <w14:schemeClr w14:val="tx1"/>
            </w14:solidFill>
          </w14:textFill>
        </w:rPr>
        <w:t>投标文件的式样和签署</w:t>
      </w:r>
      <w:bookmarkEnd w:id="53"/>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18.1投标文件的式样：投标人应准备一份投标文件正本、电子文件、唱标信封和</w:t>
      </w:r>
      <w:bookmarkStart w:id="54" w:name="_Hlk81180014"/>
      <w:r>
        <w:rPr>
          <w:rFonts w:hint="eastAsia" w:ascii="宋体" w:hAnsi="宋体" w:eastAsia="宋体" w:cs="宋体"/>
          <w:b/>
          <w:color w:val="000000" w:themeColor="text1"/>
          <w:sz w:val="24"/>
          <w:szCs w:val="24"/>
          <w:u w:val="single"/>
          <w14:textFill>
            <w14:solidFill>
              <w14:schemeClr w14:val="tx1"/>
            </w14:solidFill>
          </w14:textFill>
        </w:rPr>
        <w:t>详见投标须知前附表</w:t>
      </w:r>
      <w:bookmarkEnd w:id="54"/>
      <w:r>
        <w:rPr>
          <w:rFonts w:hint="eastAsia" w:ascii="宋体" w:hAnsi="宋体" w:eastAsia="宋体" w:cs="宋体"/>
          <w:bCs/>
          <w:color w:val="000000" w:themeColor="text1"/>
          <w:sz w:val="24"/>
          <w:szCs w:val="24"/>
          <w14:textFill>
            <w14:solidFill>
              <w14:schemeClr w14:val="tx1"/>
            </w14:solidFill>
          </w14:textFill>
        </w:rPr>
        <w:t>中规定数目的副本，投标文件的副本可采用正本的复印件。每套投标文件须清楚地标明“正本”或“副本”。若副本与正本不符，以正本为准。</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18.2投标文件的签署：</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18.2.1投标文件的正本需打印或用不褪色墨水书写，投标文件要求签名的由法定代表人或经其正式授权的代表签字，投标文件要求盖章的需加盖投标人公章，副本可由正本复印而成，与正本具有同等法律效力。授权代表须将以书面形式出具的《法定代表人授权委托书》附在投标文件中；</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18.2.2投标文件中的任何重要的插字、涂改和增删，必须由法定代表人或经其正式授权的代表在旁边签署。</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18.3投标文件的“正本”及所有“副本”的封面及骑缝均须由投标人加盖投标人公章。</w:t>
      </w:r>
    </w:p>
    <w:p>
      <w:pPr>
        <w:pStyle w:val="63"/>
        <w:numPr>
          <w:ilvl w:val="0"/>
          <w:numId w:val="2"/>
        </w:numPr>
        <w:spacing w:before="312" w:beforeLines="100" w:line="360" w:lineRule="auto"/>
        <w:contextualSpacing w:val="0"/>
        <w:rPr>
          <w:rFonts w:hint="eastAsia" w:ascii="宋体" w:hAnsi="宋体" w:eastAsia="宋体"/>
          <w:b/>
          <w:bCs/>
          <w:color w:val="000000" w:themeColor="text1"/>
          <w:sz w:val="28"/>
          <w:szCs w:val="28"/>
          <w14:textFill>
            <w14:solidFill>
              <w14:schemeClr w14:val="tx1"/>
            </w14:solidFill>
          </w14:textFill>
        </w:rPr>
      </w:pPr>
      <w:r>
        <w:rPr>
          <w:rFonts w:hint="eastAsia" w:ascii="宋体" w:hAnsi="宋体" w:eastAsia="宋体" w:cs="微软雅黑"/>
          <w:b/>
          <w:bCs/>
          <w:color w:val="000000" w:themeColor="text1"/>
          <w:sz w:val="28"/>
          <w:szCs w:val="28"/>
          <w14:textFill>
            <w14:solidFill>
              <w14:schemeClr w14:val="tx1"/>
            </w14:solidFill>
          </w14:textFill>
        </w:rPr>
        <w:t>投标文件的递交</w:t>
      </w:r>
      <w:bookmarkEnd w:id="49"/>
      <w:bookmarkEnd w:id="50"/>
    </w:p>
    <w:p>
      <w:pPr>
        <w:pStyle w:val="63"/>
        <w:spacing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bookmarkStart w:id="55" w:name="_Toc357676131"/>
      <w:r>
        <w:rPr>
          <w:rFonts w:hint="eastAsia" w:ascii="宋体" w:hAnsi="宋体" w:eastAsia="宋体" w:cs="宋体"/>
          <w:b/>
          <w:szCs w:val="24"/>
        </w:rPr>
        <w:t>19</w:t>
      </w:r>
      <w:r>
        <w:rPr>
          <w:rFonts w:hint="eastAsia" w:ascii="宋体" w:hAnsi="宋体" w:eastAsia="宋体" w:cs="宋体"/>
          <w:b/>
          <w:color w:val="000000" w:themeColor="text1"/>
          <w:sz w:val="24"/>
          <w:szCs w:val="24"/>
          <w14:textFill>
            <w14:solidFill>
              <w14:schemeClr w14:val="tx1"/>
            </w14:solidFill>
          </w14:textFill>
        </w:rPr>
        <w:t>投标文件的装订、密封和标记</w:t>
      </w:r>
      <w:bookmarkEnd w:id="55"/>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19.1投标人应当对投标文件进行装订（所有文件均不允许采用活动夹方式装订），如投标人对招标文件多个包组进行投标的，其投标文件的编制应按每个包的要求分别装订和封装。</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2478"/>
        <w:gridCol w:w="1624"/>
        <w:gridCol w:w="3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396" w:type="pct"/>
            <w:vAlign w:val="center"/>
          </w:tcPr>
          <w:p>
            <w:pPr>
              <w:spacing w:line="360" w:lineRule="auto"/>
              <w:jc w:val="center"/>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序号</w:t>
            </w:r>
          </w:p>
        </w:tc>
        <w:tc>
          <w:tcPr>
            <w:tcW w:w="1413" w:type="pct"/>
            <w:vAlign w:val="center"/>
          </w:tcPr>
          <w:p>
            <w:pPr>
              <w:spacing w:line="360" w:lineRule="auto"/>
              <w:jc w:val="center"/>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文件名称</w:t>
            </w:r>
          </w:p>
        </w:tc>
        <w:tc>
          <w:tcPr>
            <w:tcW w:w="926" w:type="pct"/>
            <w:vAlign w:val="center"/>
          </w:tcPr>
          <w:p>
            <w:pPr>
              <w:spacing w:line="360" w:lineRule="auto"/>
              <w:jc w:val="center"/>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装订</w:t>
            </w:r>
          </w:p>
        </w:tc>
        <w:tc>
          <w:tcPr>
            <w:tcW w:w="2264" w:type="pct"/>
            <w:vAlign w:val="center"/>
          </w:tcPr>
          <w:p>
            <w:pPr>
              <w:spacing w:line="360" w:lineRule="auto"/>
              <w:jc w:val="center"/>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1413"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投标文件</w:t>
            </w:r>
          </w:p>
        </w:tc>
        <w:tc>
          <w:tcPr>
            <w:tcW w:w="926"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独立装订</w:t>
            </w:r>
          </w:p>
        </w:tc>
        <w:tc>
          <w:tcPr>
            <w:tcW w:w="2264"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正本、副本一起密封包装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p>
        </w:tc>
        <w:tc>
          <w:tcPr>
            <w:tcW w:w="1413"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唱标信封</w:t>
            </w:r>
          </w:p>
        </w:tc>
        <w:tc>
          <w:tcPr>
            <w:tcW w:w="926"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独立装订</w:t>
            </w:r>
          </w:p>
        </w:tc>
        <w:tc>
          <w:tcPr>
            <w:tcW w:w="2264" w:type="pct"/>
            <w:vAlign w:val="center"/>
          </w:tcPr>
          <w:p>
            <w:pPr>
              <w:spacing w:line="360" w:lineRule="auto"/>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单独密封包装(内附电子文件)</w:t>
            </w:r>
          </w:p>
        </w:tc>
      </w:tr>
    </w:tbl>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19.2电子文件</w:t>
      </w:r>
      <w:bookmarkStart w:id="56" w:name="_Hlk86740118"/>
      <w:r>
        <w:rPr>
          <w:rFonts w:hint="eastAsia" w:ascii="宋体" w:hAnsi="宋体" w:eastAsia="宋体" w:cs="宋体"/>
          <w:bCs/>
          <w:color w:val="000000" w:themeColor="text1"/>
          <w:sz w:val="24"/>
          <w:szCs w:val="24"/>
          <w14:textFill>
            <w14:solidFill>
              <w14:schemeClr w14:val="tx1"/>
            </w14:solidFill>
          </w14:textFill>
        </w:rPr>
        <w:t>须同时提交以下文件</w:t>
      </w:r>
      <w:bookmarkEnd w:id="56"/>
      <w:r>
        <w:rPr>
          <w:rFonts w:hint="eastAsia" w:ascii="宋体" w:hAnsi="宋体" w:eastAsia="宋体" w:cs="宋体"/>
          <w:bCs/>
          <w:color w:val="000000" w:themeColor="text1"/>
          <w:sz w:val="24"/>
          <w:szCs w:val="24"/>
          <w14:textFill>
            <w14:solidFill>
              <w14:schemeClr w14:val="tx1"/>
            </w14:solidFill>
          </w14:textFill>
        </w:rPr>
        <w:t>：</w:t>
      </w:r>
      <w:bookmarkStart w:id="57" w:name="_Hlk86740096"/>
      <w:r>
        <w:rPr>
          <w:rFonts w:hint="eastAsia" w:ascii="宋体" w:hAnsi="宋体" w:eastAsia="宋体" w:cs="宋体"/>
          <w:bCs/>
          <w:color w:val="000000" w:themeColor="text1"/>
          <w:sz w:val="24"/>
          <w:szCs w:val="24"/>
          <w14:textFill>
            <w14:solidFill>
              <w14:schemeClr w14:val="tx1"/>
            </w14:solidFill>
          </w14:textFill>
        </w:rPr>
        <w:t>①可编辑的WORD或EXCEL格式文件。②按招标文件要求签署、盖章后的正本投标文件扫描成PDF格式文件。电子文件由U盘储存</w:t>
      </w:r>
      <w:bookmarkEnd w:id="57"/>
      <w:r>
        <w:rPr>
          <w:rFonts w:hint="eastAsia" w:ascii="宋体" w:hAnsi="宋体" w:eastAsia="宋体" w:cs="宋体"/>
          <w:bCs/>
          <w:color w:val="000000" w:themeColor="text1"/>
          <w:sz w:val="24"/>
          <w:szCs w:val="24"/>
          <w14:textFill>
            <w14:solidFill>
              <w14:schemeClr w14:val="tx1"/>
            </w14:solidFill>
          </w14:textFill>
        </w:rPr>
        <w:t>。</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19.3为方便开标唱标，投标人应将投标函、开标一览表、分项报价表（如适用）、法定代表人身份证明书或法定代表人授权委托书、投标保证金缴付凭证、投标保证金汇入情况说明一起密封提交，若联合体投标，应将各方共同签署的《联合体投标协议》一并提交；并在信封上标明“唱标信封”的字样。</w:t>
      </w:r>
    </w:p>
    <w:p>
      <w:pPr>
        <w:pStyle w:val="63"/>
        <w:spacing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20</w:t>
      </w:r>
      <w:r>
        <w:rPr>
          <w:rFonts w:hint="eastAsia" w:ascii="宋体" w:hAnsi="宋体" w:eastAsia="宋体" w:cs="宋体"/>
          <w:b/>
          <w:color w:val="000000" w:themeColor="text1"/>
          <w:sz w:val="24"/>
          <w:szCs w:val="24"/>
          <w14:textFill>
            <w14:solidFill>
              <w14:schemeClr w14:val="tx1"/>
            </w14:solidFill>
          </w14:textFill>
        </w:rPr>
        <w:t>投标文件</w:t>
      </w:r>
      <w:r>
        <w:rPr>
          <w:rFonts w:hint="eastAsia" w:ascii="宋体" w:hAnsi="宋体" w:eastAsia="宋体" w:cs="宋体"/>
          <w:b/>
          <w:bCs/>
          <w:color w:val="000000" w:themeColor="text1"/>
          <w:sz w:val="24"/>
          <w:szCs w:val="24"/>
          <w14:textFill>
            <w14:solidFill>
              <w14:schemeClr w14:val="tx1"/>
            </w14:solidFill>
          </w14:textFill>
        </w:rPr>
        <w:t>包装密封</w:t>
      </w:r>
    </w:p>
    <w:p>
      <w:pPr>
        <w:pStyle w:val="63"/>
        <w:tabs>
          <w:tab w:val="left" w:pos="567"/>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20.1投标人应将投标文件密封包装；</w:t>
      </w:r>
    </w:p>
    <w:p>
      <w:pPr>
        <w:pStyle w:val="63"/>
        <w:tabs>
          <w:tab w:val="left" w:pos="567"/>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20.2不足以造成投标文件可从外包装内散出而导致投标文件泄密的，不认定为投标文件未密封。</w:t>
      </w:r>
    </w:p>
    <w:p>
      <w:pPr>
        <w:pStyle w:val="63"/>
        <w:tabs>
          <w:tab w:val="left" w:pos="567"/>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20.3包装封套均应注明：</w:t>
      </w:r>
    </w:p>
    <w:p>
      <w:pPr>
        <w:pStyle w:val="63"/>
        <w:spacing w:line="360" w:lineRule="auto"/>
        <w:ind w:left="567"/>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投标人名称：</w:t>
      </w:r>
      <w:r>
        <w:rPr>
          <w:rFonts w:hint="eastAsia" w:ascii="宋体" w:hAnsi="宋体" w:eastAsia="宋体" w:cs="宋体"/>
          <w:color w:val="000000" w:themeColor="text1"/>
          <w:sz w:val="24"/>
          <w:szCs w:val="24"/>
          <w:u w:val="single"/>
          <w14:textFill>
            <w14:solidFill>
              <w14:schemeClr w14:val="tx1"/>
            </w14:solidFill>
          </w14:textFill>
        </w:rPr>
        <w:t xml:space="preserve">                                 </w:t>
      </w:r>
    </w:p>
    <w:p>
      <w:pPr>
        <w:pStyle w:val="63"/>
        <w:spacing w:line="360" w:lineRule="auto"/>
        <w:ind w:left="567"/>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项目名称：</w:t>
      </w:r>
      <w:r>
        <w:rPr>
          <w:rFonts w:hint="eastAsia" w:ascii="宋体" w:hAnsi="宋体" w:eastAsia="宋体" w:cs="宋体"/>
          <w:bCs/>
          <w:color w:val="000000" w:themeColor="text1"/>
          <w:sz w:val="24"/>
          <w:szCs w:val="24"/>
          <w:u w:val="single"/>
          <w14:textFill>
            <w14:solidFill>
              <w14:schemeClr w14:val="tx1"/>
            </w14:solidFill>
          </w14:textFill>
        </w:rPr>
        <w:t xml:space="preserve">        （详见招标公告/投标邀请函）         </w:t>
      </w:r>
    </w:p>
    <w:p>
      <w:pPr>
        <w:pStyle w:val="63"/>
        <w:spacing w:line="360" w:lineRule="auto"/>
        <w:ind w:left="567"/>
        <w:rPr>
          <w:rFonts w:hint="eastAsia" w:ascii="宋体" w:hAnsi="宋体" w:eastAsia="宋体" w:cs="宋体"/>
          <w:bCs/>
          <w:color w:val="000000" w:themeColor="text1"/>
          <w:sz w:val="24"/>
          <w:szCs w:val="24"/>
          <w:u w:val="single"/>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项目编号：</w:t>
      </w:r>
      <w:r>
        <w:rPr>
          <w:rFonts w:hint="eastAsia" w:ascii="宋体" w:hAnsi="宋体" w:eastAsia="宋体" w:cs="宋体"/>
          <w:bCs/>
          <w:color w:val="000000" w:themeColor="text1"/>
          <w:sz w:val="24"/>
          <w:szCs w:val="24"/>
          <w:u w:val="single"/>
          <w14:textFill>
            <w14:solidFill>
              <w14:schemeClr w14:val="tx1"/>
            </w14:solidFill>
          </w14:textFill>
        </w:rPr>
        <w:t xml:space="preserve">        （详见招标公告/投标邀请函）         </w:t>
      </w:r>
    </w:p>
    <w:p>
      <w:pPr>
        <w:pStyle w:val="63"/>
        <w:spacing w:line="360" w:lineRule="auto"/>
        <w:ind w:left="567"/>
        <w:rPr>
          <w:rFonts w:hint="eastAsia" w:ascii="宋体" w:hAnsi="宋体" w:eastAsia="宋体" w:cs="宋体"/>
          <w:bCs/>
          <w:color w:val="000000" w:themeColor="text1"/>
          <w:sz w:val="24"/>
          <w:szCs w:val="24"/>
          <w:u w:val="single"/>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采购包号：</w:t>
      </w:r>
      <w:r>
        <w:rPr>
          <w:rFonts w:hint="eastAsia" w:ascii="宋体" w:hAnsi="宋体" w:eastAsia="宋体" w:cs="宋体"/>
          <w:bCs/>
          <w:color w:val="000000" w:themeColor="text1"/>
          <w:sz w:val="24"/>
          <w:szCs w:val="24"/>
          <w:u w:val="single"/>
          <w14:textFill>
            <w14:solidFill>
              <w14:schemeClr w14:val="tx1"/>
            </w14:solidFill>
          </w14:textFill>
        </w:rPr>
        <w:t xml:space="preserve">                                    </w:t>
      </w:r>
    </w:p>
    <w:p>
      <w:pPr>
        <w:pStyle w:val="63"/>
        <w:spacing w:line="360" w:lineRule="auto"/>
        <w:ind w:left="567"/>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注明：“</w:t>
      </w:r>
      <w:r>
        <w:rPr>
          <w:rFonts w:hint="eastAsia" w:ascii="宋体" w:hAnsi="宋体" w:eastAsia="宋体" w:cs="宋体"/>
          <w:bCs/>
          <w:color w:val="000000" w:themeColor="text1"/>
          <w:sz w:val="24"/>
          <w:szCs w:val="24"/>
          <w:u w:val="single"/>
          <w14:textFill>
            <w14:solidFill>
              <w14:schemeClr w14:val="tx1"/>
            </w14:solidFill>
          </w14:textFill>
        </w:rPr>
        <w:t xml:space="preserve">于  年  月  日北京时间  ：  </w:t>
      </w:r>
      <w:r>
        <w:rPr>
          <w:rFonts w:hint="eastAsia" w:ascii="宋体" w:hAnsi="宋体" w:eastAsia="宋体" w:cs="宋体"/>
          <w:bCs/>
          <w:color w:val="000000" w:themeColor="text1"/>
          <w:sz w:val="24"/>
          <w:szCs w:val="24"/>
          <w14:textFill>
            <w14:solidFill>
              <w14:schemeClr w14:val="tx1"/>
            </w14:solidFill>
          </w14:textFill>
        </w:rPr>
        <w:t>（详见招标公告/投标邀请函）之前不得启封”的字样。</w:t>
      </w:r>
    </w:p>
    <w:p>
      <w:pPr>
        <w:pStyle w:val="63"/>
        <w:tabs>
          <w:tab w:val="left" w:pos="567"/>
        </w:tabs>
        <w:spacing w:line="360" w:lineRule="auto"/>
        <w:ind w:left="567" w:hanging="567"/>
        <w:contextualSpacing w:val="0"/>
        <w:rPr>
          <w:rFonts w:hint="eastAsia" w:ascii="宋体" w:hAnsi="宋体" w:eastAsia="宋体" w:cs="宋体"/>
          <w:bCs/>
          <w:color w:val="000000" w:themeColor="text1"/>
          <w:spacing w:val="-4"/>
          <w:sz w:val="24"/>
          <w:szCs w:val="24"/>
          <w14:textFill>
            <w14:solidFill>
              <w14:schemeClr w14:val="tx1"/>
            </w14:solidFill>
          </w14:textFill>
        </w:rPr>
      </w:pPr>
      <w:r>
        <w:rPr>
          <w:rFonts w:hint="eastAsia" w:ascii="宋体" w:hAnsi="宋体" w:eastAsia="宋体" w:cs="宋体"/>
          <w:bCs/>
          <w:color w:val="000000" w:themeColor="text1"/>
          <w:spacing w:val="-4"/>
          <w:sz w:val="24"/>
          <w:szCs w:val="24"/>
          <w14:textFill>
            <w14:solidFill>
              <w14:schemeClr w14:val="tx1"/>
            </w14:solidFill>
          </w14:textFill>
        </w:rPr>
        <w:t>20.4如果未按本须知上款要求加写标记和密封，招标代理机构对误投或提前启封概不负责。</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21</w:t>
      </w:r>
      <w:r>
        <w:rPr>
          <w:rFonts w:hint="eastAsia" w:ascii="宋体" w:hAnsi="宋体" w:eastAsia="宋体" w:cs="宋体"/>
          <w:b/>
          <w:color w:val="000000" w:themeColor="text1"/>
          <w:sz w:val="24"/>
          <w:szCs w:val="24"/>
          <w14:textFill>
            <w14:solidFill>
              <w14:schemeClr w14:val="tx1"/>
            </w14:solidFill>
          </w14:textFill>
        </w:rPr>
        <w:t>投标截止期</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21.1投标人应在不迟于</w:t>
      </w:r>
      <w:r>
        <w:rPr>
          <w:rFonts w:hint="eastAsia" w:ascii="宋体" w:hAnsi="宋体" w:eastAsia="宋体" w:cs="宋体"/>
          <w:b/>
          <w:bCs/>
          <w:color w:val="000000" w:themeColor="text1"/>
          <w:sz w:val="24"/>
          <w:szCs w:val="24"/>
          <w:u w:val="single"/>
          <w14:textFill>
            <w14:solidFill>
              <w14:schemeClr w14:val="tx1"/>
            </w14:solidFill>
          </w14:textFill>
        </w:rPr>
        <w:t>招标公告/投标邀请函</w:t>
      </w:r>
      <w:r>
        <w:rPr>
          <w:rFonts w:hint="eastAsia" w:ascii="宋体" w:hAnsi="宋体" w:eastAsia="宋体" w:cs="宋体"/>
          <w:bCs/>
          <w:color w:val="000000" w:themeColor="text1"/>
          <w:sz w:val="24"/>
          <w:szCs w:val="24"/>
          <w14:textFill>
            <w14:solidFill>
              <w14:schemeClr w14:val="tx1"/>
            </w14:solidFill>
          </w14:textFill>
        </w:rPr>
        <w:t>中规定的截止日期和时间将投标文件递交至招标代理机构，递交地点应是</w:t>
      </w:r>
      <w:r>
        <w:rPr>
          <w:rFonts w:hint="eastAsia" w:ascii="宋体" w:hAnsi="宋体" w:eastAsia="宋体" w:cs="宋体"/>
          <w:b/>
          <w:bCs/>
          <w:color w:val="000000" w:themeColor="text1"/>
          <w:sz w:val="24"/>
          <w:szCs w:val="24"/>
          <w:u w:val="single"/>
          <w14:textFill>
            <w14:solidFill>
              <w14:schemeClr w14:val="tx1"/>
            </w14:solidFill>
          </w14:textFill>
        </w:rPr>
        <w:t>招标公告/投标邀请函</w:t>
      </w:r>
      <w:r>
        <w:rPr>
          <w:rFonts w:hint="eastAsia" w:ascii="宋体" w:hAnsi="宋体" w:eastAsia="宋体" w:cs="宋体"/>
          <w:bCs/>
          <w:color w:val="000000" w:themeColor="text1"/>
          <w:sz w:val="24"/>
          <w:szCs w:val="24"/>
          <w14:textFill>
            <w14:solidFill>
              <w14:schemeClr w14:val="tx1"/>
            </w14:solidFill>
          </w14:textFill>
        </w:rPr>
        <w:t>中指明的地址。</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21.2招标代理机构将拒绝在规定的投标截止期后收到的任何投标文件。</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bookmarkStart w:id="58" w:name="_Toc357676133"/>
      <w:r>
        <w:rPr>
          <w:rFonts w:hint="eastAsia" w:ascii="宋体" w:hAnsi="宋体" w:eastAsia="宋体" w:cs="宋体"/>
          <w:b/>
          <w:szCs w:val="24"/>
        </w:rPr>
        <w:t>22</w:t>
      </w:r>
      <w:r>
        <w:rPr>
          <w:rFonts w:hint="eastAsia" w:ascii="宋体" w:hAnsi="宋体" w:eastAsia="宋体" w:cs="宋体"/>
          <w:b/>
          <w:color w:val="000000" w:themeColor="text1"/>
          <w:sz w:val="24"/>
          <w:szCs w:val="24"/>
          <w14:textFill>
            <w14:solidFill>
              <w14:schemeClr w14:val="tx1"/>
            </w14:solidFill>
          </w14:textFill>
        </w:rPr>
        <w:t>投标文件的修改和撤回</w:t>
      </w:r>
      <w:bookmarkEnd w:id="58"/>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22.1</w:t>
      </w:r>
      <w:r>
        <w:rPr>
          <w:rFonts w:hint="eastAsia" w:ascii="宋体" w:hAnsi="宋体" w:eastAsia="宋体" w:cs="宋体"/>
          <w:bCs/>
          <w:color w:val="000000" w:themeColor="text1"/>
          <w:spacing w:val="-2"/>
          <w:sz w:val="24"/>
          <w:szCs w:val="24"/>
          <w14:textFill>
            <w14:solidFill>
              <w14:schemeClr w14:val="tx1"/>
            </w14:solidFill>
          </w14:textFill>
        </w:rPr>
        <w:t>投</w:t>
      </w:r>
      <w:r>
        <w:rPr>
          <w:rFonts w:hint="eastAsia" w:ascii="宋体" w:hAnsi="宋体" w:eastAsia="宋体" w:cs="宋体"/>
          <w:bCs/>
          <w:color w:val="000000" w:themeColor="text1"/>
          <w:sz w:val="24"/>
          <w:szCs w:val="24"/>
          <w14:textFill>
            <w14:solidFill>
              <w14:schemeClr w14:val="tx1"/>
            </w14:solidFill>
          </w14:textFill>
        </w:rPr>
        <w:t>标人在投标截止时间前，可以对所递交的投标文件进行补充、修改或者撤回，并书面通知招标代理机构。补充、修改的内容应当按照招标文件要求签署、盖章，密封后，作为投标文件的组成部分。</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22.2在投标截止时间之后，投标人不得对其投标文件做任何修改和补充。</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22.3在提交投标文件截止时间至投标有效期满之前，投标人不得撤回其投标文件。</w:t>
      </w:r>
    </w:p>
    <w:p>
      <w:pPr>
        <w:pStyle w:val="63"/>
        <w:numPr>
          <w:ilvl w:val="0"/>
          <w:numId w:val="2"/>
        </w:numPr>
        <w:spacing w:before="312" w:beforeLines="100" w:line="360" w:lineRule="auto"/>
        <w:contextualSpacing w:val="0"/>
        <w:rPr>
          <w:rFonts w:hint="eastAsia" w:ascii="宋体" w:hAnsi="宋体" w:eastAsia="宋体" w:cs="微软雅黑"/>
          <w:b/>
          <w:bCs/>
          <w:color w:val="000000" w:themeColor="text1"/>
          <w:sz w:val="28"/>
          <w:szCs w:val="28"/>
          <w14:textFill>
            <w14:solidFill>
              <w14:schemeClr w14:val="tx1"/>
            </w14:solidFill>
          </w14:textFill>
        </w:rPr>
      </w:pPr>
      <w:bookmarkStart w:id="59" w:name="_Toc30576"/>
      <w:bookmarkStart w:id="60" w:name="_Toc4982"/>
      <w:r>
        <w:rPr>
          <w:rFonts w:hint="eastAsia" w:ascii="宋体" w:hAnsi="宋体" w:eastAsia="宋体" w:cs="微软雅黑"/>
          <w:b/>
          <w:bCs/>
          <w:color w:val="000000" w:themeColor="text1"/>
          <w:sz w:val="28"/>
          <w:szCs w:val="28"/>
          <w14:textFill>
            <w14:solidFill>
              <w14:schemeClr w14:val="tx1"/>
            </w14:solidFill>
          </w14:textFill>
        </w:rPr>
        <w:t>开标与评标准则</w:t>
      </w:r>
      <w:bookmarkEnd w:id="59"/>
      <w:bookmarkEnd w:id="60"/>
    </w:p>
    <w:p>
      <w:pPr>
        <w:pStyle w:val="63"/>
        <w:spacing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23</w:t>
      </w:r>
      <w:r>
        <w:rPr>
          <w:rFonts w:hint="eastAsia" w:ascii="宋体" w:hAnsi="宋体" w:eastAsia="宋体" w:cs="宋体"/>
          <w:b/>
          <w:color w:val="000000" w:themeColor="text1"/>
          <w:sz w:val="24"/>
          <w:szCs w:val="24"/>
          <w14:textFill>
            <w14:solidFill>
              <w14:schemeClr w14:val="tx1"/>
            </w14:solidFill>
          </w14:textFill>
        </w:rPr>
        <w:t>开标</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23.1招标代理机构按</w:t>
      </w:r>
      <w:r>
        <w:rPr>
          <w:rFonts w:hint="eastAsia" w:ascii="宋体" w:hAnsi="宋体" w:eastAsia="宋体" w:cs="宋体"/>
          <w:b/>
          <w:bCs/>
          <w:color w:val="000000" w:themeColor="text1"/>
          <w:sz w:val="24"/>
          <w:szCs w:val="24"/>
          <w:u w:val="single"/>
          <w14:textFill>
            <w14:solidFill>
              <w14:schemeClr w14:val="tx1"/>
            </w14:solidFill>
          </w14:textFill>
        </w:rPr>
        <w:t>招标公告/投标邀请函</w:t>
      </w:r>
      <w:r>
        <w:rPr>
          <w:rFonts w:hint="eastAsia" w:ascii="宋体" w:hAnsi="宋体" w:eastAsia="宋体" w:cs="宋体"/>
          <w:bCs/>
          <w:color w:val="000000" w:themeColor="text1"/>
          <w:sz w:val="24"/>
          <w:szCs w:val="24"/>
          <w14:textFill>
            <w14:solidFill>
              <w14:schemeClr w14:val="tx1"/>
            </w14:solidFill>
          </w14:textFill>
        </w:rPr>
        <w:t>中规定的日期、时间和地点组织公开开标。开标时邀请所有投标人代表参加。参加开标的法定代表人或其授权代表携带有效身份证签名报到以证明其出席。</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23.2开标由招标代理机构主持，邀请投标人参加。评标委员会成员不得参加开标活动。</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23.3投标人不足3家的，不得开标。</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23.4开标时，由投标人或其推选的代表检查投标文件的密封情况；经确认无误后，由招标人或招标代理机构工作人员当众拆封，宣布投标人名称、投标价格和招标文件规定的需要宣布的其他内容。</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23.5开标过程应当由招标人或者招标代理机构负责记录，由参加开标的各投标人代表和相关工作人员签字确认。</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23.6投标人代表对开标过程和开标记录有疑义，以及认为招标人、招标代理机构相关工作人员有需要回避的情形的，应当场提出询问或者回避申请。招标人、招标代理机构对投标人代表提出的询问或者回避申请应当及时处理。</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23.7投标人未参加开标的，视同认可开标结果。</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24</w:t>
      </w:r>
      <w:r>
        <w:rPr>
          <w:rFonts w:hint="eastAsia" w:ascii="宋体" w:hAnsi="宋体" w:eastAsia="宋体" w:cs="宋体"/>
          <w:b/>
          <w:color w:val="000000" w:themeColor="text1"/>
          <w:sz w:val="24"/>
          <w:szCs w:val="24"/>
          <w14:textFill>
            <w14:solidFill>
              <w14:schemeClr w14:val="tx1"/>
            </w14:solidFill>
          </w14:textFill>
        </w:rPr>
        <w:t>评标委员会和评标方法</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24.1评标由依照政府采购法律、法规、规章、政策的规定，组建的评标委员会负责。</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24.2评标委员会由招标人代表和评审专家组成，成员人数应为</w:t>
      </w:r>
      <w:r>
        <w:rPr>
          <w:rFonts w:hint="eastAsia" w:ascii="宋体" w:hAnsi="宋体" w:eastAsia="宋体" w:cs="宋体"/>
          <w:b/>
          <w:color w:val="000000" w:themeColor="text1"/>
          <w:sz w:val="24"/>
          <w:szCs w:val="24"/>
          <w:u w:val="single"/>
          <w14:textFill>
            <w14:solidFill>
              <w14:schemeClr w14:val="tx1"/>
            </w14:solidFill>
          </w14:textFill>
        </w:rPr>
        <w:t>详见投标人须知前附表</w:t>
      </w:r>
      <w:r>
        <w:rPr>
          <w:rFonts w:hint="eastAsia" w:ascii="宋体" w:hAnsi="宋体" w:eastAsia="宋体" w:cs="宋体"/>
          <w:bCs/>
          <w:color w:val="000000" w:themeColor="text1"/>
          <w:sz w:val="24"/>
          <w:szCs w:val="24"/>
          <w14:textFill>
            <w14:solidFill>
              <w14:schemeClr w14:val="tx1"/>
            </w14:solidFill>
          </w14:textFill>
        </w:rPr>
        <w:t>，其中评审专家不得少于成员总数的三分之二。</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24.3评标委员会成员依法从广东省综合评标评审专家库中，通过随机方式抽取。</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24.4评标委员会将按照招标文件确定的评标方法进行评标。评标委员会对投标文件的评审分为符合性检查和商务评审、技术评审、价格评审。</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24.5本次评标采用</w:t>
      </w:r>
      <w:r>
        <w:rPr>
          <w:rFonts w:hint="eastAsia" w:ascii="宋体" w:hAnsi="宋体" w:eastAsia="宋体" w:cs="宋体"/>
          <w:b/>
          <w:bCs/>
          <w:color w:val="000000" w:themeColor="text1"/>
          <w:sz w:val="24"/>
          <w:szCs w:val="24"/>
          <w:u w:val="single"/>
          <w14:textFill>
            <w14:solidFill>
              <w14:schemeClr w14:val="tx1"/>
            </w14:solidFill>
          </w14:textFill>
        </w:rPr>
        <w:t xml:space="preserve"> 详见投标须知前附表 </w:t>
      </w:r>
      <w:r>
        <w:rPr>
          <w:rFonts w:hint="eastAsia" w:ascii="宋体" w:hAnsi="宋体" w:eastAsia="宋体" w:cs="宋体"/>
          <w:bCs/>
          <w:color w:val="000000" w:themeColor="text1"/>
          <w:sz w:val="24"/>
          <w:szCs w:val="24"/>
          <w14:textFill>
            <w14:solidFill>
              <w14:schemeClr w14:val="tx1"/>
            </w14:solidFill>
          </w14:textFill>
        </w:rPr>
        <w:t>中选定的方法，具体见招标文件第五部分“评标方法、步骤、标准”。</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25</w:t>
      </w:r>
      <w:r>
        <w:rPr>
          <w:rFonts w:hint="eastAsia" w:ascii="宋体" w:hAnsi="宋体" w:eastAsia="宋体" w:cs="宋体"/>
          <w:b/>
          <w:color w:val="000000" w:themeColor="text1"/>
          <w:sz w:val="24"/>
          <w:szCs w:val="24"/>
          <w14:textFill>
            <w14:solidFill>
              <w14:schemeClr w14:val="tx1"/>
            </w14:solidFill>
          </w14:textFill>
        </w:rPr>
        <w:t>投标文件的资格性与符合性审查</w:t>
      </w:r>
    </w:p>
    <w:p>
      <w:pPr>
        <w:pStyle w:val="63"/>
        <w:tabs>
          <w:tab w:val="left" w:pos="426"/>
          <w:tab w:val="left" w:pos="567"/>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25.1 资格性审查：</w:t>
      </w:r>
      <w:bookmarkStart w:id="61" w:name="_Hlk90649924"/>
      <w:bookmarkStart w:id="62" w:name="_Hlk79422321"/>
      <w:r>
        <w:rPr>
          <w:rFonts w:hint="eastAsia" w:ascii="宋体" w:hAnsi="宋体" w:eastAsia="宋体" w:cs="宋体"/>
          <w:bCs/>
          <w:color w:val="000000" w:themeColor="text1"/>
          <w:sz w:val="24"/>
          <w:szCs w:val="24"/>
          <w14:textFill>
            <w14:solidFill>
              <w14:schemeClr w14:val="tx1"/>
            </w14:solidFill>
          </w14:textFill>
        </w:rPr>
        <w:t>公开招标采购项目开标结束后</w:t>
      </w:r>
      <w:bookmarkEnd w:id="61"/>
      <w:r>
        <w:rPr>
          <w:rFonts w:hint="eastAsia" w:ascii="宋体" w:hAnsi="宋体" w:eastAsia="宋体" w:cs="宋体"/>
          <w:bCs/>
          <w:color w:val="000000" w:themeColor="text1"/>
          <w:sz w:val="24"/>
          <w:szCs w:val="24"/>
          <w14:textFill>
            <w14:solidFill>
              <w14:schemeClr w14:val="tx1"/>
            </w14:solidFill>
          </w14:textFill>
        </w:rPr>
        <w:t>，招标人或者招标代理机构应当依法对投标人的资格进行审查</w:t>
      </w:r>
      <w:bookmarkEnd w:id="62"/>
      <w:r>
        <w:rPr>
          <w:rFonts w:hint="eastAsia" w:ascii="宋体" w:hAnsi="宋体" w:eastAsia="宋体" w:cs="宋体"/>
          <w:bCs/>
          <w:color w:val="000000" w:themeColor="text1"/>
          <w:sz w:val="24"/>
          <w:szCs w:val="24"/>
          <w14:textFill>
            <w14:solidFill>
              <w14:schemeClr w14:val="tx1"/>
            </w14:solidFill>
          </w14:textFill>
        </w:rPr>
        <w:t>。</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25.2符合性审查：评标委员会对符合资格的投标人的投标文件进行符合性审查，以确定其是否满足招标文件实质性要求。</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26</w:t>
      </w:r>
      <w:r>
        <w:rPr>
          <w:rFonts w:hint="eastAsia" w:ascii="宋体" w:hAnsi="宋体" w:eastAsia="宋体" w:cs="宋体"/>
          <w:b/>
          <w:color w:val="000000" w:themeColor="text1"/>
          <w:sz w:val="24"/>
          <w:szCs w:val="24"/>
          <w14:textFill>
            <w14:solidFill>
              <w14:schemeClr w14:val="tx1"/>
            </w14:solidFill>
          </w14:textFill>
        </w:rPr>
        <w:t>投标文件的澄清</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26.1评标期间，对于投标文件中含义不明确、同类问题表述不一致或者有明显文字和计算错误的内容，评标委员会以书面的形式要求投标人作出必要的澄清、说明或者补正。</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26.2投标人的澄清、说明或者补正采用书面形式，并加盖公章，或者由法定代表人或其授权的代表签字。投标人的澄清、说明或者补正不得超出投标文件的范围或者改变投标文件的实质性内容。</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26.3投标人的澄清文件是其投标文件的组成部分。</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27</w:t>
      </w:r>
      <w:r>
        <w:rPr>
          <w:rFonts w:hint="eastAsia" w:ascii="宋体" w:hAnsi="宋体" w:eastAsia="宋体" w:cs="宋体"/>
          <w:b/>
          <w:color w:val="000000" w:themeColor="text1"/>
          <w:sz w:val="24"/>
          <w:szCs w:val="24"/>
          <w14:textFill>
            <w14:solidFill>
              <w14:schemeClr w14:val="tx1"/>
            </w14:solidFill>
          </w14:textFill>
        </w:rPr>
        <w:t>定标原则与授标</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27.1评标委员会按照招标文件确定的评标方法、步骤、标准，对投标文件进行评审，提出书面评标报告。</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27.2招标代理机构自评标结束后2个工作日内将评标报告送招标人。招标人应当自收到评标报告之日起5个工作日内在评标报告确定的中标候选人名单中按顺序确定中标人。</w:t>
      </w:r>
    </w:p>
    <w:p>
      <w:pPr>
        <w:pStyle w:val="63"/>
        <w:widowControl/>
        <w:spacing w:line="360" w:lineRule="auto"/>
        <w:ind w:left="425" w:hanging="425"/>
        <w:contextualSpacing w:val="0"/>
        <w:jc w:val="left"/>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28</w:t>
      </w:r>
      <w:r>
        <w:rPr>
          <w:rFonts w:hint="eastAsia" w:ascii="宋体" w:hAnsi="宋体" w:eastAsia="宋体" w:cs="宋体"/>
          <w:b/>
          <w:color w:val="000000" w:themeColor="text1"/>
          <w:sz w:val="24"/>
          <w:szCs w:val="24"/>
          <w14:textFill>
            <w14:solidFill>
              <w14:schemeClr w14:val="tx1"/>
            </w14:solidFill>
          </w14:textFill>
        </w:rPr>
        <w:t>特别说明</w:t>
      </w:r>
    </w:p>
    <w:p>
      <w:pPr>
        <w:pStyle w:val="63"/>
        <w:widowControl/>
        <w:tabs>
          <w:tab w:val="left" w:pos="567"/>
        </w:tabs>
        <w:spacing w:line="360" w:lineRule="auto"/>
        <w:ind w:left="420" w:hanging="420"/>
        <w:contextualSpacing w:val="0"/>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28.1有下列情形之一的，视为投标人串通投标，其投标无效：</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28.1.1不同投标人的投标文件由同一单位或者个人编制；</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28.1.2不同投标人委托同一单位或者个人办理投标事宜；</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28.1.3不同投标人的投标文件载明的项目管理成员或者联系人员为同一人；</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28.1.4不同投标人的投标文件异常一致或者投标报价呈规律性差异；</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28.1.5不同投标人的投标文件相互混装；</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28.1.6不同投标人的投标保证金从同一单位或者个人的账户转出。</w:t>
      </w:r>
    </w:p>
    <w:p>
      <w:pPr>
        <w:pStyle w:val="63"/>
        <w:widowControl/>
        <w:numPr>
          <w:ilvl w:val="1"/>
          <w:numId w:val="0"/>
        </w:numPr>
        <w:spacing w:line="360" w:lineRule="auto"/>
        <w:ind w:left="567" w:hanging="567"/>
        <w:contextualSpacing w:val="0"/>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sz w:val="24"/>
          <w:szCs w:val="24"/>
        </w:rPr>
        <w:t>28.2</w:t>
      </w:r>
      <w:r>
        <w:rPr>
          <w:rFonts w:hint="eastAsia" w:ascii="宋体" w:hAnsi="宋体" w:eastAsia="宋体" w:cs="宋体"/>
          <w:b/>
          <w:bCs/>
          <w:color w:val="000000" w:themeColor="text1"/>
          <w:sz w:val="24"/>
          <w:szCs w:val="24"/>
          <w14:textFill>
            <w14:solidFill>
              <w14:schemeClr w14:val="tx1"/>
            </w14:solidFill>
          </w14:textFill>
        </w:rPr>
        <w:t>投标人存在下列情况之一的，投标无效：</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28.2.1未按照招标文件的规定提交投标保证金的；</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28.2.2投标文件未按招标文件要求签署、盖章的；</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28.2.3不具备招标文件中规定的资格要求的；</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28.2.4报价超过招标文件中规定的预算金额或者最高限价的；</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28.2.5投标文件含有招标人不能接受的附加条件的；</w:t>
      </w:r>
    </w:p>
    <w:p>
      <w:pPr>
        <w:pStyle w:val="63"/>
        <w:widowControl/>
        <w:numPr>
          <w:ilvl w:val="2"/>
          <w:numId w:val="0"/>
        </w:numPr>
        <w:spacing w:line="360" w:lineRule="auto"/>
        <w:ind w:left="709" w:hanging="709"/>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28.2.6法律、法规和招标文件规定的其他无效情形。</w:t>
      </w:r>
    </w:p>
    <w:p>
      <w:pPr>
        <w:pStyle w:val="63"/>
        <w:widowControl/>
        <w:numPr>
          <w:ilvl w:val="2"/>
          <w:numId w:val="0"/>
        </w:numPr>
        <w:spacing w:line="360" w:lineRule="auto"/>
        <w:ind w:left="709" w:hanging="709"/>
        <w:contextualSpacing w:val="0"/>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28.2.7商务得分应不低于商务部分总分值的60%，否则就认定为无效投标人。</w:t>
      </w:r>
    </w:p>
    <w:p>
      <w:pPr>
        <w:pStyle w:val="63"/>
        <w:widowControl/>
        <w:numPr>
          <w:ilvl w:val="1"/>
          <w:numId w:val="0"/>
        </w:numPr>
        <w:spacing w:line="360" w:lineRule="auto"/>
        <w:ind w:left="567" w:hanging="567"/>
        <w:contextualSpacing w:val="0"/>
        <w:jc w:val="lef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sz w:val="24"/>
          <w:szCs w:val="24"/>
        </w:rPr>
        <w:t>28.3</w:t>
      </w:r>
      <w:r>
        <w:rPr>
          <w:rFonts w:hint="eastAsia" w:ascii="宋体" w:hAnsi="宋体" w:eastAsia="宋体" w:cs="宋体"/>
          <w:b/>
          <w:bCs/>
          <w:color w:val="000000" w:themeColor="text1"/>
          <w:sz w:val="24"/>
          <w:szCs w:val="24"/>
          <w14:textFill>
            <w14:solidFill>
              <w14:schemeClr w14:val="tx1"/>
            </w14:solidFill>
          </w14:textFill>
        </w:rPr>
        <w:t>废标</w:t>
      </w:r>
    </w:p>
    <w:p>
      <w:pPr>
        <w:pStyle w:val="63"/>
        <w:widowControl/>
        <w:numPr>
          <w:ilvl w:val="255"/>
          <w:numId w:val="0"/>
        </w:num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在招标采购中，出现下列情形之一的，应予废标。</w:t>
      </w:r>
    </w:p>
    <w:p>
      <w:pPr>
        <w:pStyle w:val="63"/>
        <w:widowControl/>
        <w:numPr>
          <w:ilvl w:val="3"/>
          <w:numId w:val="0"/>
        </w:numPr>
        <w:tabs>
          <w:tab w:val="left" w:pos="1134"/>
        </w:tabs>
        <w:spacing w:line="360" w:lineRule="auto"/>
        <w:ind w:left="993" w:hanging="993"/>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28.3.1.1符合专业条件的供应商或者对招标文件作实质响应的供应商不足三家的；</w:t>
      </w:r>
    </w:p>
    <w:p>
      <w:pPr>
        <w:pStyle w:val="63"/>
        <w:widowControl/>
        <w:numPr>
          <w:ilvl w:val="3"/>
          <w:numId w:val="0"/>
        </w:numPr>
        <w:tabs>
          <w:tab w:val="left" w:pos="1134"/>
        </w:tabs>
        <w:spacing w:line="360" w:lineRule="auto"/>
        <w:ind w:left="993" w:hanging="993"/>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28.3.1.2出现影响采购公正的违法、违规行为的；</w:t>
      </w:r>
    </w:p>
    <w:p>
      <w:pPr>
        <w:pStyle w:val="63"/>
        <w:widowControl/>
        <w:numPr>
          <w:ilvl w:val="3"/>
          <w:numId w:val="0"/>
        </w:numPr>
        <w:tabs>
          <w:tab w:val="left" w:pos="1134"/>
        </w:tabs>
        <w:spacing w:line="360" w:lineRule="auto"/>
        <w:ind w:left="993" w:hanging="993"/>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28.3.1.3投标人的报价均超过了采购预算，招标人不能支付的；</w:t>
      </w:r>
    </w:p>
    <w:p>
      <w:pPr>
        <w:pStyle w:val="63"/>
        <w:widowControl/>
        <w:numPr>
          <w:ilvl w:val="3"/>
          <w:numId w:val="0"/>
        </w:numPr>
        <w:tabs>
          <w:tab w:val="left" w:pos="1134"/>
        </w:tabs>
        <w:spacing w:line="360" w:lineRule="auto"/>
        <w:ind w:left="993" w:hanging="993"/>
        <w:contextualSpacing w:val="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28.3.1.4因重大变故，采购任务取消的。</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29</w:t>
      </w:r>
      <w:r>
        <w:rPr>
          <w:rFonts w:hint="eastAsia" w:ascii="宋体" w:hAnsi="宋体" w:eastAsia="宋体" w:cs="宋体"/>
          <w:b/>
          <w:color w:val="000000" w:themeColor="text1"/>
          <w:sz w:val="24"/>
          <w:szCs w:val="24"/>
          <w14:textFill>
            <w14:solidFill>
              <w14:schemeClr w14:val="tx1"/>
            </w14:solidFill>
          </w14:textFill>
        </w:rPr>
        <w:t>询问、质疑、投诉</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29.1询问</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29.1.1供应商对采购活动事项有疑问的，可以向招标人或者招标代理机构提出询问，询问可以口头方式提出，也可以书面方式提出。</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29.1.2如采用书面方式提出询问，供应商为自然人的，询问函应当由本人签字；供应商为法人或者其他组织的，应当由法定代表人、主要负责人或授权代表签字并加盖公章，并加盖公章。响应供应商递交询问函时非法定代表人亲自办理的需提供法定代表人授权委托书（应载明授权代表的姓名或者名称、代理事项、具体权限、期限和相关事项）及授权代表身份证复印件。</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29.1.3招标人或者招标代理机构在三个工作日内对供应商依法提出的询问作出答复。</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29.2质疑</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29.2.1</w:t>
      </w:r>
      <w:r>
        <w:rPr>
          <w:rFonts w:hint="eastAsia" w:ascii="宋体" w:hAnsi="宋体" w:eastAsia="宋体" w:cs="宋体"/>
          <w:color w:val="000000" w:themeColor="text1"/>
          <w:kern w:val="0"/>
          <w:sz w:val="24"/>
          <w:szCs w:val="24"/>
          <w14:textFill>
            <w14:solidFill>
              <w14:schemeClr w14:val="tx1"/>
            </w14:solidFill>
          </w14:textFill>
        </w:rPr>
        <w:t>供应商认为采购文件、采购过程、中标或者成交结果使自己的权益受到损害的，可以在知道或者应知其权益受到损害之日起7个工作日内，以书面形式向招标人、招标代理机构提出质疑。</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29.2.2提出质疑的供应商应当是参与所质疑项目采购活动的供应商。</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29.3提交要求：</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29.3.1以书面形式向招标人或者招标代理机构一次性提出针对同一采购程序环节的质疑。</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29.3.2</w:t>
      </w:r>
      <w:r>
        <w:rPr>
          <w:rFonts w:hint="eastAsia" w:ascii="宋体" w:hAnsi="宋体" w:eastAsia="宋体" w:cs="宋体"/>
          <w:bCs/>
          <w:color w:val="000000" w:themeColor="text1"/>
          <w:spacing w:val="-4"/>
          <w:sz w:val="24"/>
          <w:szCs w:val="24"/>
          <w14:textFill>
            <w14:solidFill>
              <w14:schemeClr w14:val="tx1"/>
            </w14:solidFill>
          </w14:textFill>
        </w:rPr>
        <w:t>以联合体形式参加采购活动的，其质疑应当由组成联合体的所有供应商共同提出</w:t>
      </w:r>
      <w:r>
        <w:rPr>
          <w:rFonts w:hint="eastAsia" w:ascii="宋体" w:hAnsi="宋体" w:eastAsia="宋体" w:cs="宋体"/>
          <w:bCs/>
          <w:color w:val="000000" w:themeColor="text1"/>
          <w:sz w:val="24"/>
          <w:szCs w:val="24"/>
          <w14:textFill>
            <w14:solidFill>
              <w14:schemeClr w14:val="tx1"/>
            </w14:solidFill>
          </w14:textFill>
        </w:rPr>
        <w:t>。</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29.3.3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pPr>
        <w:pStyle w:val="63"/>
        <w:numPr>
          <w:ilvl w:val="2"/>
          <w:numId w:val="0"/>
        </w:numPr>
        <w:spacing w:line="360" w:lineRule="auto"/>
        <w:ind w:left="709" w:hanging="709"/>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29.3.4供应商捏造事实、提供虚假材料或者以非法手段取得证明材料不能作为质疑的证明材料。招标人或者招标代理机构在收到投标人的书面质疑后7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pPr>
        <w:pStyle w:val="63"/>
        <w:numPr>
          <w:ilvl w:val="2"/>
          <w:numId w:val="0"/>
        </w:numPr>
        <w:spacing w:line="360" w:lineRule="auto"/>
        <w:ind w:left="709" w:hanging="709"/>
        <w:contextualSpacing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29.3.5</w:t>
      </w:r>
      <w:r>
        <w:rPr>
          <w:rFonts w:hint="eastAsia" w:ascii="宋体" w:hAnsi="宋体" w:eastAsia="宋体" w:cs="宋体"/>
          <w:bCs/>
          <w:color w:val="000000" w:themeColor="text1"/>
          <w:sz w:val="24"/>
          <w:szCs w:val="24"/>
          <w14:textFill>
            <w14:solidFill>
              <w14:schemeClr w14:val="tx1"/>
            </w14:solidFill>
          </w14:textFill>
        </w:rPr>
        <w:t>招标人或招标代理机构接收以书面形式递交的质疑函，接收质疑函的</w:t>
      </w:r>
      <w:r>
        <w:rPr>
          <w:rFonts w:hint="eastAsia" w:ascii="宋体" w:hAnsi="宋体" w:eastAsia="宋体" w:cs="宋体"/>
          <w:color w:val="000000" w:themeColor="text1"/>
          <w:sz w:val="24"/>
          <w:szCs w:val="24"/>
          <w14:textFill>
            <w14:solidFill>
              <w14:schemeClr w14:val="tx1"/>
            </w14:solidFill>
          </w14:textFill>
        </w:rPr>
        <w:t>联系人：梁工      联系方式：18620046474,1141382405@qq.com</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29.4投诉</w:t>
      </w:r>
    </w:p>
    <w:p>
      <w:pPr>
        <w:pStyle w:val="63"/>
        <w:widowControl/>
        <w:numPr>
          <w:ilvl w:val="2"/>
          <w:numId w:val="0"/>
        </w:numPr>
        <w:shd w:val="clear" w:color="auto" w:fill="FFFFFF"/>
        <w:wordWrap w:val="0"/>
        <w:spacing w:line="360" w:lineRule="auto"/>
        <w:ind w:left="709" w:hanging="709"/>
        <w:contextualSpacing w:val="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29.4.1质疑供应商对招标人、招标代理机构的答复不满意，或者招标人、招标代理机构未在规定时间内作出答复的，可以在答复期满后15个工作日内根据《政府采购质疑和投诉办法》(财政部令第94号)第六条规定向财政部门提起投诉。</w:t>
      </w:r>
    </w:p>
    <w:p>
      <w:pPr>
        <w:pStyle w:val="63"/>
        <w:widowControl/>
        <w:numPr>
          <w:ilvl w:val="2"/>
          <w:numId w:val="0"/>
        </w:numPr>
        <w:shd w:val="clear" w:color="auto" w:fill="FFFFFF"/>
        <w:wordWrap w:val="0"/>
        <w:spacing w:line="360" w:lineRule="auto"/>
        <w:ind w:left="709" w:hanging="709"/>
        <w:contextualSpacing w:val="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29.4.2投诉人在全国范围12个月内三次以上投诉查无实据的，由财政部门列入不良行为记录名单。</w:t>
      </w:r>
    </w:p>
    <w:p>
      <w:pPr>
        <w:pStyle w:val="63"/>
        <w:widowControl/>
        <w:numPr>
          <w:ilvl w:val="2"/>
          <w:numId w:val="0"/>
        </w:numPr>
        <w:shd w:val="clear" w:color="auto" w:fill="FFFFFF"/>
        <w:wordWrap w:val="0"/>
        <w:spacing w:line="360" w:lineRule="auto"/>
        <w:ind w:left="709" w:hanging="709"/>
        <w:contextualSpacing w:val="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29.4.3投诉人有下列行为之一的，属于虚假、恶意投诉，由财政部门列入不良行为记录名单，禁止其1至3年内参加采购活动：（一）捏造事实;（二）提供虚假材料;（三）以非法手段取得证明材料。证据来源的合法性存在明显疑问，投诉人无法证明其取得方式合法的，视为以非法手段取得证明材料。</w:t>
      </w:r>
    </w:p>
    <w:p>
      <w:pPr>
        <w:pStyle w:val="63"/>
        <w:widowControl/>
        <w:numPr>
          <w:ilvl w:val="2"/>
          <w:numId w:val="0"/>
        </w:numPr>
        <w:shd w:val="clear" w:color="auto" w:fill="FFFFFF"/>
        <w:wordWrap w:val="0"/>
        <w:spacing w:line="360" w:lineRule="auto"/>
        <w:ind w:left="709" w:hanging="709"/>
        <w:contextualSpacing w:val="0"/>
        <w:jc w:val="left"/>
        <w:rPr>
          <w:rFonts w:hint="eastAsia" w:ascii="宋体" w:hAnsi="宋体" w:eastAsia="宋体" w:cs="宋体"/>
          <w:color w:val="000000" w:themeColor="text1"/>
          <w:spacing w:val="-4"/>
          <w:kern w:val="0"/>
          <w:sz w:val="24"/>
          <w:szCs w:val="24"/>
          <w14:textFill>
            <w14:solidFill>
              <w14:schemeClr w14:val="tx1"/>
            </w14:solidFill>
          </w14:textFill>
        </w:rPr>
      </w:pPr>
      <w:r>
        <w:rPr>
          <w:rFonts w:hint="eastAsia" w:ascii="宋体" w:hAnsi="宋体" w:eastAsia="宋体" w:cs="宋体"/>
          <w:color w:val="000000" w:themeColor="text1"/>
          <w:spacing w:val="-4"/>
          <w:kern w:val="0"/>
          <w:sz w:val="24"/>
          <w:szCs w:val="24"/>
          <w14:textFill>
            <w14:solidFill>
              <w14:schemeClr w14:val="tx1"/>
            </w14:solidFill>
          </w14:textFill>
        </w:rPr>
        <w:t>29.4.4以联合体形式参加采购活动的，其投诉应当由组成联合体的所有供应商共同提出。</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30</w:t>
      </w:r>
      <w:r>
        <w:rPr>
          <w:rFonts w:hint="eastAsia" w:ascii="宋体" w:hAnsi="宋体" w:eastAsia="宋体" w:cs="宋体"/>
          <w:b/>
          <w:color w:val="000000" w:themeColor="text1"/>
          <w:sz w:val="24"/>
          <w:szCs w:val="24"/>
          <w14:textFill>
            <w14:solidFill>
              <w14:schemeClr w14:val="tx1"/>
            </w14:solidFill>
          </w14:textFill>
        </w:rPr>
        <w:t>中标通知书</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30.1招标人或者招标代理机构应当自中标人确定之日起2个工作日内在指定媒体公告中标结果和发出中标通知书。</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30.2《中标通知书》对中标人和招标人具有同等法律效力。</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30.3中标通知书发出后，招标人不得违法改变中标结果，中标人无正当理由不得放弃中标。</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30.4《中标通知书》将作为授予合同资格的合法依据，是合同的一个组成部分。</w:t>
      </w:r>
    </w:p>
    <w:p>
      <w:pPr>
        <w:pStyle w:val="63"/>
        <w:numPr>
          <w:ilvl w:val="0"/>
          <w:numId w:val="2"/>
        </w:numPr>
        <w:spacing w:before="312" w:beforeLines="100" w:line="360" w:lineRule="auto"/>
        <w:contextualSpacing w:val="0"/>
        <w:rPr>
          <w:rFonts w:hint="eastAsia" w:ascii="宋体" w:hAnsi="宋体" w:eastAsia="宋体" w:cs="微软雅黑"/>
          <w:b/>
          <w:bCs/>
          <w:color w:val="000000" w:themeColor="text1"/>
          <w:sz w:val="28"/>
          <w:szCs w:val="28"/>
          <w14:textFill>
            <w14:solidFill>
              <w14:schemeClr w14:val="tx1"/>
            </w14:solidFill>
          </w14:textFill>
        </w:rPr>
      </w:pPr>
      <w:bookmarkStart w:id="63" w:name="_Toc304"/>
      <w:bookmarkStart w:id="64" w:name="_Toc30187"/>
      <w:r>
        <w:rPr>
          <w:rFonts w:hint="eastAsia" w:ascii="宋体" w:hAnsi="宋体" w:eastAsia="宋体" w:cs="微软雅黑"/>
          <w:b/>
          <w:bCs/>
          <w:color w:val="000000" w:themeColor="text1"/>
          <w:sz w:val="28"/>
          <w:szCs w:val="28"/>
          <w14:textFill>
            <w14:solidFill>
              <w14:schemeClr w14:val="tx1"/>
            </w14:solidFill>
          </w14:textFill>
        </w:rPr>
        <w:t>授予合同</w:t>
      </w:r>
      <w:bookmarkEnd w:id="63"/>
      <w:bookmarkEnd w:id="64"/>
    </w:p>
    <w:p>
      <w:pPr>
        <w:pStyle w:val="63"/>
        <w:spacing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31</w:t>
      </w:r>
      <w:r>
        <w:rPr>
          <w:rFonts w:hint="eastAsia" w:ascii="宋体" w:hAnsi="宋体" w:eastAsia="宋体" w:cs="宋体"/>
          <w:b/>
          <w:color w:val="000000" w:themeColor="text1"/>
          <w:sz w:val="24"/>
          <w:szCs w:val="24"/>
          <w14:textFill>
            <w14:solidFill>
              <w14:schemeClr w14:val="tx1"/>
            </w14:solidFill>
          </w14:textFill>
        </w:rPr>
        <w:t>合同的订立</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31.1招标人应当自《中标通知书》发出之日起30日内，按照招标文件和中标人投标文件的约定，与中标人签订书面合同。所签订的合同不得对招标文件确定的事项和中标人投标文件作实质性修改。</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31.2招标人或者招标代理机构不得向中标人提出任何不合理的要求，作为签订合同的条件，不得与中标人私下订立背离合同实质性内容的协议。</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31.3中标人拒绝与招标人签订合同的，招标人可以按照评审报告推荐的中标候选人名单排序，确定下一候选人为中标人，也可以重新开展采购活动。</w:t>
      </w:r>
    </w:p>
    <w:p>
      <w:pPr>
        <w:pStyle w:val="63"/>
        <w:spacing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32</w:t>
      </w:r>
      <w:r>
        <w:rPr>
          <w:rFonts w:hint="eastAsia" w:ascii="宋体" w:hAnsi="宋体" w:eastAsia="宋体" w:cs="宋体"/>
          <w:b/>
          <w:color w:val="000000" w:themeColor="text1"/>
          <w:sz w:val="24"/>
          <w:szCs w:val="24"/>
          <w14:textFill>
            <w14:solidFill>
              <w14:schemeClr w14:val="tx1"/>
            </w14:solidFill>
          </w14:textFill>
        </w:rPr>
        <w:t>合同的履行</w:t>
      </w:r>
    </w:p>
    <w:p>
      <w:pPr>
        <w:pStyle w:val="63"/>
        <w:spacing w:line="360" w:lineRule="auto"/>
        <w:ind w:left="420" w:hanging="420"/>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32.1招标人和中标人应当根据合同的约定依法履行合同义务。</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32.2采购合同订立后，合同各方不得擅自变更、中止或者终止合同。</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32.3采购合同履行中，招标人需追加与合同标的相同的货物、工程或者服务的，在不改变合同其他条款的前提下，可以与中标人签订补充合同，但所补充合同的采购金额不得超过原合同采购金额的百分之十。签订补充合同的必须按规定备案。</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33</w:t>
      </w:r>
      <w:r>
        <w:rPr>
          <w:rFonts w:hint="eastAsia" w:ascii="宋体" w:hAnsi="宋体" w:eastAsia="宋体" w:cs="宋体"/>
          <w:b/>
          <w:color w:val="000000" w:themeColor="text1"/>
          <w:sz w:val="24"/>
          <w:szCs w:val="24"/>
          <w14:textFill>
            <w14:solidFill>
              <w14:schemeClr w14:val="tx1"/>
            </w14:solidFill>
          </w14:textFill>
        </w:rPr>
        <w:t>履约担保</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33.1</w:t>
      </w:r>
      <w:r>
        <w:rPr>
          <w:rFonts w:hint="eastAsia" w:ascii="宋体" w:hAnsi="宋体" w:eastAsia="宋体" w:cs="宋体"/>
          <w:color w:val="000000" w:themeColor="text1"/>
          <w:sz w:val="24"/>
          <w:szCs w:val="24"/>
          <w14:textFill>
            <w14:solidFill>
              <w14:schemeClr w14:val="tx1"/>
            </w14:solidFill>
          </w14:textFill>
        </w:rPr>
        <w:t>中标人应按</w:t>
      </w:r>
      <w:r>
        <w:rPr>
          <w:rFonts w:hint="eastAsia" w:ascii="宋体" w:hAnsi="宋体" w:eastAsia="宋体" w:cs="宋体"/>
          <w:b/>
          <w:bCs/>
          <w:color w:val="000000" w:themeColor="text1"/>
          <w:sz w:val="24"/>
          <w:szCs w:val="24"/>
          <w:u w:val="single"/>
          <w14:textFill>
            <w14:solidFill>
              <w14:schemeClr w14:val="tx1"/>
            </w14:solidFill>
          </w14:textFill>
        </w:rPr>
        <w:t>投标须知前附表</w:t>
      </w:r>
      <w:r>
        <w:rPr>
          <w:rFonts w:hint="eastAsia" w:ascii="宋体" w:hAnsi="宋体" w:eastAsia="宋体" w:cs="宋体"/>
          <w:color w:val="000000" w:themeColor="text1"/>
          <w:sz w:val="24"/>
          <w:szCs w:val="24"/>
          <w14:textFill>
            <w14:solidFill>
              <w14:schemeClr w14:val="tx1"/>
            </w14:solidFill>
          </w14:textFill>
        </w:rPr>
        <w:t>要求向招标人缴纳履约担保（如采用保函形式，格式详见招标文件第七部分投标文件格式—采购履约担保）。</w:t>
      </w:r>
      <w:bookmarkStart w:id="65" w:name="_Hlk116592131"/>
      <w:r>
        <w:rPr>
          <w:rFonts w:hint="eastAsia" w:ascii="宋体" w:hAnsi="宋体" w:eastAsia="宋体" w:cs="宋体"/>
          <w:color w:val="000000" w:themeColor="text1"/>
          <w:sz w:val="24"/>
          <w:szCs w:val="24"/>
          <w14:textFill>
            <w14:solidFill>
              <w14:schemeClr w14:val="tx1"/>
            </w14:solidFill>
          </w14:textFill>
        </w:rPr>
        <w:t>履约担保可以采用银行转账或者以专业担保机构、金融机构出具的担保函的形式缴交。</w:t>
      </w:r>
      <w:bookmarkEnd w:id="65"/>
      <w:r>
        <w:rPr>
          <w:rFonts w:hint="eastAsia" w:ascii="宋体" w:hAnsi="宋体" w:eastAsia="宋体" w:cs="宋体"/>
          <w:color w:val="000000" w:themeColor="text1"/>
          <w:sz w:val="24"/>
          <w:szCs w:val="24"/>
          <w14:textFill>
            <w14:solidFill>
              <w14:schemeClr w14:val="tx1"/>
            </w14:solidFill>
          </w14:textFill>
        </w:rPr>
        <w:t>履约保函的内容，应符合招标文件、投标响应文件和采购合同的要求。履约保函应在采购合同有效期满后28天内继续有效。</w:t>
      </w:r>
    </w:p>
    <w:p>
      <w:pPr>
        <w:pStyle w:val="63"/>
        <w:tabs>
          <w:tab w:val="left" w:pos="709"/>
        </w:tabs>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33.2在整个项目验收合格后，中标人向招标人提交退回履约保证金的申请，招标人办理履约保证金退还手续，将履约保证金退回原中标人的汇入账户。</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zCs w:val="24"/>
        </w:rPr>
        <w:t>34</w:t>
      </w:r>
      <w:r>
        <w:rPr>
          <w:rFonts w:hint="eastAsia" w:ascii="宋体" w:hAnsi="宋体" w:eastAsia="宋体" w:cs="宋体"/>
          <w:b/>
          <w:color w:val="000000" w:themeColor="text1"/>
          <w:sz w:val="24"/>
          <w:szCs w:val="24"/>
          <w14:textFill>
            <w14:solidFill>
              <w14:schemeClr w14:val="tx1"/>
            </w14:solidFill>
          </w14:textFill>
        </w:rPr>
        <w:t>发票</w:t>
      </w:r>
    </w:p>
    <w:p>
      <w:pPr>
        <w:pStyle w:val="63"/>
        <w:spacing w:line="360" w:lineRule="auto"/>
        <w:ind w:left="420" w:hanging="420"/>
        <w:contextualSpacing w:val="0"/>
        <w:rPr>
          <w:rFonts w:hint="eastAsia" w:ascii="宋体" w:hAnsi="宋体" w:eastAsia="宋体" w:cs="宋体"/>
          <w:bCs/>
          <w:color w:val="000000" w:themeColor="text1"/>
          <w:spacing w:val="-2"/>
          <w:sz w:val="24"/>
          <w:szCs w:val="24"/>
          <w14:textFill>
            <w14:solidFill>
              <w14:schemeClr w14:val="tx1"/>
            </w14:solidFill>
          </w14:textFill>
        </w:rPr>
      </w:pPr>
      <w:r>
        <w:rPr>
          <w:rFonts w:hint="eastAsia" w:ascii="宋体" w:hAnsi="宋体" w:eastAsia="宋体" w:cs="宋体"/>
          <w:bCs/>
          <w:color w:val="000000" w:themeColor="text1"/>
          <w:spacing w:val="-2"/>
          <w:sz w:val="24"/>
          <w:szCs w:val="24"/>
          <w14:textFill>
            <w14:solidFill>
              <w14:schemeClr w14:val="tx1"/>
            </w14:solidFill>
          </w14:textFill>
        </w:rPr>
        <w:t>34.1中标人与招标人签署合同后，开具发票时，开发票的单位名称必须与中标人的名称一致。</w:t>
      </w:r>
    </w:p>
    <w:p>
      <w:pPr>
        <w:pStyle w:val="63"/>
        <w:spacing w:line="360" w:lineRule="auto"/>
        <w:rPr>
          <w:rFonts w:hint="eastAsia" w:ascii="宋体" w:hAnsi="宋体" w:eastAsia="宋体"/>
          <w:bCs/>
          <w:color w:val="000000" w:themeColor="text1"/>
          <w:spacing w:val="-2"/>
          <w:sz w:val="22"/>
          <w14:textFill>
            <w14:solidFill>
              <w14:schemeClr w14:val="tx1"/>
            </w14:solidFill>
          </w14:textFill>
        </w:rPr>
      </w:pPr>
    </w:p>
    <w:p>
      <w:pPr>
        <w:pStyle w:val="63"/>
        <w:numPr>
          <w:ilvl w:val="0"/>
          <w:numId w:val="2"/>
        </w:numPr>
        <w:spacing w:before="312" w:beforeLines="100" w:line="360" w:lineRule="auto"/>
        <w:contextualSpacing w:val="0"/>
        <w:rPr>
          <w:rFonts w:hint="eastAsia" w:ascii="宋体" w:hAnsi="宋体" w:eastAsia="宋体"/>
          <w:b/>
          <w:bCs/>
          <w:color w:val="000000" w:themeColor="text1"/>
          <w:spacing w:val="-2"/>
          <w:sz w:val="28"/>
          <w:szCs w:val="28"/>
          <w14:textFill>
            <w14:solidFill>
              <w14:schemeClr w14:val="tx1"/>
            </w14:solidFill>
          </w14:textFill>
        </w:rPr>
      </w:pPr>
      <w:bookmarkStart w:id="66" w:name="_Toc15553"/>
      <w:bookmarkStart w:id="67" w:name="_Toc996"/>
      <w:r>
        <w:rPr>
          <w:rFonts w:hint="eastAsia" w:ascii="宋体" w:hAnsi="宋体" w:eastAsia="宋体" w:cs="微软雅黑"/>
          <w:b/>
          <w:bCs/>
          <w:color w:val="000000" w:themeColor="text1"/>
          <w:sz w:val="28"/>
          <w:szCs w:val="28"/>
          <w14:textFill>
            <w14:solidFill>
              <w14:schemeClr w14:val="tx1"/>
            </w14:solidFill>
          </w14:textFill>
        </w:rPr>
        <w:t>其他</w:t>
      </w:r>
      <w:bookmarkEnd w:id="66"/>
      <w:bookmarkEnd w:id="67"/>
    </w:p>
    <w:p>
      <w:pPr>
        <w:pStyle w:val="63"/>
        <w:spacing w:before="312" w:beforeLines="100" w:line="360" w:lineRule="auto"/>
        <w:ind w:left="425" w:hanging="425"/>
        <w:contextualSpacing w:val="0"/>
        <w:rPr>
          <w:rFonts w:hint="eastAsia" w:ascii="宋体" w:hAnsi="宋体" w:eastAsia="宋体" w:cs="宋体"/>
          <w:bCs/>
          <w:color w:val="000000" w:themeColor="text1"/>
          <w:sz w:val="24"/>
          <w:szCs w:val="24"/>
          <w14:textFill>
            <w14:solidFill>
              <w14:schemeClr w14:val="tx1"/>
            </w14:solidFill>
          </w14:textFill>
        </w:rPr>
      </w:pPr>
      <w:bookmarkStart w:id="68" w:name="_Toc357676148"/>
      <w:r>
        <w:rPr>
          <w:rFonts w:hint="eastAsia" w:ascii="宋体" w:hAnsi="宋体" w:eastAsia="宋体" w:cs="宋体"/>
          <w:b/>
          <w:bCs/>
          <w:szCs w:val="24"/>
        </w:rPr>
        <w:t>35</w:t>
      </w:r>
      <w:r>
        <w:rPr>
          <w:rFonts w:hint="eastAsia" w:ascii="宋体" w:hAnsi="宋体" w:eastAsia="宋体" w:cs="宋体"/>
          <w:b/>
          <w:color w:val="000000" w:themeColor="text1"/>
          <w:sz w:val="24"/>
          <w:szCs w:val="28"/>
          <w14:textFill>
            <w14:solidFill>
              <w14:schemeClr w14:val="tx1"/>
            </w14:solidFill>
          </w14:textFill>
        </w:rPr>
        <w:t>招标代理服务费</w:t>
      </w:r>
      <w:bookmarkEnd w:id="68"/>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35.1采购机构代理服务收费标准：以中标金额为计算基准，按招标人与招标代理机构签订委托协议及原国家计委《关于印发〈招标代理服务收费管理暂行办法〉的通知》（计价格［2002］1980号）文件规定后</w:t>
      </w:r>
      <w:r>
        <w:rPr>
          <w:rFonts w:ascii="宋体" w:hAnsi="宋体" w:eastAsia="宋体" w:cs="Times New Roman"/>
          <w:sz w:val="22"/>
          <w:szCs w:val="24"/>
        </w:rPr>
        <w:t>下浮</w:t>
      </w:r>
      <w:r>
        <w:rPr>
          <w:rFonts w:ascii="宋体" w:hAnsi="宋体" w:eastAsia="宋体" w:cs="Times New Roman"/>
          <w:sz w:val="22"/>
          <w:szCs w:val="24"/>
          <w:u w:val="single"/>
        </w:rPr>
        <w:t xml:space="preserve">  46  </w:t>
      </w:r>
      <w:r>
        <w:rPr>
          <w:rFonts w:ascii="宋体" w:hAnsi="宋体" w:eastAsia="宋体" w:cs="Times New Roman"/>
          <w:sz w:val="22"/>
          <w:szCs w:val="24"/>
        </w:rPr>
        <w:t>％</w:t>
      </w:r>
      <w:r>
        <w:rPr>
          <w:rFonts w:hint="eastAsia" w:ascii="宋体" w:hAnsi="宋体" w:eastAsia="宋体" w:cs="Times New Roman"/>
          <w:sz w:val="22"/>
          <w:szCs w:val="24"/>
        </w:rPr>
        <w:t>计取。</w:t>
      </w:r>
      <w:r>
        <w:rPr>
          <w:rFonts w:hint="eastAsia" w:ascii="宋体" w:hAnsi="宋体" w:eastAsia="宋体" w:cs="宋体"/>
          <w:bCs/>
          <w:color w:val="000000" w:themeColor="text1"/>
          <w:sz w:val="24"/>
          <w:szCs w:val="24"/>
          <w14:textFill>
            <w14:solidFill>
              <w14:schemeClr w14:val="tx1"/>
            </w14:solidFill>
          </w14:textFill>
        </w:rPr>
        <w:t>中标人应在领取《中标通知书》原件时分别向招标代理机构一次性支付招标代理服务费(参照国家计委文件“计价格[2002]1980号文”、“发改办价格[2003]857号文”和“发改价格[2011]534号文”的规定标准执行)。</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35.2本项目类型为</w:t>
      </w:r>
      <w:r>
        <w:rPr>
          <w:rFonts w:hint="eastAsia" w:ascii="宋体" w:hAnsi="宋体" w:eastAsia="宋体" w:cs="宋体"/>
          <w:bCs/>
          <w:color w:val="000000" w:themeColor="text1"/>
          <w:sz w:val="24"/>
          <w:szCs w:val="24"/>
          <w:u w:val="single"/>
          <w14:textFill>
            <w14:solidFill>
              <w14:schemeClr w14:val="tx1"/>
            </w14:solidFill>
          </w14:textFill>
        </w:rPr>
        <w:t>（</w:t>
      </w:r>
      <w:r>
        <w:rPr>
          <w:rFonts w:hint="eastAsia" w:ascii="宋体" w:hAnsi="宋体" w:eastAsia="宋体" w:cs="宋体"/>
          <w:b/>
          <w:bCs/>
          <w:color w:val="000000" w:themeColor="text1"/>
          <w:sz w:val="24"/>
          <w:szCs w:val="24"/>
          <w:u w:val="single"/>
          <w14:textFill>
            <w14:solidFill>
              <w14:schemeClr w14:val="tx1"/>
            </w14:solidFill>
          </w14:textFill>
        </w:rPr>
        <w:t>详见投标须知前附表</w:t>
      </w:r>
      <w:r>
        <w:rPr>
          <w:rFonts w:hint="eastAsia" w:ascii="宋体" w:hAnsi="宋体" w:eastAsia="宋体" w:cs="宋体"/>
          <w:bCs/>
          <w:color w:val="000000" w:themeColor="text1"/>
          <w:sz w:val="24"/>
          <w:szCs w:val="24"/>
          <w:u w:val="single"/>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35.3招标代理服务收费标准：</w:t>
      </w:r>
    </w:p>
    <w:tbl>
      <w:tblPr>
        <w:tblStyle w:val="41"/>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444"/>
        <w:gridCol w:w="1457"/>
        <w:gridCol w:w="2332"/>
        <w:gridCol w:w="253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jc w:val="center"/>
        </w:trPr>
        <w:tc>
          <w:tcPr>
            <w:tcW w:w="1394" w:type="pct"/>
            <w:tcBorders>
              <w:tl2br w:val="single" w:color="000000" w:sz="8" w:space="0"/>
            </w:tcBorders>
          </w:tcPr>
          <w:p>
            <w:pP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 xml:space="preserve">  </w:t>
            </w:r>
            <w:r>
              <w:rPr>
                <w:rFonts w:ascii="宋体" w:hAnsi="宋体" w:eastAsia="宋体"/>
                <w:color w:val="000000" w:themeColor="text1"/>
                <w:sz w:val="22"/>
                <w14:textFill>
                  <w14:solidFill>
                    <w14:schemeClr w14:val="tx1"/>
                  </w14:solidFill>
                </w14:textFill>
              </w:rPr>
              <w:t>费率</w:t>
            </w:r>
          </w:p>
          <w:p>
            <w:pP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中标金额</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货物招标</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服务招标</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工程招标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0"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100万元以下</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1.5%</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1.5%</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8"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100-500万元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1.1%</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0.8%</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1"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500-1000万元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0.8%</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0.45%</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7"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1000-5000万元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 xml:space="preserve">0.5%                </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0.25%</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8"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5000万元-1亿元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 xml:space="preserve">0.25%                 </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0.1%</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4"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1-5亿元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0.05%</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0.05%</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1"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5-10亿元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0.035%</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0.035%</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3"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10-50亿元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0.008%</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0.008%</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8" w:hRule="atLeast"/>
          <w:jc w:val="center"/>
        </w:trPr>
        <w:tc>
          <w:tcPr>
            <w:tcW w:w="1394"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50-100亿元</w:t>
            </w:r>
          </w:p>
        </w:tc>
        <w:tc>
          <w:tcPr>
            <w:tcW w:w="831"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0.006%</w:t>
            </w:r>
          </w:p>
        </w:tc>
        <w:tc>
          <w:tcPr>
            <w:tcW w:w="1330"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0.006%</w:t>
            </w:r>
          </w:p>
        </w:tc>
        <w:tc>
          <w:tcPr>
            <w:tcW w:w="1446" w:type="pct"/>
            <w:vAlign w:val="center"/>
          </w:tcPr>
          <w:p>
            <w:pPr>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0.006%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jc w:val="center"/>
        </w:trPr>
        <w:tc>
          <w:tcPr>
            <w:tcW w:w="1394" w:type="pct"/>
            <w:vAlign w:val="center"/>
          </w:tcPr>
          <w:p>
            <w:pPr>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100亿以上</w:t>
            </w:r>
          </w:p>
        </w:tc>
        <w:tc>
          <w:tcPr>
            <w:tcW w:w="831" w:type="pct"/>
            <w:vAlign w:val="center"/>
          </w:tcPr>
          <w:p>
            <w:pPr>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0.004%</w:t>
            </w:r>
          </w:p>
        </w:tc>
        <w:tc>
          <w:tcPr>
            <w:tcW w:w="1330" w:type="pct"/>
            <w:vAlign w:val="center"/>
          </w:tcPr>
          <w:p>
            <w:pPr>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0.004%</w:t>
            </w:r>
          </w:p>
        </w:tc>
        <w:tc>
          <w:tcPr>
            <w:tcW w:w="1446" w:type="pct"/>
            <w:vAlign w:val="center"/>
          </w:tcPr>
          <w:p>
            <w:pPr>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0.004%</w:t>
            </w:r>
          </w:p>
        </w:tc>
      </w:tr>
    </w:tbl>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35.4由招标代理机构向中标人收取，中标人在领取中标通知书前一次性向招标代理缴纳，未按上述规定缴纳中标服务费的，招标人将不予退还投标保证金，且招标人有权取消其中标资格和拒签合同。若项目评审实际产生的专家评审费等由中标人另按实支付。</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35.5招标代理服务费按差额定率累进法计算。招标代理服务费币种为人民币。</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35.6招标服务费只收现金、银行转账或电汇。</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35.7招标代理服务费收取账户：</w:t>
      </w:r>
    </w:p>
    <w:p>
      <w:pPr>
        <w:pStyle w:val="63"/>
        <w:spacing w:line="360" w:lineRule="auto"/>
        <w:ind w:firstLine="648" w:firstLineChars="27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收款单位名称：中通服咨询设计研究院有限公司</w:t>
      </w:r>
    </w:p>
    <w:p>
      <w:pPr>
        <w:pStyle w:val="63"/>
        <w:spacing w:line="360" w:lineRule="auto"/>
        <w:ind w:firstLine="648" w:firstLineChars="27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开户银行：招商银行股份有限公司南京中山北路支行</w:t>
      </w:r>
    </w:p>
    <w:p>
      <w:pPr>
        <w:pStyle w:val="63"/>
        <w:spacing w:line="360" w:lineRule="auto"/>
        <w:ind w:firstLine="648" w:firstLineChars="27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收款账号：</w:t>
      </w:r>
      <w:r>
        <w:rPr>
          <w:rFonts w:hint="eastAsia" w:ascii="宋体" w:hAnsi="宋体" w:eastAsia="宋体" w:cs="宋体"/>
          <w:sz w:val="24"/>
          <w:szCs w:val="36"/>
        </w:rPr>
        <w:t>12590209571000100000156</w:t>
      </w:r>
    </w:p>
    <w:p>
      <w:pPr>
        <w:pStyle w:val="63"/>
        <w:spacing w:before="312" w:beforeLines="100" w:line="360" w:lineRule="auto"/>
        <w:ind w:left="425" w:hanging="425"/>
        <w:contextualSpacing w:val="0"/>
        <w:rPr>
          <w:rFonts w:hint="eastAsia" w:ascii="宋体" w:hAnsi="宋体" w:eastAsia="宋体" w:cs="宋体"/>
          <w:b/>
          <w:color w:val="000000" w:themeColor="text1"/>
          <w:sz w:val="24"/>
          <w:szCs w:val="28"/>
          <w14:textFill>
            <w14:solidFill>
              <w14:schemeClr w14:val="tx1"/>
            </w14:solidFill>
          </w14:textFill>
        </w:rPr>
      </w:pPr>
      <w:r>
        <w:rPr>
          <w:rFonts w:hint="eastAsia" w:ascii="宋体" w:hAnsi="宋体" w:eastAsia="宋体" w:cs="宋体"/>
          <w:b/>
          <w:szCs w:val="28"/>
        </w:rPr>
        <w:t>36</w:t>
      </w:r>
      <w:r>
        <w:rPr>
          <w:rFonts w:hint="eastAsia" w:ascii="宋体" w:hAnsi="宋体" w:eastAsia="宋体" w:cs="宋体"/>
          <w:b/>
          <w:color w:val="000000" w:themeColor="text1"/>
          <w:sz w:val="24"/>
          <w:szCs w:val="28"/>
          <w14:textFill>
            <w14:solidFill>
              <w14:schemeClr w14:val="tx1"/>
            </w14:solidFill>
          </w14:textFill>
        </w:rPr>
        <w:t>招标文件符号说明</w:t>
      </w:r>
    </w:p>
    <w:p>
      <w:pPr>
        <w:pStyle w:val="63"/>
        <w:spacing w:line="360" w:lineRule="auto"/>
        <w:ind w:left="567" w:hanging="567"/>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36.1招标文件中，打“★”号条款为实质性条款，若有任何一条负偏离或不满足则导致投标无效。打“▲”“●”号条款为重要技术参数，若有部分“▲”“●”条款未响应或不满足，将根据评审要求影响其得分，但不作为无效投标条款。打“◆”号条款为核心产品。</w:t>
      </w:r>
    </w:p>
    <w:p>
      <w:pPr>
        <w:pStyle w:val="3"/>
        <w:keepNext w:val="0"/>
        <w:keepLines w:val="0"/>
        <w:pageBreakBefore/>
        <w:tabs>
          <w:tab w:val="left" w:pos="426"/>
          <w:tab w:val="left" w:pos="567"/>
        </w:tabs>
        <w:rPr>
          <w:rStyle w:val="44"/>
          <w:rFonts w:hint="eastAsia" w:ascii="宋体" w:hAnsi="宋体"/>
          <w:b w:val="0"/>
          <w:bCs w:val="0"/>
          <w:color w:val="000000" w:themeColor="text1"/>
          <w:spacing w:val="12"/>
          <w:sz w:val="22"/>
          <w:szCs w:val="22"/>
          <w14:textFill>
            <w14:solidFill>
              <w14:schemeClr w14:val="tx1"/>
            </w14:solidFill>
          </w14:textFill>
        </w:rPr>
      </w:pPr>
      <w:bookmarkStart w:id="69" w:name="_Toc5580"/>
      <w:bookmarkStart w:id="70" w:name="_Toc31449"/>
      <w:bookmarkStart w:id="71" w:name="_Toc515040753"/>
      <w:bookmarkStart w:id="72" w:name="_Toc515363625"/>
      <w:r>
        <w:rPr>
          <w:rStyle w:val="44"/>
          <w:rFonts w:hint="eastAsia" w:ascii="宋体" w:hAnsi="宋体"/>
          <w:b w:val="0"/>
          <w:bCs w:val="0"/>
          <w:color w:val="000000" w:themeColor="text1"/>
          <w:spacing w:val="12"/>
          <w:sz w:val="22"/>
          <w:szCs w:val="22"/>
          <w14:textFill>
            <w14:solidFill>
              <w14:schemeClr w14:val="tx1"/>
            </w14:solidFill>
          </w14:textFill>
        </w:rPr>
        <w:t>附件1  询问函格式</w:t>
      </w:r>
      <w:bookmarkEnd w:id="69"/>
      <w:bookmarkEnd w:id="70"/>
      <w:bookmarkEnd w:id="71"/>
      <w:bookmarkEnd w:id="72"/>
    </w:p>
    <w:p>
      <w:pPr>
        <w:spacing w:before="312" w:beforeLines="100" w:after="312" w:afterLines="100"/>
        <w:jc w:val="center"/>
        <w:rPr>
          <w:rFonts w:hint="eastAsia" w:ascii="宋体" w:hAnsi="宋体" w:eastAsia="宋体" w:cs="Times New Roman"/>
          <w:b/>
          <w:bCs/>
          <w:color w:val="000000" w:themeColor="text1"/>
          <w:spacing w:val="20"/>
          <w:sz w:val="32"/>
          <w:szCs w:val="32"/>
          <w14:textFill>
            <w14:solidFill>
              <w14:schemeClr w14:val="tx1"/>
            </w14:solidFill>
          </w14:textFill>
        </w:rPr>
      </w:pPr>
      <w:r>
        <w:rPr>
          <w:rFonts w:hint="eastAsia" w:ascii="宋体" w:hAnsi="宋体" w:eastAsia="宋体" w:cs="Times New Roman"/>
          <w:b/>
          <w:bCs/>
          <w:color w:val="000000" w:themeColor="text1"/>
          <w:spacing w:val="20"/>
          <w:sz w:val="32"/>
          <w:szCs w:val="32"/>
          <w14:textFill>
            <w14:solidFill>
              <w14:schemeClr w14:val="tx1"/>
            </w14:solidFill>
          </w14:textFill>
        </w:rPr>
        <w:t>询问函</w:t>
      </w:r>
    </w:p>
    <w:p>
      <w:pPr>
        <w:widowControl/>
        <w:adjustRightInd w:val="0"/>
        <w:spacing w:after="156" w:afterLines="50"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u w:val="single"/>
          <w14:textFill>
            <w14:solidFill>
              <w14:schemeClr w14:val="tx1"/>
            </w14:solidFill>
          </w14:textFill>
        </w:rPr>
        <w:t>中通服咨询设计研究院有限公司</w:t>
      </w:r>
      <w:r>
        <w:rPr>
          <w:rFonts w:hint="eastAsia" w:ascii="宋体" w:hAnsi="宋体" w:eastAsia="宋体"/>
          <w:color w:val="000000" w:themeColor="text1"/>
          <w:sz w:val="22"/>
          <w14:textFill>
            <w14:solidFill>
              <w14:schemeClr w14:val="tx1"/>
            </w14:solidFill>
          </w14:textFill>
        </w:rPr>
        <w:t>：</w:t>
      </w:r>
    </w:p>
    <w:p>
      <w:pPr>
        <w:widowControl/>
        <w:tabs>
          <w:tab w:val="left" w:pos="6300"/>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我单位已获取招标文件并准备参与</w:t>
      </w:r>
      <w:r>
        <w:rPr>
          <w:rFonts w:ascii="宋体" w:hAnsi="宋体" w:eastAsia="宋体"/>
          <w:i/>
          <w:color w:val="000000" w:themeColor="text1"/>
          <w:sz w:val="22"/>
          <w:u w:val="single"/>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项目（项目编号</w:t>
      </w:r>
      <w:r>
        <w:rPr>
          <w:rFonts w:hint="eastAsia" w:ascii="宋体" w:hAnsi="宋体" w:eastAsia="宋体"/>
          <w:color w:val="000000" w:themeColor="text1"/>
          <w:sz w:val="22"/>
          <w:u w:val="single"/>
          <w14:textFill>
            <w14:solidFill>
              <w14:schemeClr w14:val="tx1"/>
            </w14:solidFill>
          </w14:textFill>
        </w:rPr>
        <w:t>：</w:t>
      </w:r>
      <w:r>
        <w:rPr>
          <w:rFonts w:ascii="宋体" w:hAnsi="宋体" w:eastAsia="宋体"/>
          <w:color w:val="000000" w:themeColor="text1"/>
          <w:sz w:val="22"/>
          <w:u w:val="single"/>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）的投标（或报价）活动，现有以下几个内容（或条款）存在疑问（或无法理解），特提出询问。</w:t>
      </w:r>
    </w:p>
    <w:p>
      <w:pPr>
        <w:widowControl/>
        <w:tabs>
          <w:tab w:val="center" w:pos="5019"/>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一、</w:t>
      </w:r>
      <w:r>
        <w:rPr>
          <w:rFonts w:ascii="宋体" w:hAnsi="宋体" w:eastAsia="宋体"/>
          <w:color w:val="000000" w:themeColor="text1"/>
          <w:sz w:val="22"/>
          <w:u w:val="single"/>
          <w14:textFill>
            <w14:solidFill>
              <w14:schemeClr w14:val="tx1"/>
            </w14:solidFill>
          </w14:textFill>
        </w:rPr>
        <w:t xml:space="preserve">                        </w:t>
      </w:r>
      <w:r>
        <w:rPr>
          <w:rFonts w:ascii="宋体" w:hAnsi="宋体" w:eastAsia="宋体"/>
          <w:color w:val="000000" w:themeColor="text1"/>
          <w:sz w:val="22"/>
          <w14:textFill>
            <w14:solidFill>
              <w14:schemeClr w14:val="tx1"/>
            </w14:solidFill>
          </w14:textFill>
        </w:rPr>
        <w:t>（事项一）</w:t>
      </w:r>
      <w:r>
        <w:rPr>
          <w:rFonts w:ascii="宋体" w:hAnsi="宋体" w:eastAsia="宋体"/>
          <w:color w:val="000000" w:themeColor="text1"/>
          <w:sz w:val="22"/>
          <w14:textFill>
            <w14:solidFill>
              <w14:schemeClr w14:val="tx1"/>
            </w14:solidFill>
          </w14:textFill>
        </w:rPr>
        <w:tab/>
      </w:r>
    </w:p>
    <w:p>
      <w:pPr>
        <w:widowControl/>
        <w:tabs>
          <w:tab w:val="left" w:pos="6300"/>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w:t>
      </w:r>
      <w:r>
        <w:rPr>
          <w:rFonts w:ascii="宋体" w:hAnsi="宋体" w:eastAsia="宋体"/>
          <w:color w:val="000000" w:themeColor="text1"/>
          <w:sz w:val="22"/>
          <w14:textFill>
            <w14:solidFill>
              <w14:schemeClr w14:val="tx1"/>
            </w14:solidFill>
          </w14:textFill>
        </w:rPr>
        <w:t>1）</w:t>
      </w:r>
      <w:r>
        <w:rPr>
          <w:rFonts w:ascii="宋体" w:hAnsi="宋体" w:eastAsia="宋体"/>
          <w:color w:val="000000" w:themeColor="text1"/>
          <w:sz w:val="22"/>
          <w:u w:val="single"/>
          <w14:textFill>
            <w14:solidFill>
              <w14:schemeClr w14:val="tx1"/>
            </w14:solidFill>
          </w14:textFill>
        </w:rPr>
        <w:t xml:space="preserve">                       </w:t>
      </w:r>
      <w:r>
        <w:rPr>
          <w:rFonts w:ascii="宋体" w:hAnsi="宋体" w:eastAsia="宋体"/>
          <w:color w:val="000000" w:themeColor="text1"/>
          <w:sz w:val="22"/>
          <w14:textFill>
            <w14:solidFill>
              <w14:schemeClr w14:val="tx1"/>
            </w14:solidFill>
          </w14:textFill>
        </w:rPr>
        <w:t>（问题或条款内容）</w:t>
      </w:r>
    </w:p>
    <w:p>
      <w:pPr>
        <w:widowControl/>
        <w:tabs>
          <w:tab w:val="left" w:pos="6300"/>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w:t>
      </w:r>
      <w:r>
        <w:rPr>
          <w:rFonts w:ascii="宋体" w:hAnsi="宋体" w:eastAsia="宋体"/>
          <w:color w:val="000000" w:themeColor="text1"/>
          <w:sz w:val="22"/>
          <w14:textFill>
            <w14:solidFill>
              <w14:schemeClr w14:val="tx1"/>
            </w14:solidFill>
          </w14:textFill>
        </w:rPr>
        <w:t>2）</w:t>
      </w:r>
      <w:r>
        <w:rPr>
          <w:rFonts w:ascii="宋体" w:hAnsi="宋体" w:eastAsia="宋体"/>
          <w:color w:val="000000" w:themeColor="text1"/>
          <w:sz w:val="22"/>
          <w:u w:val="single"/>
          <w14:textFill>
            <w14:solidFill>
              <w14:schemeClr w14:val="tx1"/>
            </w14:solidFill>
          </w14:textFill>
        </w:rPr>
        <w:t xml:space="preserve">                       </w:t>
      </w:r>
      <w:r>
        <w:rPr>
          <w:rFonts w:ascii="宋体" w:hAnsi="宋体" w:eastAsia="宋体"/>
          <w:color w:val="000000" w:themeColor="text1"/>
          <w:sz w:val="22"/>
          <w14:textFill>
            <w14:solidFill>
              <w14:schemeClr w14:val="tx1"/>
            </w14:solidFill>
          </w14:textFill>
        </w:rPr>
        <w:t>（说明疑问或无法理解原因）</w:t>
      </w:r>
    </w:p>
    <w:p>
      <w:pPr>
        <w:widowControl/>
        <w:tabs>
          <w:tab w:val="left" w:pos="6300"/>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w:t>
      </w:r>
      <w:r>
        <w:rPr>
          <w:rFonts w:ascii="宋体" w:hAnsi="宋体" w:eastAsia="宋体"/>
          <w:color w:val="000000" w:themeColor="text1"/>
          <w:sz w:val="22"/>
          <w14:textFill>
            <w14:solidFill>
              <w14:schemeClr w14:val="tx1"/>
            </w14:solidFill>
          </w14:textFill>
        </w:rPr>
        <w:t>3）</w:t>
      </w:r>
      <w:r>
        <w:rPr>
          <w:rFonts w:ascii="宋体" w:hAnsi="宋体" w:eastAsia="宋体"/>
          <w:color w:val="000000" w:themeColor="text1"/>
          <w:sz w:val="22"/>
          <w:u w:val="single"/>
          <w14:textFill>
            <w14:solidFill>
              <w14:schemeClr w14:val="tx1"/>
            </w14:solidFill>
          </w14:textFill>
        </w:rPr>
        <w:t xml:space="preserve">                       </w:t>
      </w:r>
      <w:r>
        <w:rPr>
          <w:rFonts w:ascii="宋体" w:hAnsi="宋体" w:eastAsia="宋体"/>
          <w:color w:val="000000" w:themeColor="text1"/>
          <w:sz w:val="22"/>
          <w14:textFill>
            <w14:solidFill>
              <w14:schemeClr w14:val="tx1"/>
            </w14:solidFill>
          </w14:textFill>
        </w:rPr>
        <w:t>（建议）</w:t>
      </w:r>
    </w:p>
    <w:p>
      <w:pPr>
        <w:widowControl/>
        <w:tabs>
          <w:tab w:val="left" w:pos="6300"/>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二、</w:t>
      </w:r>
      <w:r>
        <w:rPr>
          <w:rFonts w:ascii="宋体" w:hAnsi="宋体" w:eastAsia="宋体"/>
          <w:color w:val="000000" w:themeColor="text1"/>
          <w:sz w:val="22"/>
          <w:u w:val="single"/>
          <w14:textFill>
            <w14:solidFill>
              <w14:schemeClr w14:val="tx1"/>
            </w14:solidFill>
          </w14:textFill>
        </w:rPr>
        <w:t xml:space="preserve">                       </w:t>
      </w:r>
      <w:r>
        <w:rPr>
          <w:rFonts w:ascii="宋体" w:hAnsi="宋体" w:eastAsia="宋体"/>
          <w:color w:val="000000" w:themeColor="text1"/>
          <w:sz w:val="22"/>
          <w14:textFill>
            <w14:solidFill>
              <w14:schemeClr w14:val="tx1"/>
            </w14:solidFill>
          </w14:textFill>
        </w:rPr>
        <w:t xml:space="preserve"> （事项二）</w:t>
      </w:r>
    </w:p>
    <w:p>
      <w:pPr>
        <w:widowControl/>
        <w:tabs>
          <w:tab w:val="left" w:pos="6300"/>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w:t>
      </w:r>
    </w:p>
    <w:p>
      <w:pPr>
        <w:widowControl/>
        <w:tabs>
          <w:tab w:val="left" w:pos="6300"/>
        </w:tabs>
        <w:adjustRightInd w:val="0"/>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随附相关证明材料如下：（目录）。</w:t>
      </w:r>
    </w:p>
    <w:p>
      <w:pPr>
        <w:widowControl/>
        <w:tabs>
          <w:tab w:val="left" w:pos="6300"/>
        </w:tabs>
        <w:adjustRightInd w:val="0"/>
        <w:spacing w:line="360" w:lineRule="auto"/>
        <w:ind w:firstLine="1320" w:firstLineChars="6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询问人：（公章）</w:t>
      </w:r>
    </w:p>
    <w:p>
      <w:pPr>
        <w:widowControl/>
        <w:tabs>
          <w:tab w:val="left" w:pos="6300"/>
        </w:tabs>
        <w:adjustRightInd w:val="0"/>
        <w:spacing w:line="360" w:lineRule="auto"/>
        <w:ind w:firstLine="1320" w:firstLineChars="6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法定代表人（授权代表）：</w:t>
      </w:r>
    </w:p>
    <w:p>
      <w:pPr>
        <w:tabs>
          <w:tab w:val="left" w:pos="6300"/>
        </w:tabs>
        <w:adjustRightInd w:val="0"/>
        <w:spacing w:line="360" w:lineRule="auto"/>
        <w:ind w:firstLine="1320" w:firstLineChars="6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地址</w:t>
      </w:r>
      <w:r>
        <w:rPr>
          <w:rFonts w:ascii="宋体" w:hAnsi="宋体" w:eastAsia="宋体"/>
          <w:color w:val="000000" w:themeColor="text1"/>
          <w:sz w:val="22"/>
          <w14:textFill>
            <w14:solidFill>
              <w14:schemeClr w14:val="tx1"/>
            </w14:solidFill>
          </w14:textFill>
        </w:rPr>
        <w:t>/邮编：</w:t>
      </w:r>
    </w:p>
    <w:p>
      <w:pPr>
        <w:tabs>
          <w:tab w:val="left" w:pos="6300"/>
        </w:tabs>
        <w:adjustRightInd w:val="0"/>
        <w:spacing w:line="360" w:lineRule="auto"/>
        <w:ind w:firstLine="1320" w:firstLineChars="6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电话</w:t>
      </w:r>
      <w:r>
        <w:rPr>
          <w:rFonts w:ascii="宋体" w:hAnsi="宋体" w:eastAsia="宋体"/>
          <w:color w:val="000000" w:themeColor="text1"/>
          <w:sz w:val="22"/>
          <w14:textFill>
            <w14:solidFill>
              <w14:schemeClr w14:val="tx1"/>
            </w14:solidFill>
          </w14:textFill>
        </w:rPr>
        <w:t>/传真：</w:t>
      </w:r>
    </w:p>
    <w:p>
      <w:pPr>
        <w:adjustRightInd w:val="0"/>
        <w:spacing w:before="624" w:beforeLines="200" w:line="360" w:lineRule="auto"/>
        <w:jc w:val="right"/>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年</w:t>
      </w: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月</w:t>
      </w: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日</w:t>
      </w:r>
    </w:p>
    <w:p>
      <w:pPr>
        <w:snapToGrid w:val="0"/>
        <w:spacing w:line="360" w:lineRule="auto"/>
        <w:ind w:firstLine="442" w:firstLineChars="201"/>
        <w:rPr>
          <w:rFonts w:hint="eastAsia" w:ascii="宋体" w:hAnsi="宋体" w:eastAsia="宋体"/>
          <w:color w:val="000000" w:themeColor="text1"/>
          <w:sz w:val="22"/>
          <w14:textFill>
            <w14:solidFill>
              <w14:schemeClr w14:val="tx1"/>
            </w14:solidFill>
          </w14:textFill>
        </w:rPr>
      </w:pPr>
    </w:p>
    <w:p>
      <w:pPr>
        <w:pStyle w:val="3"/>
        <w:keepNext w:val="0"/>
        <w:keepLines w:val="0"/>
        <w:pageBreakBefore/>
        <w:tabs>
          <w:tab w:val="left" w:pos="426"/>
          <w:tab w:val="left" w:pos="567"/>
        </w:tabs>
        <w:rPr>
          <w:rStyle w:val="44"/>
          <w:rFonts w:hint="eastAsia" w:ascii="宋体" w:hAnsi="宋体"/>
          <w:b w:val="0"/>
          <w:color w:val="000000" w:themeColor="text1"/>
          <w:spacing w:val="12"/>
          <w:sz w:val="22"/>
          <w:szCs w:val="22"/>
          <w14:textFill>
            <w14:solidFill>
              <w14:schemeClr w14:val="tx1"/>
            </w14:solidFill>
          </w14:textFill>
        </w:rPr>
      </w:pPr>
      <w:bookmarkStart w:id="73" w:name="_Toc515363626"/>
      <w:bookmarkStart w:id="74" w:name="_Toc22774"/>
      <w:bookmarkStart w:id="75" w:name="_Toc15477"/>
      <w:bookmarkStart w:id="76" w:name="_Toc515040754"/>
      <w:r>
        <w:rPr>
          <w:rStyle w:val="44"/>
          <w:rFonts w:hint="eastAsia" w:ascii="宋体" w:hAnsi="宋体"/>
          <w:b w:val="0"/>
          <w:color w:val="000000" w:themeColor="text1"/>
          <w:spacing w:val="12"/>
          <w:sz w:val="22"/>
          <w:szCs w:val="22"/>
          <w14:textFill>
            <w14:solidFill>
              <w14:schemeClr w14:val="tx1"/>
            </w14:solidFill>
          </w14:textFill>
        </w:rPr>
        <w:t>附件2  质疑函格式</w:t>
      </w:r>
      <w:bookmarkEnd w:id="73"/>
      <w:bookmarkEnd w:id="74"/>
      <w:bookmarkEnd w:id="75"/>
      <w:bookmarkEnd w:id="76"/>
    </w:p>
    <w:p>
      <w:pPr>
        <w:spacing w:before="312" w:beforeLines="100" w:after="312" w:afterLines="100"/>
        <w:jc w:val="center"/>
        <w:rPr>
          <w:rFonts w:hint="eastAsia" w:ascii="宋体" w:hAnsi="宋体" w:eastAsia="宋体" w:cs="Times New Roman"/>
          <w:b/>
          <w:color w:val="000000" w:themeColor="text1"/>
          <w:spacing w:val="20"/>
          <w:sz w:val="32"/>
          <w:szCs w:val="32"/>
          <w14:textFill>
            <w14:solidFill>
              <w14:schemeClr w14:val="tx1"/>
            </w14:solidFill>
          </w14:textFill>
        </w:rPr>
      </w:pPr>
      <w:r>
        <w:rPr>
          <w:rFonts w:hint="eastAsia" w:ascii="宋体" w:hAnsi="宋体" w:eastAsia="宋体" w:cs="Times New Roman"/>
          <w:b/>
          <w:color w:val="000000" w:themeColor="text1"/>
          <w:spacing w:val="20"/>
          <w:sz w:val="32"/>
          <w:szCs w:val="32"/>
          <w14:textFill>
            <w14:solidFill>
              <w14:schemeClr w14:val="tx1"/>
            </w14:solidFill>
          </w14:textFill>
        </w:rPr>
        <w:t>质疑函</w:t>
      </w:r>
    </w:p>
    <w:p>
      <w:pPr>
        <w:adjustRightInd w:val="0"/>
        <w:snapToGrid w:val="0"/>
        <w:spacing w:line="360" w:lineRule="auto"/>
        <w:rPr>
          <w:rFonts w:hint="eastAsia" w:ascii="宋体" w:hAnsi="宋体" w:eastAsia="宋体" w:cs="仿宋"/>
          <w:bCs/>
          <w:color w:val="000000" w:themeColor="text1"/>
          <w:sz w:val="22"/>
          <w14:textFill>
            <w14:solidFill>
              <w14:schemeClr w14:val="tx1"/>
            </w14:solidFill>
          </w14:textFill>
        </w:rPr>
      </w:pPr>
      <w:r>
        <w:rPr>
          <w:rFonts w:hint="eastAsia" w:ascii="宋体" w:hAnsi="宋体" w:eastAsia="宋体" w:cs="仿宋"/>
          <w:bCs/>
          <w:color w:val="000000" w:themeColor="text1"/>
          <w:sz w:val="22"/>
          <w14:textFill>
            <w14:solidFill>
              <w14:schemeClr w14:val="tx1"/>
            </w14:solidFill>
          </w14:textFill>
        </w:rPr>
        <w:t>一、质疑供应商基本信息</w:t>
      </w:r>
    </w:p>
    <w:p>
      <w:pPr>
        <w:adjustRightInd w:val="0"/>
        <w:snapToGrid w:val="0"/>
        <w:spacing w:line="360" w:lineRule="auto"/>
        <w:rPr>
          <w:rFonts w:hint="eastAsia" w:ascii="宋体" w:hAnsi="宋体" w:eastAsia="宋体" w:cs="仿宋"/>
          <w:color w:val="000000" w:themeColor="text1"/>
          <w:sz w:val="22"/>
          <w:u w:val="dotted"/>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质疑供应商：</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地址：</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14:textFill>
            <w14:solidFill>
              <w14:schemeClr w14:val="tx1"/>
            </w14:solidFill>
          </w14:textFill>
        </w:rPr>
        <w:t>邮编：</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联系人：</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14:textFill>
            <w14:solidFill>
              <w14:schemeClr w14:val="tx1"/>
            </w14:solidFill>
          </w14:textFill>
        </w:rPr>
        <w:t>联系电话：</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u w:val="dotted"/>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授权代表：</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b/>
          <w:color w:val="000000" w:themeColor="text1"/>
          <w:sz w:val="22"/>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联系电话：</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b/>
          <w:color w:val="000000" w:themeColor="text1"/>
          <w:sz w:val="22"/>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地   址：</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14:textFill>
            <w14:solidFill>
              <w14:schemeClr w14:val="tx1"/>
            </w14:solidFill>
          </w14:textFill>
        </w:rPr>
        <w:t>邮编：</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before="156" w:beforeLines="50" w:line="360" w:lineRule="auto"/>
        <w:rPr>
          <w:rFonts w:hint="eastAsia" w:ascii="宋体" w:hAnsi="宋体" w:eastAsia="宋体" w:cs="仿宋"/>
          <w:bCs/>
          <w:color w:val="000000" w:themeColor="text1"/>
          <w:sz w:val="22"/>
          <w14:textFill>
            <w14:solidFill>
              <w14:schemeClr w14:val="tx1"/>
            </w14:solidFill>
          </w14:textFill>
        </w:rPr>
      </w:pPr>
      <w:r>
        <w:rPr>
          <w:rFonts w:hint="eastAsia" w:ascii="宋体" w:hAnsi="宋体" w:eastAsia="宋体" w:cs="仿宋"/>
          <w:bCs/>
          <w:color w:val="000000" w:themeColor="text1"/>
          <w:sz w:val="22"/>
          <w14:textFill>
            <w14:solidFill>
              <w14:schemeClr w14:val="tx1"/>
            </w14:solidFill>
          </w14:textFill>
        </w:rPr>
        <w:t xml:space="preserve">二、质疑项目基本情况 </w:t>
      </w:r>
    </w:p>
    <w:p>
      <w:pPr>
        <w:adjustRightInd w:val="0"/>
        <w:snapToGrid w:val="0"/>
        <w:spacing w:line="360" w:lineRule="auto"/>
        <w:rPr>
          <w:rFonts w:hint="eastAsia" w:ascii="宋体" w:hAnsi="宋体" w:eastAsia="宋体" w:cs="仿宋"/>
          <w:color w:val="000000" w:themeColor="text1"/>
          <w:sz w:val="22"/>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质疑项目的名称：</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质疑项目的编号：</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14:textFill>
            <w14:solidFill>
              <w14:schemeClr w14:val="tx1"/>
            </w14:solidFill>
          </w14:textFill>
        </w:rPr>
        <w:t>包号：</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u w:val="single"/>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招标人名称：</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u w:val="single"/>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采购文件获取日期：</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before="156" w:beforeLines="50" w:line="360" w:lineRule="auto"/>
        <w:rPr>
          <w:rFonts w:hint="eastAsia" w:ascii="宋体" w:hAnsi="宋体" w:eastAsia="宋体" w:cs="仿宋"/>
          <w:bCs/>
          <w:color w:val="000000" w:themeColor="text1"/>
          <w:sz w:val="22"/>
          <w14:textFill>
            <w14:solidFill>
              <w14:schemeClr w14:val="tx1"/>
            </w14:solidFill>
          </w14:textFill>
        </w:rPr>
      </w:pPr>
      <w:r>
        <w:rPr>
          <w:rFonts w:hint="eastAsia" w:ascii="宋体" w:hAnsi="宋体" w:eastAsia="宋体" w:cs="仿宋"/>
          <w:bCs/>
          <w:color w:val="000000" w:themeColor="text1"/>
          <w:sz w:val="22"/>
          <w14:textFill>
            <w14:solidFill>
              <w14:schemeClr w14:val="tx1"/>
            </w14:solidFill>
          </w14:textFill>
        </w:rPr>
        <w:t>三、质疑事项具体内容</w:t>
      </w:r>
    </w:p>
    <w:p>
      <w:pPr>
        <w:adjustRightInd w:val="0"/>
        <w:snapToGrid w:val="0"/>
        <w:spacing w:line="360" w:lineRule="auto"/>
        <w:rPr>
          <w:rFonts w:hint="eastAsia" w:ascii="宋体" w:hAnsi="宋体" w:eastAsia="宋体" w:cs="仿宋"/>
          <w:color w:val="000000" w:themeColor="text1"/>
          <w:sz w:val="22"/>
          <w:u w:val="single"/>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质疑事项</w:t>
      </w:r>
      <w:r>
        <w:rPr>
          <w:rFonts w:ascii="宋体" w:hAnsi="宋体" w:eastAsia="宋体" w:cs="仿宋"/>
          <w:color w:val="000000" w:themeColor="text1"/>
          <w:sz w:val="22"/>
          <w14:textFill>
            <w14:solidFill>
              <w14:schemeClr w14:val="tx1"/>
            </w14:solidFill>
          </w14:textFill>
        </w:rPr>
        <w:t>1：</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u w:val="single"/>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事实依据：</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u w:val="single"/>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法律依据：</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s="仿宋"/>
          <w:color w:val="000000" w:themeColor="text1"/>
          <w:sz w:val="22"/>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质疑事项</w:t>
      </w:r>
      <w:r>
        <w:rPr>
          <w:rFonts w:ascii="宋体" w:hAnsi="宋体" w:eastAsia="宋体" w:cs="仿宋"/>
          <w:color w:val="000000" w:themeColor="text1"/>
          <w:sz w:val="22"/>
          <w14:textFill>
            <w14:solidFill>
              <w14:schemeClr w14:val="tx1"/>
            </w14:solidFill>
          </w14:textFill>
        </w:rPr>
        <w:t>2</w:t>
      </w:r>
    </w:p>
    <w:p>
      <w:pPr>
        <w:adjustRightInd w:val="0"/>
        <w:snapToGrid w:val="0"/>
        <w:spacing w:line="360" w:lineRule="auto"/>
        <w:rPr>
          <w:rFonts w:hint="eastAsia" w:ascii="宋体" w:hAnsi="宋体" w:eastAsia="宋体" w:cs="仿宋"/>
          <w:bCs/>
          <w:color w:val="000000" w:themeColor="text1"/>
          <w:sz w:val="22"/>
          <w14:textFill>
            <w14:solidFill>
              <w14:schemeClr w14:val="tx1"/>
            </w14:solidFill>
          </w14:textFill>
        </w:rPr>
      </w:pPr>
      <w:r>
        <w:rPr>
          <w:rFonts w:hint="eastAsia" w:ascii="宋体" w:hAnsi="宋体" w:eastAsia="宋体" w:cs="仿宋"/>
          <w:bCs/>
          <w:color w:val="000000" w:themeColor="text1"/>
          <w:sz w:val="22"/>
          <w14:textFill>
            <w14:solidFill>
              <w14:schemeClr w14:val="tx1"/>
            </w14:solidFill>
          </w14:textFill>
        </w:rPr>
        <w:t>四、与质疑事项相关的质疑请求</w:t>
      </w:r>
    </w:p>
    <w:p>
      <w:pPr>
        <w:adjustRightInd w:val="0"/>
        <w:snapToGrid w:val="0"/>
        <w:spacing w:line="360" w:lineRule="auto"/>
        <w:rPr>
          <w:rFonts w:hint="eastAsia" w:ascii="宋体" w:hAnsi="宋体" w:eastAsia="宋体" w:cs="仿宋"/>
          <w:color w:val="000000" w:themeColor="text1"/>
          <w:sz w:val="22"/>
          <w:u w:val="dotted"/>
          <w14:textFill>
            <w14:solidFill>
              <w14:schemeClr w14:val="tx1"/>
            </w14:solidFill>
          </w14:textFill>
        </w:rPr>
      </w:pPr>
      <w:r>
        <w:rPr>
          <w:rFonts w:hint="eastAsia" w:ascii="宋体" w:hAnsi="宋体" w:eastAsia="宋体" w:cs="仿宋"/>
          <w:color w:val="000000" w:themeColor="text1"/>
          <w:sz w:val="22"/>
          <w14:textFill>
            <w14:solidFill>
              <w14:schemeClr w14:val="tx1"/>
            </w14:solidFill>
          </w14:textFill>
        </w:rPr>
        <w:t>请求：</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r>
        <w:rPr>
          <w:rFonts w:ascii="宋体" w:hAnsi="宋体" w:eastAsia="宋体" w:cs="仿宋"/>
          <w:color w:val="000000" w:themeColor="text1"/>
          <w:sz w:val="22"/>
          <w:u w:val="single"/>
          <w14:textFill>
            <w14:solidFill>
              <w14:schemeClr w14:val="tx1"/>
            </w14:solidFill>
          </w14:textFill>
        </w:rPr>
        <w:t xml:space="preserve">  </w:t>
      </w:r>
      <w:r>
        <w:rPr>
          <w:rFonts w:hint="eastAsia" w:ascii="宋体" w:hAnsi="宋体" w:eastAsia="宋体" w:cs="仿宋"/>
          <w:color w:val="000000" w:themeColor="text1"/>
          <w:sz w:val="22"/>
          <w:u w:val="single"/>
          <w14:textFill>
            <w14:solidFill>
              <w14:schemeClr w14:val="tx1"/>
            </w14:solidFill>
          </w14:textFill>
        </w:rPr>
        <w:t xml:space="preserve">             </w:t>
      </w:r>
    </w:p>
    <w:p>
      <w:pPr>
        <w:adjustRightInd w:val="0"/>
        <w:snapToGrid w:val="0"/>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签字</w:t>
      </w:r>
      <w:r>
        <w:rPr>
          <w:rFonts w:ascii="宋体" w:hAnsi="宋体" w:eastAsia="宋体"/>
          <w:color w:val="000000" w:themeColor="text1"/>
          <w:sz w:val="22"/>
          <w14:textFill>
            <w14:solidFill>
              <w14:schemeClr w14:val="tx1"/>
            </w14:solidFill>
          </w14:textFill>
        </w:rPr>
        <w:t xml:space="preserve">(签章)：                   公章：                      </w:t>
      </w:r>
    </w:p>
    <w:p>
      <w:pPr>
        <w:adjustRightInd w:val="0"/>
        <w:snapToGrid w:val="0"/>
        <w:spacing w:line="360" w:lineRule="auto"/>
        <w:rPr>
          <w:rFonts w:hint="eastAsia" w:ascii="宋体" w:hAnsi="宋体" w:eastAsia="宋体" w:cs="仿宋"/>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日    期：</w:t>
      </w:r>
      <w:r>
        <w:rPr>
          <w:rFonts w:ascii="宋体" w:hAnsi="宋体" w:eastAsia="宋体"/>
          <w:color w:val="000000" w:themeColor="text1"/>
          <w:sz w:val="22"/>
          <w14:textFill>
            <w14:solidFill>
              <w14:schemeClr w14:val="tx1"/>
            </w14:solidFill>
          </w14:textFill>
        </w:rPr>
        <w:t xml:space="preserve">    </w:t>
      </w:r>
    </w:p>
    <w:p>
      <w:pPr>
        <w:adjustRightInd w:val="0"/>
        <w:snapToGrid w:val="0"/>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质疑函制作说明：</w:t>
      </w:r>
    </w:p>
    <w:p>
      <w:pPr>
        <w:pStyle w:val="63"/>
        <w:widowControl/>
        <w:numPr>
          <w:ilvl w:val="0"/>
          <w:numId w:val="18"/>
        </w:numPr>
        <w:adjustRightInd w:val="0"/>
        <w:snapToGrid w:val="0"/>
        <w:contextualSpacing w:val="0"/>
        <w:jc w:val="left"/>
        <w:rPr>
          <w:rFonts w:hint="eastAsia" w:ascii="宋体" w:hAnsi="宋体" w:eastAsia="宋体"/>
          <w:b/>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供应商提出质疑时，应提交质疑函和必要的证明材料。</w:t>
      </w:r>
    </w:p>
    <w:p>
      <w:pPr>
        <w:pStyle w:val="63"/>
        <w:widowControl/>
        <w:numPr>
          <w:ilvl w:val="0"/>
          <w:numId w:val="18"/>
        </w:numPr>
        <w:adjustRightInd w:val="0"/>
        <w:snapToGrid w:val="0"/>
        <w:contextualSpacing w:val="0"/>
        <w:jc w:val="left"/>
        <w:rPr>
          <w:rFonts w:hint="eastAsia" w:ascii="宋体" w:hAnsi="宋体" w:eastAsia="宋体"/>
          <w:b/>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63"/>
        <w:widowControl/>
        <w:numPr>
          <w:ilvl w:val="0"/>
          <w:numId w:val="18"/>
        </w:numPr>
        <w:adjustRightInd w:val="0"/>
        <w:snapToGrid w:val="0"/>
        <w:contextualSpacing w:val="0"/>
        <w:jc w:val="left"/>
        <w:rPr>
          <w:rFonts w:hint="eastAsia" w:ascii="宋体" w:hAnsi="宋体" w:eastAsia="宋体"/>
          <w:b/>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质疑供应商若对项目的某一分包进行质疑，质疑函中应列明具体分包号。</w:t>
      </w:r>
    </w:p>
    <w:p>
      <w:pPr>
        <w:pStyle w:val="63"/>
        <w:widowControl/>
        <w:numPr>
          <w:ilvl w:val="0"/>
          <w:numId w:val="18"/>
        </w:numPr>
        <w:adjustRightInd w:val="0"/>
        <w:snapToGrid w:val="0"/>
        <w:contextualSpacing w:val="0"/>
        <w:jc w:val="left"/>
        <w:rPr>
          <w:rFonts w:hint="eastAsia" w:ascii="宋体" w:hAnsi="宋体" w:eastAsia="宋体"/>
          <w:b/>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质疑函的质疑事项应具体、明确，并有必要的事实依据和法律依据。</w:t>
      </w:r>
    </w:p>
    <w:p>
      <w:pPr>
        <w:pStyle w:val="63"/>
        <w:widowControl/>
        <w:numPr>
          <w:ilvl w:val="0"/>
          <w:numId w:val="18"/>
        </w:numPr>
        <w:adjustRightInd w:val="0"/>
        <w:snapToGrid w:val="0"/>
        <w:contextualSpacing w:val="0"/>
        <w:jc w:val="left"/>
        <w:rPr>
          <w:rFonts w:hint="eastAsia" w:ascii="宋体" w:hAnsi="宋体" w:eastAsia="宋体"/>
          <w:b/>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质疑函的质疑请求应与质疑事项相关。</w:t>
      </w:r>
    </w:p>
    <w:p>
      <w:pPr>
        <w:pStyle w:val="63"/>
        <w:widowControl/>
        <w:numPr>
          <w:ilvl w:val="0"/>
          <w:numId w:val="18"/>
        </w:numPr>
        <w:adjustRightInd w:val="0"/>
        <w:snapToGrid w:val="0"/>
        <w:contextualSpacing w:val="0"/>
        <w:jc w:val="left"/>
        <w:rPr>
          <w:rFonts w:hint="eastAsia" w:ascii="宋体" w:hAnsi="宋体" w:eastAsia="宋体"/>
          <w:b/>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质疑供应商为自然人的，质疑函应由本人签字；质疑供应商为法人或者其他组织的，质疑函应由法定代表人、主要负责人，或者其授权代表签字或者盖章，并加盖公章。</w:t>
      </w:r>
    </w:p>
    <w:p>
      <w:pPr>
        <w:rPr>
          <w:rFonts w:hint="eastAsia" w:ascii="宋体" w:hAnsi="宋体" w:eastAsia="宋体"/>
          <w:b/>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br w:type="page"/>
      </w:r>
    </w:p>
    <w:p>
      <w:pPr>
        <w:pStyle w:val="2"/>
        <w:keepNext w:val="0"/>
        <w:keepLines w:val="0"/>
        <w:pageBreakBefore/>
        <w:spacing w:line="360" w:lineRule="auto"/>
        <w:jc w:val="center"/>
        <w:rPr>
          <w:rFonts w:hint="eastAsia" w:ascii="宋体" w:hAnsi="宋体" w:eastAsia="宋体"/>
          <w:color w:val="000000" w:themeColor="text1"/>
          <w:spacing w:val="20"/>
          <w:sz w:val="36"/>
          <w:szCs w:val="36"/>
          <w14:textFill>
            <w14:solidFill>
              <w14:schemeClr w14:val="tx1"/>
            </w14:solidFill>
          </w14:textFill>
        </w:rPr>
      </w:pPr>
      <w:bookmarkStart w:id="77" w:name="_Toc4102"/>
      <w:bookmarkStart w:id="78" w:name="_Toc391627751"/>
      <w:bookmarkStart w:id="79" w:name="_Toc26844"/>
      <w:bookmarkStart w:id="80" w:name="_Toc405313955"/>
      <w:bookmarkStart w:id="81" w:name="_Toc10469"/>
      <w:r>
        <w:rPr>
          <w:rFonts w:hint="eastAsia" w:ascii="宋体" w:hAnsi="宋体" w:eastAsia="宋体"/>
          <w:color w:val="000000" w:themeColor="text1"/>
          <w:spacing w:val="20"/>
          <w:sz w:val="36"/>
          <w:szCs w:val="36"/>
          <w14:textFill>
            <w14:solidFill>
              <w14:schemeClr w14:val="tx1"/>
            </w14:solidFill>
          </w14:textFill>
        </w:rPr>
        <w:t>第五部分</w:t>
      </w:r>
      <w:r>
        <w:rPr>
          <w:rFonts w:ascii="宋体" w:hAnsi="宋体" w:eastAsia="宋体"/>
          <w:color w:val="000000" w:themeColor="text1"/>
          <w:spacing w:val="20"/>
          <w:sz w:val="36"/>
          <w:szCs w:val="36"/>
          <w14:textFill>
            <w14:solidFill>
              <w14:schemeClr w14:val="tx1"/>
            </w14:solidFill>
          </w14:textFill>
        </w:rPr>
        <w:t xml:space="preserve"> </w:t>
      </w:r>
      <w:r>
        <w:rPr>
          <w:rFonts w:hint="eastAsia" w:ascii="宋体" w:hAnsi="宋体" w:eastAsia="宋体"/>
          <w:color w:val="000000" w:themeColor="text1"/>
          <w:spacing w:val="20"/>
          <w:sz w:val="36"/>
          <w:szCs w:val="36"/>
          <w14:textFill>
            <w14:solidFill>
              <w14:schemeClr w14:val="tx1"/>
            </w14:solidFill>
          </w14:textFill>
        </w:rPr>
        <w:t>评标方法、步骤、标准</w:t>
      </w:r>
      <w:bookmarkEnd w:id="77"/>
      <w:bookmarkEnd w:id="78"/>
      <w:bookmarkEnd w:id="79"/>
      <w:bookmarkEnd w:id="80"/>
      <w:bookmarkEnd w:id="81"/>
    </w:p>
    <w:p>
      <w:pPr>
        <w:pStyle w:val="63"/>
        <w:numPr>
          <w:ilvl w:val="0"/>
          <w:numId w:val="19"/>
        </w:numPr>
        <w:spacing w:before="312" w:beforeLines="100" w:line="360" w:lineRule="auto"/>
        <w:contextualSpacing w:val="0"/>
        <w:outlineLvl w:val="1"/>
        <w:rPr>
          <w:rFonts w:hint="eastAsia" w:ascii="宋体" w:hAnsi="宋体" w:eastAsia="宋体" w:cs="微软雅黑"/>
          <w:b/>
          <w:bCs/>
          <w:color w:val="000000" w:themeColor="text1"/>
          <w:sz w:val="28"/>
          <w:szCs w:val="28"/>
          <w14:textFill>
            <w14:solidFill>
              <w14:schemeClr w14:val="tx1"/>
            </w14:solidFill>
          </w14:textFill>
        </w:rPr>
      </w:pPr>
      <w:bookmarkStart w:id="82" w:name="_Toc8445"/>
      <w:bookmarkStart w:id="83" w:name="_Toc26527"/>
      <w:r>
        <w:rPr>
          <w:rFonts w:hint="eastAsia" w:ascii="宋体" w:hAnsi="宋体" w:eastAsia="宋体" w:cs="微软雅黑"/>
          <w:b/>
          <w:bCs/>
          <w:color w:val="000000" w:themeColor="text1"/>
          <w:sz w:val="28"/>
          <w:szCs w:val="28"/>
          <w14:textFill>
            <w14:solidFill>
              <w14:schemeClr w14:val="tx1"/>
            </w14:solidFill>
          </w14:textFill>
        </w:rPr>
        <w:t>总则</w:t>
      </w:r>
      <w:bookmarkEnd w:id="82"/>
      <w:bookmarkEnd w:id="83"/>
    </w:p>
    <w:p>
      <w:pPr>
        <w:pStyle w:val="63"/>
        <w:numPr>
          <w:ilvl w:val="0"/>
          <w:numId w:val="20"/>
        </w:numPr>
        <w:spacing w:line="360" w:lineRule="auto"/>
        <w:contextualSpacing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评标委员会</w:t>
      </w:r>
    </w:p>
    <w:p>
      <w:pPr>
        <w:pStyle w:val="63"/>
        <w:numPr>
          <w:ilvl w:val="1"/>
          <w:numId w:val="21"/>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本次招标依法组建评标委员会。</w:t>
      </w:r>
    </w:p>
    <w:p>
      <w:pPr>
        <w:pStyle w:val="63"/>
        <w:numPr>
          <w:ilvl w:val="1"/>
          <w:numId w:val="21"/>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评标委员会成员名单在评标结果公告前应当保密。</w:t>
      </w:r>
      <w:r>
        <w:rPr>
          <w:rFonts w:hint="eastAsia" w:ascii="宋体" w:hAnsi="宋体" w:eastAsia="宋体" w:cs="宋体"/>
          <w:bCs/>
          <w:color w:val="000000" w:themeColor="text1"/>
          <w:sz w:val="24"/>
          <w:szCs w:val="24"/>
          <w14:textFill>
            <w14:solidFill>
              <w14:schemeClr w14:val="tx1"/>
            </w14:solidFill>
          </w14:textFill>
        </w:rPr>
        <w:t>评审专家有下列情形之一的，受到邀请应主动提出回避，采购当事人也可以要求该评审专家回避：</w:t>
      </w:r>
    </w:p>
    <w:p>
      <w:pPr>
        <w:pStyle w:val="63"/>
        <w:numPr>
          <w:ilvl w:val="2"/>
          <w:numId w:val="22"/>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参加采购活动前3年内与供应商存在劳动关系；</w:t>
      </w:r>
    </w:p>
    <w:p>
      <w:pPr>
        <w:pStyle w:val="63"/>
        <w:numPr>
          <w:ilvl w:val="2"/>
          <w:numId w:val="22"/>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参加采购活动前3年内担任供应商的董事、监事；</w:t>
      </w:r>
    </w:p>
    <w:p>
      <w:pPr>
        <w:pStyle w:val="63"/>
        <w:numPr>
          <w:ilvl w:val="2"/>
          <w:numId w:val="22"/>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参加采购活动前3年内是供应商的控股股东或者实际控制人；</w:t>
      </w:r>
    </w:p>
    <w:p>
      <w:pPr>
        <w:pStyle w:val="63"/>
        <w:numPr>
          <w:ilvl w:val="2"/>
          <w:numId w:val="22"/>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与供应商的法定代表人或者负责人有夫妻、直系血亲、三代以内旁系血亲或者近姻亲关系；</w:t>
      </w:r>
    </w:p>
    <w:p>
      <w:pPr>
        <w:pStyle w:val="63"/>
        <w:numPr>
          <w:ilvl w:val="2"/>
          <w:numId w:val="22"/>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与供应商有其他可能影响采购活动公平、公正进行的关系。</w:t>
      </w:r>
    </w:p>
    <w:p>
      <w:pPr>
        <w:pStyle w:val="63"/>
        <w:numPr>
          <w:ilvl w:val="1"/>
          <w:numId w:val="21"/>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评标委员会负责具体评标事务，并独立履行下列职责：</w:t>
      </w:r>
    </w:p>
    <w:p>
      <w:pPr>
        <w:pStyle w:val="63"/>
        <w:widowControl/>
        <w:numPr>
          <w:ilvl w:val="2"/>
          <w:numId w:val="21"/>
        </w:numPr>
        <w:spacing w:line="360" w:lineRule="auto"/>
        <w:contextualSpacing w:val="0"/>
        <w:jc w:val="left"/>
        <w:rPr>
          <w:rFonts w:hint="eastAsia" w:ascii="宋体" w:hAnsi="宋体" w:eastAsia="宋体" w:cs="宋体"/>
          <w:color w:val="000000" w:themeColor="text1"/>
          <w:sz w:val="24"/>
          <w:szCs w:val="24"/>
          <w:lang w:eastAsia="zh-TW"/>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审查、评价投标文件是否符合招标文件的商务、技术等实质性要求；</w:t>
      </w:r>
    </w:p>
    <w:p>
      <w:pPr>
        <w:pStyle w:val="63"/>
        <w:widowControl/>
        <w:numPr>
          <w:ilvl w:val="2"/>
          <w:numId w:val="21"/>
        </w:numPr>
        <w:spacing w:line="360" w:lineRule="auto"/>
        <w:contextualSpacing w:val="0"/>
        <w:jc w:val="left"/>
        <w:rPr>
          <w:rFonts w:hint="eastAsia" w:ascii="宋体" w:hAnsi="宋体" w:eastAsia="宋体" w:cs="宋体"/>
          <w:color w:val="000000" w:themeColor="text1"/>
          <w:sz w:val="24"/>
          <w:szCs w:val="24"/>
          <w:lang w:eastAsia="zh-TW"/>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要求投标人对投标文件有关事项作出澄清或者说明；</w:t>
      </w:r>
    </w:p>
    <w:p>
      <w:pPr>
        <w:pStyle w:val="63"/>
        <w:widowControl/>
        <w:numPr>
          <w:ilvl w:val="2"/>
          <w:numId w:val="21"/>
        </w:numPr>
        <w:spacing w:line="360" w:lineRule="auto"/>
        <w:contextualSpacing w:val="0"/>
        <w:jc w:val="left"/>
        <w:rPr>
          <w:rFonts w:hint="eastAsia" w:ascii="宋体" w:hAnsi="宋体" w:eastAsia="宋体" w:cs="宋体"/>
          <w:color w:val="000000" w:themeColor="text1"/>
          <w:sz w:val="24"/>
          <w:szCs w:val="24"/>
          <w:lang w:eastAsia="zh-TW"/>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对投标文件进行比较和评价；</w:t>
      </w:r>
    </w:p>
    <w:p>
      <w:pPr>
        <w:pStyle w:val="63"/>
        <w:widowControl/>
        <w:numPr>
          <w:ilvl w:val="2"/>
          <w:numId w:val="21"/>
        </w:numPr>
        <w:spacing w:line="360" w:lineRule="auto"/>
        <w:contextualSpacing w:val="0"/>
        <w:jc w:val="left"/>
        <w:rPr>
          <w:rFonts w:hint="eastAsia" w:ascii="宋体" w:hAnsi="宋体" w:eastAsia="宋体" w:cs="宋体"/>
          <w:color w:val="000000" w:themeColor="text1"/>
          <w:sz w:val="24"/>
          <w:szCs w:val="24"/>
          <w:lang w:eastAsia="zh-TW"/>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确定中标候选人名单，以及根据</w:t>
      </w:r>
      <w:r>
        <w:rPr>
          <w:rFonts w:hint="eastAsia" w:ascii="宋体" w:hAnsi="宋体" w:eastAsia="宋体" w:cs="宋体"/>
          <w:color w:val="000000" w:themeColor="text1"/>
          <w:sz w:val="24"/>
          <w:szCs w:val="24"/>
          <w14:textFill>
            <w14:solidFill>
              <w14:schemeClr w14:val="tx1"/>
            </w14:solidFill>
          </w14:textFill>
        </w:rPr>
        <w:t>招标人</w:t>
      </w:r>
      <w:r>
        <w:rPr>
          <w:rFonts w:hint="eastAsia" w:ascii="宋体" w:hAnsi="宋体" w:eastAsia="宋体" w:cs="宋体"/>
          <w:color w:val="000000" w:themeColor="text1"/>
          <w:sz w:val="24"/>
          <w:szCs w:val="24"/>
          <w:lang w:eastAsia="zh-TW"/>
          <w14:textFill>
            <w14:solidFill>
              <w14:schemeClr w14:val="tx1"/>
            </w14:solidFill>
          </w14:textFill>
        </w:rPr>
        <w:t>委托直接确定中标人；</w:t>
      </w:r>
    </w:p>
    <w:p>
      <w:pPr>
        <w:pStyle w:val="63"/>
        <w:widowControl/>
        <w:numPr>
          <w:ilvl w:val="2"/>
          <w:numId w:val="21"/>
        </w:numPr>
        <w:spacing w:line="360" w:lineRule="auto"/>
        <w:contextualSpacing w:val="0"/>
        <w:jc w:val="left"/>
        <w:rPr>
          <w:rFonts w:hint="eastAsia" w:ascii="宋体" w:hAnsi="宋体" w:eastAsia="宋体" w:cs="宋体"/>
          <w:color w:val="000000" w:themeColor="text1"/>
          <w:sz w:val="24"/>
          <w:szCs w:val="24"/>
          <w:lang w:eastAsia="zh-TW"/>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向</w:t>
      </w:r>
      <w:r>
        <w:rPr>
          <w:rFonts w:hint="eastAsia" w:ascii="宋体" w:hAnsi="宋体" w:eastAsia="宋体" w:cs="宋体"/>
          <w:color w:val="000000" w:themeColor="text1"/>
          <w:sz w:val="24"/>
          <w:szCs w:val="24"/>
          <w14:textFill>
            <w14:solidFill>
              <w14:schemeClr w14:val="tx1"/>
            </w14:solidFill>
          </w14:textFill>
        </w:rPr>
        <w:t>招标人</w:t>
      </w:r>
      <w:r>
        <w:rPr>
          <w:rFonts w:hint="eastAsia" w:ascii="宋体" w:hAnsi="宋体" w:eastAsia="宋体" w:cs="宋体"/>
          <w:color w:val="000000" w:themeColor="text1"/>
          <w:sz w:val="24"/>
          <w:szCs w:val="24"/>
          <w:lang w:eastAsia="zh-TW"/>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招标代理机构</w:t>
      </w:r>
      <w:r>
        <w:rPr>
          <w:rFonts w:hint="eastAsia" w:ascii="宋体" w:hAnsi="宋体" w:eastAsia="宋体" w:cs="宋体"/>
          <w:color w:val="000000" w:themeColor="text1"/>
          <w:sz w:val="24"/>
          <w:szCs w:val="24"/>
          <w:lang w:eastAsia="zh-TW"/>
          <w14:textFill>
            <w14:solidFill>
              <w14:schemeClr w14:val="tx1"/>
            </w14:solidFill>
          </w14:textFill>
        </w:rPr>
        <w:t>或者有关部门报告评标中发现的违法行为。</w:t>
      </w:r>
    </w:p>
    <w:p>
      <w:pPr>
        <w:pStyle w:val="63"/>
        <w:widowControl/>
        <w:numPr>
          <w:ilvl w:val="1"/>
          <w:numId w:val="21"/>
        </w:numPr>
        <w:spacing w:line="360" w:lineRule="auto"/>
        <w:contextualSpacing w:val="0"/>
        <w:jc w:val="left"/>
        <w:rPr>
          <w:rFonts w:hint="eastAsia" w:ascii="宋体" w:hAnsi="宋体" w:eastAsia="宋体" w:cs="宋体"/>
          <w:color w:val="000000" w:themeColor="text1"/>
          <w:sz w:val="24"/>
          <w:szCs w:val="24"/>
          <w:lang w:eastAsia="zh-TW"/>
          <w14:textFill>
            <w14:solidFill>
              <w14:schemeClr w14:val="tx1"/>
            </w14:solidFill>
          </w14:textFill>
        </w:rPr>
      </w:pPr>
      <w:r>
        <w:rPr>
          <w:rFonts w:hint="eastAsia" w:ascii="宋体" w:hAnsi="宋体" w:eastAsia="宋体" w:cs="宋体"/>
          <w:color w:val="000000" w:themeColor="text1"/>
          <w:sz w:val="24"/>
          <w:szCs w:val="24"/>
          <w:lang w:eastAsia="zh-TW"/>
          <w14:textFill>
            <w14:solidFill>
              <w14:schemeClr w14:val="tx1"/>
            </w14:solidFill>
          </w14:textFill>
        </w:rPr>
        <w:t>对于投标文件中含义不明确、同类问题表述不一致或者有明显文字和计算错误的内容，评标委员会应当以书面形式要求投标人作出必要的澄清、说明或者补正。</w:t>
      </w:r>
    </w:p>
    <w:p>
      <w:pPr>
        <w:pStyle w:val="63"/>
        <w:numPr>
          <w:ilvl w:val="1"/>
          <w:numId w:val="21"/>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pPr>
        <w:pStyle w:val="63"/>
        <w:numPr>
          <w:ilvl w:val="1"/>
          <w:numId w:val="21"/>
        </w:numPr>
        <w:spacing w:line="360" w:lineRule="auto"/>
        <w:contextualSpacing w:val="0"/>
        <w:rPr>
          <w:rFonts w:hint="eastAsia" w:ascii="宋体" w:hAnsi="宋体" w:eastAsia="宋体" w:cs="宋体"/>
          <w:bCs/>
          <w:color w:val="000000" w:themeColor="text1"/>
          <w:spacing w:val="-4"/>
          <w:sz w:val="24"/>
          <w:szCs w:val="24"/>
          <w14:textFill>
            <w14:solidFill>
              <w14:schemeClr w14:val="tx1"/>
            </w14:solidFill>
          </w14:textFill>
        </w:rPr>
      </w:pPr>
      <w:r>
        <w:rPr>
          <w:rFonts w:hint="eastAsia" w:ascii="宋体" w:hAnsi="宋体" w:eastAsia="宋体" w:cs="宋体"/>
          <w:bCs/>
          <w:color w:val="000000" w:themeColor="text1"/>
          <w:spacing w:val="-4"/>
          <w:sz w:val="24"/>
          <w:szCs w:val="24"/>
          <w14:textFill>
            <w14:solidFill>
              <w14:schemeClr w14:val="tx1"/>
            </w14:solidFill>
          </w14:textFill>
        </w:rPr>
        <w:t>参与评标工作的所有人员必须遵守</w:t>
      </w:r>
      <w:r>
        <w:rPr>
          <w:rFonts w:hint="eastAsia" w:ascii="宋体" w:hAnsi="宋体" w:eastAsia="宋体" w:cs="宋体"/>
          <w:color w:val="000000" w:themeColor="text1"/>
          <w:spacing w:val="-4"/>
          <w:sz w:val="24"/>
          <w:szCs w:val="24"/>
          <w14:textFill>
            <w14:solidFill>
              <w14:schemeClr w14:val="tx1"/>
            </w14:solidFill>
          </w14:textFill>
        </w:rPr>
        <w:t>《中华人民共和国政府采购法》、《中华人民共和国政府采购法实施条例》、财政部《政府采购货物和服务招标投标管理办法》、广东省实施《中华人民共和国政府采购法》的其它办法</w:t>
      </w:r>
      <w:r>
        <w:rPr>
          <w:rFonts w:hint="eastAsia" w:ascii="宋体" w:hAnsi="宋体" w:eastAsia="宋体" w:cs="宋体"/>
          <w:bCs/>
          <w:color w:val="000000" w:themeColor="text1"/>
          <w:spacing w:val="-4"/>
          <w:sz w:val="24"/>
          <w:szCs w:val="24"/>
          <w14:textFill>
            <w14:solidFill>
              <w14:schemeClr w14:val="tx1"/>
            </w14:solidFill>
          </w14:textFill>
        </w:rPr>
        <w:t>及相关法律、法规的规定，以确保评标的公平、公正。</w:t>
      </w:r>
    </w:p>
    <w:p>
      <w:pPr>
        <w:pStyle w:val="63"/>
        <w:numPr>
          <w:ilvl w:val="0"/>
          <w:numId w:val="20"/>
        </w:numPr>
        <w:spacing w:before="312" w:beforeLines="100" w:line="360" w:lineRule="auto"/>
        <w:contextualSpacing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评标方法</w:t>
      </w:r>
    </w:p>
    <w:p>
      <w:pPr>
        <w:pStyle w:val="63"/>
        <w:numPr>
          <w:ilvl w:val="1"/>
          <w:numId w:val="23"/>
        </w:numPr>
        <w:spacing w:line="360" w:lineRule="auto"/>
        <w:ind w:left="426" w:hanging="426"/>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本项目按照</w:t>
      </w:r>
      <w:r>
        <w:rPr>
          <w:rFonts w:hint="eastAsia" w:ascii="宋体" w:hAnsi="宋体" w:eastAsia="宋体" w:cs="宋体"/>
          <w:b/>
          <w:bCs/>
          <w:color w:val="000000" w:themeColor="text1"/>
          <w:sz w:val="24"/>
          <w:szCs w:val="24"/>
          <w:u w:val="single"/>
          <w14:textFill>
            <w14:solidFill>
              <w14:schemeClr w14:val="tx1"/>
            </w14:solidFill>
          </w14:textFill>
        </w:rPr>
        <w:t>投标须知前附表</w:t>
      </w:r>
      <w:r>
        <w:rPr>
          <w:rFonts w:hint="eastAsia" w:ascii="宋体" w:hAnsi="宋体" w:eastAsia="宋体" w:cs="宋体"/>
          <w:b/>
          <w:bCs/>
          <w:color w:val="000000" w:themeColor="text1"/>
          <w:sz w:val="24"/>
          <w:szCs w:val="24"/>
          <w14:textFill>
            <w14:solidFill>
              <w14:schemeClr w14:val="tx1"/>
            </w14:solidFill>
          </w14:textFill>
        </w:rPr>
        <w:t>规定</w:t>
      </w:r>
      <w:r>
        <w:rPr>
          <w:rFonts w:hint="eastAsia" w:ascii="宋体" w:hAnsi="宋体" w:eastAsia="宋体" w:cs="宋体"/>
          <w:bCs/>
          <w:color w:val="000000" w:themeColor="text1"/>
          <w:sz w:val="24"/>
          <w:szCs w:val="24"/>
          <w14:textFill>
            <w14:solidFill>
              <w14:schemeClr w14:val="tx1"/>
            </w14:solidFill>
          </w14:textFill>
        </w:rPr>
        <w:t>的评标方法进行评审。</w:t>
      </w:r>
    </w:p>
    <w:p>
      <w:pPr>
        <w:pStyle w:val="63"/>
        <w:numPr>
          <w:ilvl w:val="1"/>
          <w:numId w:val="23"/>
        </w:numPr>
        <w:spacing w:line="360" w:lineRule="auto"/>
        <w:ind w:left="426" w:hanging="426"/>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综合评分法：是指投标文件满足招标文件全部实质性要求，且按照评审因素的量化指标评审得分最高的投标人为中标候选人的评标方法。</w:t>
      </w:r>
    </w:p>
    <w:p>
      <w:pPr>
        <w:pStyle w:val="63"/>
        <w:numPr>
          <w:ilvl w:val="0"/>
          <w:numId w:val="24"/>
        </w:numPr>
        <w:tabs>
          <w:tab w:val="left" w:pos="567"/>
        </w:tabs>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各项得分按四舍五入原则精确到小数点后两位。</w:t>
      </w:r>
    </w:p>
    <w:p>
      <w:pPr>
        <w:pStyle w:val="63"/>
        <w:numPr>
          <w:ilvl w:val="1"/>
          <w:numId w:val="25"/>
        </w:numPr>
        <w:spacing w:line="360" w:lineRule="auto"/>
        <w:ind w:left="426" w:hanging="426"/>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sz w:val="22"/>
          <w:lang w:val="zh-CN"/>
        </w:rPr>
        <w:t>★</w:t>
      </w:r>
      <w:r>
        <w:rPr>
          <w:rFonts w:hint="eastAsia" w:ascii="宋体" w:hAnsi="宋体" w:eastAsia="宋体" w:cs="宋体"/>
          <w:sz w:val="24"/>
          <w:szCs w:val="24"/>
          <w:lang w:val="zh-CN"/>
        </w:rPr>
        <w:t>投标人的商务得分应不低于商务部分总分值的60%，否则就认定为无效投标人。</w:t>
      </w:r>
      <w:r>
        <w:rPr>
          <w:rFonts w:hint="eastAsia" w:ascii="宋体" w:hAnsi="宋体" w:eastAsia="宋体" w:cs="宋体"/>
          <w:color w:val="000000" w:themeColor="text1"/>
          <w:sz w:val="24"/>
          <w:szCs w:val="28"/>
          <w14:textFill>
            <w14:solidFill>
              <w14:schemeClr w14:val="tx1"/>
            </w14:solidFill>
          </w14:textFill>
        </w:rPr>
        <w:t>有效投标人不足3家的，招标失败。</w:t>
      </w:r>
    </w:p>
    <w:p>
      <w:pPr>
        <w:pStyle w:val="63"/>
        <w:numPr>
          <w:ilvl w:val="0"/>
          <w:numId w:val="20"/>
        </w:numPr>
        <w:spacing w:before="312" w:beforeLines="100"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资格性和符合性审查</w:t>
      </w:r>
    </w:p>
    <w:p>
      <w:pPr>
        <w:pStyle w:val="63"/>
        <w:numPr>
          <w:ilvl w:val="1"/>
          <w:numId w:val="25"/>
        </w:numPr>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资格性审查：</w:t>
      </w:r>
      <w:r>
        <w:rPr>
          <w:rFonts w:hint="eastAsia" w:ascii="宋体" w:hAnsi="宋体" w:eastAsia="宋体" w:cs="宋体"/>
          <w:bCs/>
          <w:color w:val="000000" w:themeColor="text1"/>
          <w:sz w:val="24"/>
          <w:szCs w:val="24"/>
          <w14:textFill>
            <w14:solidFill>
              <w14:schemeClr w14:val="tx1"/>
            </w14:solidFill>
          </w14:textFill>
        </w:rPr>
        <w:t>公开招标采购项目开标结束后，应当依法对投标人的资格进行审查</w:t>
      </w:r>
      <w:r>
        <w:rPr>
          <w:rFonts w:hint="eastAsia" w:ascii="宋体" w:hAnsi="宋体" w:eastAsia="宋体" w:cs="宋体"/>
          <w:color w:val="000000" w:themeColor="text1"/>
          <w:sz w:val="24"/>
          <w:szCs w:val="28"/>
          <w14:textFill>
            <w14:solidFill>
              <w14:schemeClr w14:val="tx1"/>
            </w14:solidFill>
          </w14:textFill>
        </w:rPr>
        <w:t>（详见附表一资格性审查表）。</w:t>
      </w:r>
    </w:p>
    <w:p>
      <w:pPr>
        <w:pStyle w:val="63"/>
        <w:numPr>
          <w:ilvl w:val="1"/>
          <w:numId w:val="25"/>
        </w:numPr>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pPr>
        <w:pStyle w:val="63"/>
        <w:numPr>
          <w:ilvl w:val="1"/>
          <w:numId w:val="25"/>
        </w:numPr>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资格性审查和符合性审查中凡有其中任意一项未通过的，评审结果为未通过，未通过资格性审查、符合性审查的投标人按无效投标处理。</w:t>
      </w:r>
    </w:p>
    <w:p>
      <w:pPr>
        <w:pStyle w:val="63"/>
        <w:numPr>
          <w:ilvl w:val="1"/>
          <w:numId w:val="25"/>
        </w:numPr>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对各投标人进行资格审查和符合性审查过程中，对初步被认定为无效投标者，由评标委员会组长或招标人代表及时将集体意见告知投标当事人</w:t>
      </w:r>
    </w:p>
    <w:p>
      <w:pPr>
        <w:pStyle w:val="63"/>
        <w:numPr>
          <w:ilvl w:val="1"/>
          <w:numId w:val="25"/>
        </w:numPr>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63"/>
        <w:numPr>
          <w:ilvl w:val="1"/>
          <w:numId w:val="25"/>
        </w:numPr>
        <w:spacing w:line="360" w:lineRule="auto"/>
        <w:ind w:left="426" w:hanging="426"/>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合格投标人不足3家的，不得评标。</w:t>
      </w:r>
    </w:p>
    <w:p>
      <w:pPr>
        <w:pStyle w:val="63"/>
        <w:numPr>
          <w:ilvl w:val="0"/>
          <w:numId w:val="20"/>
        </w:numPr>
        <w:spacing w:before="312" w:beforeLines="100"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投标文件的澄清</w:t>
      </w:r>
    </w:p>
    <w:p>
      <w:pPr>
        <w:pStyle w:val="63"/>
        <w:numPr>
          <w:ilvl w:val="1"/>
          <w:numId w:val="26"/>
        </w:numPr>
        <w:spacing w:line="360" w:lineRule="auto"/>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对于投标文件中含义不明确、同类问题表述不一致或者有明显文字和计算错误的内容，评标委员会可在评审过程中发起澄清，要求投标人针对价格或内容做出必要的澄清、说明或补正。代理机构可根据开标环节记录的授权代表人联系方式发送短信提醒或电话告知。投标人在规定时间内完成澄清（响应）。</w:t>
      </w:r>
    </w:p>
    <w:p>
      <w:pPr>
        <w:pStyle w:val="63"/>
        <w:numPr>
          <w:ilvl w:val="1"/>
          <w:numId w:val="26"/>
        </w:numPr>
        <w:spacing w:line="360" w:lineRule="auto"/>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63"/>
        <w:numPr>
          <w:ilvl w:val="1"/>
          <w:numId w:val="26"/>
        </w:numPr>
        <w:spacing w:line="360" w:lineRule="auto"/>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评标委员会不接受投标人主动提出的澄清、说明或补正。</w:t>
      </w:r>
    </w:p>
    <w:p>
      <w:pPr>
        <w:pStyle w:val="63"/>
        <w:numPr>
          <w:ilvl w:val="1"/>
          <w:numId w:val="26"/>
        </w:numPr>
        <w:spacing w:line="360" w:lineRule="auto"/>
        <w:contextualSpacing w:val="0"/>
        <w:rPr>
          <w:rFonts w:hint="eastAsia" w:ascii="宋体" w:hAnsi="宋体" w:eastAsia="宋体" w:cs="宋体"/>
          <w:color w:val="000000" w:themeColor="text1"/>
          <w:sz w:val="24"/>
          <w:szCs w:val="28"/>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评标委员会对投标人提交的澄清、说明或补正有疑问的，可以要求投标人进一步澄清、说明或补正。</w:t>
      </w:r>
    </w:p>
    <w:p>
      <w:pPr>
        <w:pStyle w:val="63"/>
        <w:numPr>
          <w:ilvl w:val="0"/>
          <w:numId w:val="19"/>
        </w:numPr>
        <w:spacing w:before="312" w:beforeLines="100" w:line="360" w:lineRule="auto"/>
        <w:contextualSpacing w:val="0"/>
        <w:outlineLvl w:val="1"/>
        <w:rPr>
          <w:rFonts w:hint="eastAsia" w:ascii="宋体" w:hAnsi="宋体" w:eastAsia="宋体" w:cs="微软雅黑"/>
          <w:b/>
          <w:bCs/>
          <w:color w:val="000000" w:themeColor="text1"/>
          <w:sz w:val="28"/>
          <w:szCs w:val="28"/>
          <w14:textFill>
            <w14:solidFill>
              <w14:schemeClr w14:val="tx1"/>
            </w14:solidFill>
          </w14:textFill>
        </w:rPr>
      </w:pPr>
      <w:bookmarkStart w:id="84" w:name="_Toc12070"/>
      <w:bookmarkStart w:id="85" w:name="_Toc19692"/>
      <w:r>
        <w:rPr>
          <w:rFonts w:hint="eastAsia" w:ascii="宋体" w:hAnsi="宋体" w:eastAsia="宋体" w:cs="微软雅黑"/>
          <w:b/>
          <w:bCs/>
          <w:color w:val="000000" w:themeColor="text1"/>
          <w:sz w:val="28"/>
          <w:szCs w:val="28"/>
          <w14:textFill>
            <w14:solidFill>
              <w14:schemeClr w14:val="tx1"/>
            </w14:solidFill>
          </w14:textFill>
        </w:rPr>
        <w:t>投标无效的情形</w:t>
      </w:r>
      <w:bookmarkEnd w:id="84"/>
      <w:bookmarkEnd w:id="85"/>
    </w:p>
    <w:p>
      <w:pPr>
        <w:pStyle w:val="63"/>
        <w:tabs>
          <w:tab w:val="left" w:pos="426"/>
        </w:tabs>
        <w:spacing w:line="360" w:lineRule="auto"/>
        <w:ind w:firstLine="48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详见资格性审查、符合性审查和招标文件其他投标无效条款。</w:t>
      </w:r>
    </w:p>
    <w:p>
      <w:pPr>
        <w:pStyle w:val="63"/>
        <w:numPr>
          <w:ilvl w:val="0"/>
          <w:numId w:val="19"/>
        </w:numPr>
        <w:spacing w:before="312" w:beforeLines="100" w:line="360" w:lineRule="auto"/>
        <w:contextualSpacing w:val="0"/>
        <w:outlineLvl w:val="1"/>
        <w:rPr>
          <w:rFonts w:hint="eastAsia" w:ascii="宋体" w:hAnsi="宋体" w:eastAsia="宋体" w:cs="微软雅黑"/>
          <w:b/>
          <w:bCs/>
          <w:color w:val="000000" w:themeColor="text1"/>
          <w:sz w:val="28"/>
          <w:szCs w:val="28"/>
          <w14:textFill>
            <w14:solidFill>
              <w14:schemeClr w14:val="tx1"/>
            </w14:solidFill>
          </w14:textFill>
        </w:rPr>
      </w:pPr>
      <w:bookmarkStart w:id="86" w:name="_Toc24455"/>
      <w:bookmarkStart w:id="87" w:name="_Toc26410"/>
      <w:r>
        <w:rPr>
          <w:rFonts w:hint="eastAsia" w:ascii="宋体" w:hAnsi="宋体" w:eastAsia="宋体" w:cs="微软雅黑"/>
          <w:b/>
          <w:bCs/>
          <w:color w:val="000000" w:themeColor="text1"/>
          <w:sz w:val="28"/>
          <w:szCs w:val="28"/>
          <w14:textFill>
            <w14:solidFill>
              <w14:schemeClr w14:val="tx1"/>
            </w14:solidFill>
          </w14:textFill>
        </w:rPr>
        <w:t>详细评审</w:t>
      </w:r>
      <w:bookmarkEnd w:id="86"/>
      <w:bookmarkEnd w:id="87"/>
    </w:p>
    <w:p>
      <w:pPr>
        <w:pStyle w:val="63"/>
        <w:numPr>
          <w:ilvl w:val="0"/>
          <w:numId w:val="20"/>
        </w:numPr>
        <w:tabs>
          <w:tab w:val="left" w:pos="426"/>
        </w:tabs>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评标委员会应当按照招标文件中规定的评标方法和标准，对符合性审查合格的投标文件进行商务和技术评估，综合比较与评价。具体商务、技术部分的</w:t>
      </w:r>
      <w:bookmarkStart w:id="88" w:name="_Hlk75740750"/>
      <w:r>
        <w:rPr>
          <w:rFonts w:hint="eastAsia" w:ascii="宋体" w:hAnsi="宋体" w:eastAsia="宋体" w:cs="宋体"/>
          <w:bCs/>
          <w:color w:val="000000" w:themeColor="text1"/>
          <w:sz w:val="24"/>
          <w:szCs w:val="24"/>
          <w14:textFill>
            <w14:solidFill>
              <w14:schemeClr w14:val="tx1"/>
            </w14:solidFill>
          </w14:textFill>
        </w:rPr>
        <w:t>评审</w:t>
      </w:r>
      <w:bookmarkEnd w:id="88"/>
      <w:r>
        <w:rPr>
          <w:rFonts w:hint="eastAsia" w:ascii="宋体" w:hAnsi="宋体" w:eastAsia="宋体" w:cs="宋体"/>
          <w:bCs/>
          <w:color w:val="000000" w:themeColor="text1"/>
          <w:sz w:val="24"/>
          <w:szCs w:val="24"/>
          <w14:textFill>
            <w14:solidFill>
              <w14:schemeClr w14:val="tx1"/>
            </w14:solidFill>
          </w14:textFill>
        </w:rPr>
        <w:t>因素详见</w:t>
      </w:r>
      <w:r>
        <w:rPr>
          <w:rFonts w:hint="eastAsia" w:ascii="宋体" w:hAnsi="宋体" w:eastAsia="宋体" w:cs="宋体"/>
          <w:color w:val="000000" w:themeColor="text1"/>
          <w:sz w:val="24"/>
          <w:szCs w:val="28"/>
          <w14:textFill>
            <w14:solidFill>
              <w14:schemeClr w14:val="tx1"/>
            </w14:solidFill>
          </w14:textFill>
        </w:rPr>
        <w:t>《详细评审表》（附表三）。</w:t>
      </w:r>
    </w:p>
    <w:p>
      <w:pPr>
        <w:pStyle w:val="63"/>
        <w:numPr>
          <w:ilvl w:val="0"/>
          <w:numId w:val="19"/>
        </w:numPr>
        <w:spacing w:before="312" w:beforeLines="100" w:line="360" w:lineRule="auto"/>
        <w:contextualSpacing w:val="0"/>
        <w:outlineLvl w:val="1"/>
        <w:rPr>
          <w:rFonts w:hint="eastAsia" w:ascii="宋体" w:hAnsi="宋体" w:eastAsia="宋体" w:cs="微软雅黑"/>
          <w:b/>
          <w:bCs/>
          <w:color w:val="000000" w:themeColor="text1"/>
          <w:sz w:val="28"/>
          <w:szCs w:val="28"/>
          <w14:textFill>
            <w14:solidFill>
              <w14:schemeClr w14:val="tx1"/>
            </w14:solidFill>
          </w14:textFill>
        </w:rPr>
      </w:pPr>
      <w:bookmarkStart w:id="89" w:name="_Toc9143"/>
      <w:bookmarkStart w:id="90" w:name="_Toc28223"/>
      <w:r>
        <w:rPr>
          <w:rFonts w:hint="eastAsia" w:ascii="宋体" w:hAnsi="宋体" w:eastAsia="宋体" w:cs="微软雅黑"/>
          <w:b/>
          <w:bCs/>
          <w:color w:val="000000" w:themeColor="text1"/>
          <w:sz w:val="28"/>
          <w:szCs w:val="28"/>
          <w14:textFill>
            <w14:solidFill>
              <w14:schemeClr w14:val="tx1"/>
            </w14:solidFill>
          </w14:textFill>
        </w:rPr>
        <w:t>价格修正</w:t>
      </w:r>
      <w:bookmarkEnd w:id="89"/>
      <w:bookmarkEnd w:id="90"/>
    </w:p>
    <w:p>
      <w:pPr>
        <w:pStyle w:val="63"/>
        <w:numPr>
          <w:ilvl w:val="0"/>
          <w:numId w:val="20"/>
        </w:numPr>
        <w:tabs>
          <w:tab w:val="left" w:pos="426"/>
        </w:tabs>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投标文件报价出现前后不一致的，除招标文件另有规定外，按照下列规定修正：</w:t>
      </w:r>
    </w:p>
    <w:p>
      <w:pPr>
        <w:pStyle w:val="63"/>
        <w:numPr>
          <w:ilvl w:val="1"/>
          <w:numId w:val="2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8"/>
          <w14:textFill>
            <w14:solidFill>
              <w14:schemeClr w14:val="tx1"/>
            </w14:solidFill>
          </w14:textFill>
        </w:rPr>
        <w:t>投标文件中开标一览表（报价表）内容与投标文件中相应内容不一致的，以开标一览表（报价表）为准；</w:t>
      </w:r>
    </w:p>
    <w:p>
      <w:pPr>
        <w:pStyle w:val="63"/>
        <w:numPr>
          <w:ilvl w:val="1"/>
          <w:numId w:val="2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大写金额和小写金额不一致的，以大写金额为准；</w:t>
      </w:r>
    </w:p>
    <w:p>
      <w:pPr>
        <w:pStyle w:val="63"/>
        <w:numPr>
          <w:ilvl w:val="1"/>
          <w:numId w:val="2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单价金额小数点或者百分比有明显错位的，以开标一览表的总价为准，并修改单价；</w:t>
      </w:r>
    </w:p>
    <w:p>
      <w:pPr>
        <w:pStyle w:val="63"/>
        <w:numPr>
          <w:ilvl w:val="1"/>
          <w:numId w:val="2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总价金额与按单价汇总金额不一致的，以单价金额计算结果为准。</w:t>
      </w:r>
    </w:p>
    <w:p>
      <w:pPr>
        <w:pStyle w:val="63"/>
        <w:tabs>
          <w:tab w:val="left" w:pos="426"/>
        </w:tabs>
        <w:spacing w:line="360" w:lineRule="auto"/>
        <w:ind w:left="567"/>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同时出现两种以上不一致的，按照前款规定的顺序修正。修正后的报价</w:t>
      </w:r>
      <w:r>
        <w:rPr>
          <w:rFonts w:hint="eastAsia" w:ascii="宋体" w:hAnsi="宋体" w:eastAsia="宋体" w:cs="宋体"/>
          <w:color w:val="000000" w:themeColor="text1"/>
          <w:sz w:val="24"/>
          <w:szCs w:val="24"/>
          <w:lang w:eastAsia="zh-TW"/>
          <w14:textFill>
            <w14:solidFill>
              <w14:schemeClr w14:val="tx1"/>
            </w14:solidFill>
          </w14:textFill>
        </w:rPr>
        <w:t>按照《政府采购货物和服务招标投标管理办法》第五十一条第二款的规定</w:t>
      </w:r>
      <w:r>
        <w:rPr>
          <w:rFonts w:hint="eastAsia" w:ascii="宋体" w:hAnsi="宋体" w:eastAsia="宋体" w:cs="宋体"/>
          <w:bCs/>
          <w:color w:val="000000" w:themeColor="text1"/>
          <w:sz w:val="24"/>
          <w:szCs w:val="24"/>
          <w14:textFill>
            <w14:solidFill>
              <w14:schemeClr w14:val="tx1"/>
            </w14:solidFill>
          </w14:textFill>
        </w:rPr>
        <w:t>经投标人确认后产生约束力，投标人不确认的，其投标无效。</w:t>
      </w:r>
    </w:p>
    <w:p>
      <w:pPr>
        <w:pStyle w:val="63"/>
        <w:numPr>
          <w:ilvl w:val="1"/>
          <w:numId w:val="27"/>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bookmarkStart w:id="91" w:name="_Hlk86745538"/>
      <w:r>
        <w:rPr>
          <w:rFonts w:hint="eastAsia" w:ascii="宋体" w:hAnsi="宋体" w:eastAsia="宋体" w:cs="宋体"/>
          <w:bCs/>
          <w:color w:val="000000" w:themeColor="text1"/>
          <w:sz w:val="24"/>
          <w:szCs w:val="24"/>
          <w14:textFill>
            <w14:solidFill>
              <w14:schemeClr w14:val="tx1"/>
            </w14:solidFill>
          </w14:textFill>
        </w:rPr>
        <w:t>投标文件中</w:t>
      </w:r>
      <w:bookmarkStart w:id="92" w:name="_Hlk81348653"/>
      <w:r>
        <w:rPr>
          <w:rFonts w:hint="eastAsia" w:ascii="宋体" w:hAnsi="宋体" w:eastAsia="宋体" w:cs="宋体"/>
          <w:bCs/>
          <w:color w:val="000000" w:themeColor="text1"/>
          <w:sz w:val="24"/>
          <w:szCs w:val="24"/>
          <w14:textFill>
            <w14:solidFill>
              <w14:schemeClr w14:val="tx1"/>
            </w14:solidFill>
          </w14:textFill>
        </w:rPr>
        <w:t>开标一览表（报价表）、</w:t>
      </w:r>
      <w:r>
        <w:rPr>
          <w:rFonts w:hint="eastAsia" w:ascii="宋体" w:hAnsi="宋体" w:eastAsia="宋体" w:cs="宋体"/>
          <w:color w:val="000000" w:themeColor="text1"/>
          <w:sz w:val="24"/>
          <w:szCs w:val="24"/>
          <w14:textFill>
            <w14:solidFill>
              <w14:schemeClr w14:val="tx1"/>
            </w14:solidFill>
          </w14:textFill>
        </w:rPr>
        <w:t>分项报价表</w:t>
      </w:r>
      <w:r>
        <w:rPr>
          <w:rFonts w:hint="eastAsia" w:ascii="宋体" w:hAnsi="宋体" w:eastAsia="宋体" w:cs="宋体"/>
          <w:bCs/>
          <w:color w:val="000000" w:themeColor="text1"/>
          <w:sz w:val="24"/>
          <w:szCs w:val="24"/>
          <w14:textFill>
            <w14:solidFill>
              <w14:schemeClr w14:val="tx1"/>
            </w14:solidFill>
          </w14:textFill>
        </w:rPr>
        <w:t>内容</w:t>
      </w:r>
      <w:bookmarkEnd w:id="92"/>
      <w:r>
        <w:rPr>
          <w:rFonts w:hint="eastAsia" w:ascii="宋体" w:hAnsi="宋体" w:eastAsia="宋体" w:cs="宋体"/>
          <w:bCs/>
          <w:color w:val="000000" w:themeColor="text1"/>
          <w:sz w:val="24"/>
          <w:szCs w:val="24"/>
          <w14:textFill>
            <w14:solidFill>
              <w14:schemeClr w14:val="tx1"/>
            </w14:solidFill>
          </w14:textFill>
        </w:rPr>
        <w:t>与唱标信封中开标一览表（报价表）、</w:t>
      </w:r>
      <w:r>
        <w:rPr>
          <w:rFonts w:hint="eastAsia" w:ascii="宋体" w:hAnsi="宋体" w:eastAsia="宋体" w:cs="宋体"/>
          <w:color w:val="000000" w:themeColor="text1"/>
          <w:sz w:val="24"/>
          <w:szCs w:val="24"/>
          <w14:textFill>
            <w14:solidFill>
              <w14:schemeClr w14:val="tx1"/>
            </w14:solidFill>
          </w14:textFill>
        </w:rPr>
        <w:t>分项报价表</w:t>
      </w:r>
      <w:r>
        <w:rPr>
          <w:rFonts w:hint="eastAsia" w:ascii="宋体" w:hAnsi="宋体" w:eastAsia="宋体" w:cs="宋体"/>
          <w:bCs/>
          <w:color w:val="000000" w:themeColor="text1"/>
          <w:sz w:val="24"/>
          <w:szCs w:val="24"/>
          <w14:textFill>
            <w14:solidFill>
              <w14:schemeClr w14:val="tx1"/>
            </w14:solidFill>
          </w14:textFill>
        </w:rPr>
        <w:t>内容不一致的，以唱标信封中开标一览表（报价表）、</w:t>
      </w:r>
      <w:r>
        <w:rPr>
          <w:rFonts w:hint="eastAsia" w:ascii="宋体" w:hAnsi="宋体" w:eastAsia="宋体" w:cs="宋体"/>
          <w:color w:val="000000" w:themeColor="text1"/>
          <w:sz w:val="24"/>
          <w:szCs w:val="24"/>
          <w14:textFill>
            <w14:solidFill>
              <w14:schemeClr w14:val="tx1"/>
            </w14:solidFill>
          </w14:textFill>
        </w:rPr>
        <w:t>分项报价表</w:t>
      </w:r>
      <w:r>
        <w:rPr>
          <w:rFonts w:hint="eastAsia" w:ascii="宋体" w:hAnsi="宋体" w:eastAsia="宋体" w:cs="宋体"/>
          <w:bCs/>
          <w:color w:val="000000" w:themeColor="text1"/>
          <w:sz w:val="24"/>
          <w:szCs w:val="24"/>
          <w14:textFill>
            <w14:solidFill>
              <w14:schemeClr w14:val="tx1"/>
            </w14:solidFill>
          </w14:textFill>
        </w:rPr>
        <w:t>内容为准。</w:t>
      </w:r>
    </w:p>
    <w:bookmarkEnd w:id="91"/>
    <w:p>
      <w:pPr>
        <w:pStyle w:val="63"/>
        <w:numPr>
          <w:ilvl w:val="0"/>
          <w:numId w:val="20"/>
        </w:numPr>
        <w:tabs>
          <w:tab w:val="left" w:pos="426"/>
        </w:tabs>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63"/>
        <w:numPr>
          <w:ilvl w:val="0"/>
          <w:numId w:val="20"/>
        </w:numPr>
        <w:tabs>
          <w:tab w:val="left" w:pos="426"/>
        </w:tabs>
        <w:spacing w:before="312" w:beforeLines="100" w:line="360" w:lineRule="auto"/>
        <w:contextualSpacing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有下列情形之一的，视为投标人串通投标，其投标无效；</w:t>
      </w:r>
    </w:p>
    <w:p>
      <w:pPr>
        <w:spacing w:line="360" w:lineRule="auto"/>
        <w:ind w:firstLine="480"/>
        <w:rPr>
          <w:rFonts w:hint="eastAsia" w:ascii="宋体" w:hAnsi="宋体" w:eastAsia="宋体"/>
          <w:sz w:val="24"/>
          <w:szCs w:val="28"/>
        </w:rPr>
      </w:pPr>
      <w:r>
        <w:rPr>
          <w:rFonts w:ascii="宋体" w:hAnsi="宋体" w:eastAsia="宋体"/>
          <w:sz w:val="24"/>
          <w:szCs w:val="28"/>
        </w:rPr>
        <w:t>不同投标人的投标文件由同一单位或者个人编制；</w:t>
      </w:r>
    </w:p>
    <w:p>
      <w:pPr>
        <w:spacing w:line="360" w:lineRule="auto"/>
        <w:ind w:firstLine="480"/>
        <w:rPr>
          <w:rFonts w:hint="eastAsia" w:ascii="宋体" w:hAnsi="宋体" w:eastAsia="宋体"/>
          <w:sz w:val="24"/>
          <w:szCs w:val="28"/>
        </w:rPr>
      </w:pPr>
      <w:r>
        <w:rPr>
          <w:rFonts w:ascii="宋体" w:hAnsi="宋体" w:eastAsia="宋体"/>
          <w:sz w:val="24"/>
          <w:szCs w:val="28"/>
        </w:rPr>
        <w:t>不同投标人委托同一单位或者个人办理投标事宜；</w:t>
      </w:r>
    </w:p>
    <w:p>
      <w:pPr>
        <w:spacing w:line="360" w:lineRule="auto"/>
        <w:ind w:firstLine="480"/>
        <w:rPr>
          <w:rFonts w:hint="eastAsia" w:ascii="宋体" w:hAnsi="宋体" w:eastAsia="宋体"/>
          <w:sz w:val="24"/>
          <w:szCs w:val="28"/>
        </w:rPr>
      </w:pPr>
      <w:r>
        <w:rPr>
          <w:rFonts w:ascii="宋体" w:hAnsi="宋体" w:eastAsia="宋体"/>
          <w:sz w:val="24"/>
          <w:szCs w:val="28"/>
        </w:rPr>
        <w:t>不同投标人的投标文件载明的项目管理成员或者联系人员为同一人；</w:t>
      </w:r>
    </w:p>
    <w:p>
      <w:pPr>
        <w:spacing w:line="360" w:lineRule="auto"/>
        <w:ind w:firstLine="480"/>
        <w:rPr>
          <w:rFonts w:hint="eastAsia" w:ascii="宋体" w:hAnsi="宋体" w:eastAsia="宋体"/>
          <w:sz w:val="24"/>
          <w:szCs w:val="28"/>
        </w:rPr>
      </w:pPr>
      <w:r>
        <w:rPr>
          <w:rFonts w:ascii="宋体" w:hAnsi="宋体" w:eastAsia="宋体"/>
          <w:sz w:val="24"/>
          <w:szCs w:val="28"/>
        </w:rPr>
        <w:t>不同投标人的投标文件异常一致或者投标报价呈规律性差异；</w:t>
      </w:r>
    </w:p>
    <w:p>
      <w:pPr>
        <w:spacing w:line="360" w:lineRule="auto"/>
        <w:ind w:firstLine="480"/>
        <w:rPr>
          <w:rFonts w:hint="eastAsia" w:ascii="宋体" w:hAnsi="宋体" w:eastAsia="宋体"/>
          <w:sz w:val="24"/>
          <w:szCs w:val="28"/>
        </w:rPr>
      </w:pPr>
      <w:r>
        <w:rPr>
          <w:rFonts w:ascii="宋体" w:hAnsi="宋体" w:eastAsia="宋体"/>
          <w:sz w:val="24"/>
          <w:szCs w:val="28"/>
        </w:rPr>
        <w:t>不同投标人的投标文件相互混装；</w:t>
      </w:r>
    </w:p>
    <w:p>
      <w:pPr>
        <w:spacing w:line="360" w:lineRule="auto"/>
        <w:ind w:firstLine="480"/>
        <w:rPr>
          <w:rFonts w:hint="eastAsia" w:ascii="宋体" w:hAnsi="宋体" w:eastAsia="宋体"/>
          <w:sz w:val="24"/>
          <w:szCs w:val="28"/>
        </w:rPr>
      </w:pPr>
      <w:r>
        <w:rPr>
          <w:rFonts w:ascii="宋体" w:hAnsi="宋体" w:eastAsia="宋体"/>
          <w:sz w:val="24"/>
          <w:szCs w:val="28"/>
        </w:rPr>
        <w:t>不同投标人的投标保证金或购买电子保函支付款为从同一单位或个人的账户转出；</w:t>
      </w:r>
    </w:p>
    <w:p>
      <w:pPr>
        <w:spacing w:line="360" w:lineRule="auto"/>
        <w:ind w:firstLine="480"/>
        <w:rPr>
          <w:rFonts w:hint="eastAsia" w:ascii="宋体" w:hAnsi="宋体" w:eastAsia="宋体"/>
          <w:sz w:val="24"/>
          <w:szCs w:val="28"/>
        </w:rPr>
      </w:pPr>
      <w:r>
        <w:rPr>
          <w:rFonts w:hint="eastAsia" w:ascii="宋体" w:hAnsi="宋体" w:eastAsia="宋体"/>
          <w:sz w:val="24"/>
          <w:szCs w:val="28"/>
        </w:rPr>
        <w:t>采用电子投标的，</w:t>
      </w:r>
      <w:r>
        <w:rPr>
          <w:rFonts w:ascii="宋体" w:hAnsi="宋体" w:eastAsia="宋体"/>
          <w:sz w:val="24"/>
          <w:szCs w:val="28"/>
        </w:rPr>
        <w:t>投标人上传的电子投标文件使用该项目其他投标人的数字证书加密的或加盖该项目的其他投标人的电子印章的。</w:t>
      </w:r>
    </w:p>
    <w:p>
      <w:pPr>
        <w:spacing w:line="360" w:lineRule="auto"/>
        <w:ind w:firstLine="480"/>
        <w:rPr>
          <w:rFonts w:hint="eastAsia" w:ascii="宋体" w:hAnsi="宋体" w:eastAsia="宋体"/>
          <w:b/>
          <w:bCs/>
          <w:color w:val="000000" w:themeColor="text1"/>
          <w:sz w:val="24"/>
          <w:szCs w:val="24"/>
          <w14:textFill>
            <w14:solidFill>
              <w14:schemeClr w14:val="tx1"/>
            </w14:solidFill>
          </w14:textFill>
        </w:rPr>
      </w:pPr>
      <w:r>
        <w:rPr>
          <w:rFonts w:ascii="宋体" w:hAnsi="宋体" w:eastAsia="宋体"/>
          <w:sz w:val="24"/>
          <w:szCs w:val="24"/>
        </w:rPr>
        <w:t>说明：在评标过程中发现投标人有上述情形的，评标委员会应当认定其投标无效。同时，项目评审时被认定为串通投标的投标人不得参加该合同项下的采购活动。</w:t>
      </w:r>
    </w:p>
    <w:p>
      <w:pPr>
        <w:pStyle w:val="63"/>
        <w:numPr>
          <w:ilvl w:val="0"/>
          <w:numId w:val="20"/>
        </w:numPr>
        <w:tabs>
          <w:tab w:val="left" w:pos="426"/>
        </w:tabs>
        <w:spacing w:before="156" w:beforeLines="50" w:line="360" w:lineRule="auto"/>
        <w:contextualSpacing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商务技术及价格评分权值分配</w:t>
      </w:r>
    </w:p>
    <w:p>
      <w:pPr>
        <w:pStyle w:val="63"/>
        <w:spacing w:before="156" w:beforeLines="50" w:line="360" w:lineRule="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综合得分＝商务评审得分+技术评审得分+价格评审得分</w:t>
      </w:r>
    </w:p>
    <w:p>
      <w:pPr>
        <w:pStyle w:val="63"/>
        <w:spacing w:before="156" w:beforeLines="50" w:line="360" w:lineRule="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各部分评分权值详见附表三。</w:t>
      </w:r>
    </w:p>
    <w:p>
      <w:pPr>
        <w:pStyle w:val="63"/>
        <w:spacing w:before="156" w:beforeLines="50" w:line="360" w:lineRule="auto"/>
        <w:rPr>
          <w:rFonts w:hint="eastAsia" w:ascii="宋体" w:hAnsi="宋体" w:eastAsia="宋体" w:cs="宋体"/>
          <w:bCs/>
          <w:color w:val="000000" w:themeColor="text1"/>
          <w:sz w:val="24"/>
          <w:szCs w:val="24"/>
          <w14:textFill>
            <w14:solidFill>
              <w14:schemeClr w14:val="tx1"/>
            </w14:solidFill>
          </w14:textFill>
        </w:rPr>
      </w:pPr>
    </w:p>
    <w:p>
      <w:pPr>
        <w:pStyle w:val="63"/>
        <w:numPr>
          <w:ilvl w:val="0"/>
          <w:numId w:val="20"/>
        </w:numPr>
        <w:tabs>
          <w:tab w:val="left" w:pos="426"/>
        </w:tabs>
        <w:spacing w:line="360" w:lineRule="auto"/>
        <w:contextualSpacing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中标候选人</w:t>
      </w:r>
    </w:p>
    <w:p>
      <w:pPr>
        <w:pStyle w:val="63"/>
        <w:numPr>
          <w:ilvl w:val="1"/>
          <w:numId w:val="28"/>
        </w:numPr>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评标委员会出具评标报告，并排序推荐两名中标候选人</w:t>
      </w:r>
    </w:p>
    <w:p>
      <w:pPr>
        <w:pStyle w:val="63"/>
        <w:numPr>
          <w:ilvl w:val="1"/>
          <w:numId w:val="28"/>
        </w:numPr>
        <w:tabs>
          <w:tab w:val="left" w:pos="567"/>
          <w:tab w:val="left" w:pos="709"/>
        </w:tabs>
        <w:spacing w:line="360" w:lineRule="auto"/>
        <w:contextualSpacing w:val="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招标人或者招标人委托评标委员会按照招标文件规定的方式确定一个投标人获得中标人推荐资格，招标文件未规定的采取随机抽取方式确定，其他同品牌投标人不作为中标候选人。非单一产品采购项目，招标人将根据采购项目技术构成、产品价格比重等合理确定核心产品，并在招标文件中载明。多家投标人提供的核心产品品牌相同的，按上述规定处理。</w:t>
      </w:r>
    </w:p>
    <w:p>
      <w:pPr>
        <w:pStyle w:val="63"/>
        <w:numPr>
          <w:ilvl w:val="1"/>
          <w:numId w:val="28"/>
        </w:numPr>
        <w:tabs>
          <w:tab w:val="left" w:pos="567"/>
          <w:tab w:val="left" w:pos="709"/>
        </w:tabs>
        <w:spacing w:line="360" w:lineRule="auto"/>
        <w:contextualSpacing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采用综合评分法的，评审结果按评审后得分由高到低的顺序排列。得分相同的，按投标报价由低到高顺序排列。投标文件满足招标文件全部实质性要求，且按照评审因素的量化指标评审得分最高的投标人为排名第一的中标候选人。</w:t>
      </w:r>
    </w:p>
    <w:p>
      <w:pPr>
        <w:pStyle w:val="63"/>
        <w:pageBreakBefore/>
        <w:numPr>
          <w:ilvl w:val="0"/>
          <w:numId w:val="29"/>
        </w:numPr>
        <w:spacing w:before="156" w:beforeLines="50" w:after="312" w:afterLines="100" w:line="360" w:lineRule="auto"/>
        <w:ind w:left="442" w:hanging="442" w:hangingChars="200"/>
        <w:contextualSpacing w:val="0"/>
        <w:outlineLvl w:val="1"/>
        <w:rPr>
          <w:rFonts w:hint="eastAsia" w:ascii="宋体" w:hAnsi="宋体" w:eastAsia="宋体"/>
          <w:b/>
          <w:bCs/>
          <w:color w:val="000000" w:themeColor="text1"/>
          <w:sz w:val="22"/>
          <w14:textFill>
            <w14:solidFill>
              <w14:schemeClr w14:val="tx1"/>
            </w14:solidFill>
          </w14:textFill>
        </w:rPr>
      </w:pPr>
      <w:bookmarkStart w:id="93" w:name="_Toc22690"/>
      <w:bookmarkStart w:id="94" w:name="_Toc1988"/>
      <w:r>
        <w:rPr>
          <w:rFonts w:hint="eastAsia" w:ascii="宋体" w:hAnsi="宋体" w:eastAsia="宋体"/>
          <w:b/>
          <w:bCs/>
          <w:color w:val="000000" w:themeColor="text1"/>
          <w:sz w:val="22"/>
          <w14:textFill>
            <w14:solidFill>
              <w14:schemeClr w14:val="tx1"/>
            </w14:solidFill>
          </w14:textFill>
        </w:rPr>
        <w:t>附表一</w:t>
      </w:r>
      <w:r>
        <w:rPr>
          <w:rFonts w:ascii="宋体" w:hAnsi="宋体" w:eastAsia="宋体"/>
          <w:b/>
          <w:bCs/>
          <w:color w:val="000000" w:themeColor="text1"/>
          <w:sz w:val="22"/>
          <w14:textFill>
            <w14:solidFill>
              <w14:schemeClr w14:val="tx1"/>
            </w14:solidFill>
          </w14:textFill>
        </w:rPr>
        <w:t xml:space="preserve"> </w:t>
      </w:r>
      <w:bookmarkStart w:id="95" w:name="_Hlk79422957"/>
      <w:r>
        <w:rPr>
          <w:rFonts w:hint="eastAsia" w:ascii="宋体" w:hAnsi="宋体" w:eastAsia="宋体"/>
          <w:b/>
          <w:bCs/>
          <w:color w:val="000000" w:themeColor="text1"/>
          <w:sz w:val="22"/>
          <w14:textFill>
            <w14:solidFill>
              <w14:schemeClr w14:val="tx1"/>
            </w14:solidFill>
          </w14:textFill>
        </w:rPr>
        <w:t xml:space="preserve"> 资格性审查表</w:t>
      </w:r>
      <w:bookmarkEnd w:id="93"/>
      <w:bookmarkEnd w:id="94"/>
      <w:bookmarkEnd w:id="95"/>
    </w:p>
    <w:tbl>
      <w:tblPr>
        <w:tblStyle w:val="42"/>
        <w:tblW w:w="50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25" w:type="pct"/>
            <w:vAlign w:val="center"/>
          </w:tcPr>
          <w:p>
            <w:pPr>
              <w:spacing w:line="360" w:lineRule="auto"/>
              <w:jc w:val="center"/>
              <w:rPr>
                <w:rFonts w:hint="eastAsia" w:ascii="宋体" w:hAnsi="宋体" w:eastAsia="宋体" w:cs="Times New Roman"/>
                <w:b/>
                <w:color w:val="000000" w:themeColor="text1"/>
                <w:kern w:val="0"/>
                <w:sz w:val="22"/>
                <w:szCs w:val="20"/>
                <w14:textFill>
                  <w14:solidFill>
                    <w14:schemeClr w14:val="tx1"/>
                  </w14:solidFill>
                </w14:textFill>
              </w:rPr>
            </w:pPr>
            <w:r>
              <w:rPr>
                <w:rFonts w:hint="eastAsia" w:ascii="宋体" w:hAnsi="宋体" w:eastAsia="宋体" w:cs="Times New Roman"/>
                <w:b/>
                <w:color w:val="000000" w:themeColor="text1"/>
                <w:kern w:val="0"/>
                <w:sz w:val="22"/>
                <w:szCs w:val="20"/>
                <w14:textFill>
                  <w14:solidFill>
                    <w14:schemeClr w14:val="tx1"/>
                  </w14:solidFill>
                </w14:textFill>
              </w:rPr>
              <w:t>序号</w:t>
            </w:r>
          </w:p>
        </w:tc>
        <w:tc>
          <w:tcPr>
            <w:tcW w:w="4574" w:type="pct"/>
            <w:tcBorders>
              <w:tl2br w:val="nil"/>
            </w:tcBorders>
            <w:vAlign w:val="center"/>
          </w:tcPr>
          <w:p>
            <w:pPr>
              <w:spacing w:line="360" w:lineRule="auto"/>
              <w:jc w:val="center"/>
              <w:rPr>
                <w:rFonts w:hint="eastAsia" w:ascii="宋体" w:hAnsi="宋体" w:eastAsia="宋体" w:cs="Times New Roman"/>
                <w:b/>
                <w:color w:val="000000" w:themeColor="text1"/>
                <w:kern w:val="0"/>
                <w:sz w:val="22"/>
                <w:szCs w:val="20"/>
                <w14:textFill>
                  <w14:solidFill>
                    <w14:schemeClr w14:val="tx1"/>
                  </w14:solidFill>
                </w14:textFill>
              </w:rPr>
            </w:pPr>
            <w:r>
              <w:rPr>
                <w:rFonts w:hint="eastAsia" w:ascii="宋体" w:hAnsi="宋体" w:eastAsia="宋体" w:cs="Times New Roman"/>
                <w:b/>
                <w:color w:val="000000" w:themeColor="text1"/>
                <w:kern w:val="0"/>
                <w:sz w:val="22"/>
                <w:szCs w:val="20"/>
                <w14:textFill>
                  <w14:solidFill>
                    <w14:schemeClr w14:val="tx1"/>
                  </w14:solidFill>
                </w14:textFill>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25" w:type="pct"/>
            <w:vAlign w:val="center"/>
          </w:tcPr>
          <w:p>
            <w:pPr>
              <w:jc w:val="center"/>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1</w:t>
            </w:r>
          </w:p>
        </w:tc>
        <w:tc>
          <w:tcPr>
            <w:tcW w:w="4574" w:type="pct"/>
            <w:tcBorders>
              <w:tl2br w:val="nil"/>
            </w:tcBorders>
            <w:vAlign w:val="center"/>
          </w:tcPr>
          <w:p>
            <w:pPr>
              <w:jc w:val="left"/>
              <w:rPr>
                <w:rFonts w:hint="eastAsia" w:ascii="宋体" w:hAnsi="宋体" w:eastAsia="宋体" w:cs="宋体"/>
                <w:color w:val="000000" w:themeColor="text1"/>
                <w:kern w:val="0"/>
                <w:sz w:val="22"/>
                <w:szCs w:val="20"/>
                <w14:textFill>
                  <w14:solidFill>
                    <w14:schemeClr w14:val="tx1"/>
                  </w14:solidFill>
                </w14:textFill>
              </w:rPr>
            </w:pPr>
            <w:r>
              <w:rPr>
                <w:rFonts w:hint="eastAsia" w:ascii="宋体" w:hAnsi="宋体" w:eastAsia="宋体" w:cs="宋体"/>
                <w:color w:val="000000" w:themeColor="text1"/>
                <w:kern w:val="0"/>
                <w:sz w:val="22"/>
                <w:szCs w:val="20"/>
                <w14:textFill>
                  <w14:solidFill>
                    <w14:schemeClr w14:val="tx1"/>
                  </w14:solidFill>
                </w14:textFill>
              </w:rPr>
              <w:t>投标人须在中华人民共和国境内注册的具有独立承担民事责任能力的法人或其他组织，提供营业执照或事业法人证书（分公司投标须得到总公司授权，同时提供总公司营业执照及盖章授权函）；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425" w:type="pct"/>
            <w:vAlign w:val="center"/>
          </w:tcPr>
          <w:p>
            <w:pPr>
              <w:jc w:val="center"/>
              <w:rPr>
                <w:rFonts w:hint="eastAsia" w:ascii="宋体" w:hAnsi="宋体" w:eastAsia="宋体" w:cs="Times New Roman"/>
                <w:color w:val="000000" w:themeColor="text1"/>
                <w:kern w:val="0"/>
                <w:sz w:val="22"/>
                <w:szCs w:val="24"/>
                <w14:textFill>
                  <w14:solidFill>
                    <w14:schemeClr w14:val="tx1"/>
                  </w14:solidFill>
                </w14:textFill>
              </w:rPr>
            </w:pPr>
            <w:r>
              <w:rPr>
                <w:rFonts w:hint="eastAsia" w:ascii="宋体" w:hAnsi="宋体" w:eastAsia="宋体" w:cs="Times New Roman"/>
                <w:color w:val="000000" w:themeColor="text1"/>
                <w:kern w:val="0"/>
                <w:sz w:val="22"/>
                <w:szCs w:val="24"/>
                <w14:textFill>
                  <w14:solidFill>
                    <w14:schemeClr w14:val="tx1"/>
                  </w14:solidFill>
                </w14:textFill>
              </w:rPr>
              <w:t>2</w:t>
            </w:r>
          </w:p>
        </w:tc>
        <w:tc>
          <w:tcPr>
            <w:tcW w:w="4574" w:type="pct"/>
            <w:tcBorders>
              <w:tl2br w:val="nil"/>
            </w:tcBorders>
            <w:vAlign w:val="center"/>
          </w:tcPr>
          <w:p>
            <w:pPr>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在“信用中国”网站、中国政府采购网没有被列入失信被执行人、重大税收违法失信主体、政府采购严重违法失信行为记录名单；（以招标代理机构于投标截止时间当天在信用中国网站及中国政府采购网查询结果为准，如相关失信记录已失效，供应商需提供相关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25" w:type="pct"/>
            <w:vAlign w:val="center"/>
          </w:tcPr>
          <w:p>
            <w:pPr>
              <w:jc w:val="center"/>
              <w:rPr>
                <w:rFonts w:hint="eastAsia" w:ascii="宋体" w:hAnsi="宋体" w:eastAsia="宋体" w:cs="Times New Roman"/>
                <w:color w:val="000000" w:themeColor="text1"/>
                <w:kern w:val="0"/>
                <w:sz w:val="22"/>
                <w:szCs w:val="24"/>
                <w14:textFill>
                  <w14:solidFill>
                    <w14:schemeClr w14:val="tx1"/>
                  </w14:solidFill>
                </w14:textFill>
              </w:rPr>
            </w:pPr>
            <w:r>
              <w:rPr>
                <w:rFonts w:hint="eastAsia" w:ascii="宋体" w:hAnsi="宋体" w:eastAsia="宋体" w:cs="Times New Roman"/>
                <w:color w:val="000000" w:themeColor="text1"/>
                <w:kern w:val="0"/>
                <w:sz w:val="22"/>
                <w:szCs w:val="24"/>
                <w14:textFill>
                  <w14:solidFill>
                    <w14:schemeClr w14:val="tx1"/>
                  </w14:solidFill>
                </w14:textFill>
              </w:rPr>
              <w:t>3</w:t>
            </w:r>
          </w:p>
        </w:tc>
        <w:tc>
          <w:tcPr>
            <w:tcW w:w="4574" w:type="pct"/>
            <w:tcBorders>
              <w:tl2br w:val="nil"/>
            </w:tcBorders>
            <w:vAlign w:val="center"/>
          </w:tcPr>
          <w:p>
            <w:pPr>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14:textFill>
                  <w14:solidFill>
                    <w14:schemeClr w14:val="tx1"/>
                  </w14:solidFill>
                </w14:textFill>
              </w:rPr>
              <w:t>单位负责人为同一人或者存在直接控股、管理关系的不同投标人，不得一同参加本项目的招标活动</w:t>
            </w:r>
            <w:r>
              <w:rPr>
                <w:rFonts w:hint="eastAsia" w:ascii="宋体" w:hAnsi="宋体" w:eastAsia="宋体" w:cs="Times New Roman"/>
                <w:color w:val="000000" w:themeColor="text1"/>
                <w:kern w:val="0"/>
                <w:sz w:val="22"/>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25" w:type="pct"/>
            <w:vAlign w:val="center"/>
          </w:tcPr>
          <w:p>
            <w:pPr>
              <w:jc w:val="center"/>
              <w:rPr>
                <w:rFonts w:hint="eastAsia" w:ascii="宋体" w:hAnsi="宋体" w:eastAsia="宋体" w:cs="Times New Roman"/>
                <w:color w:val="000000" w:themeColor="text1"/>
                <w:kern w:val="0"/>
                <w:sz w:val="22"/>
                <w:szCs w:val="24"/>
                <w14:textFill>
                  <w14:solidFill>
                    <w14:schemeClr w14:val="tx1"/>
                  </w14:solidFill>
                </w14:textFill>
              </w:rPr>
            </w:pPr>
            <w:r>
              <w:rPr>
                <w:rFonts w:hint="eastAsia" w:ascii="宋体" w:hAnsi="宋体" w:eastAsia="宋体" w:cs="Times New Roman"/>
                <w:color w:val="000000" w:themeColor="text1"/>
                <w:kern w:val="0"/>
                <w:sz w:val="22"/>
                <w:szCs w:val="24"/>
                <w14:textFill>
                  <w14:solidFill>
                    <w14:schemeClr w14:val="tx1"/>
                  </w14:solidFill>
                </w14:textFill>
              </w:rPr>
              <w:t>4</w:t>
            </w:r>
          </w:p>
        </w:tc>
        <w:tc>
          <w:tcPr>
            <w:tcW w:w="4574" w:type="pct"/>
            <w:tcBorders>
              <w:tl2br w:val="nil"/>
            </w:tcBorders>
            <w:vAlign w:val="center"/>
          </w:tcPr>
          <w:p>
            <w:pPr>
              <w:jc w:val="left"/>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本项目不接受联合体投标，不允许转包、违法分包。</w:t>
            </w:r>
          </w:p>
        </w:tc>
      </w:tr>
    </w:tbl>
    <w:p>
      <w:pPr>
        <w:pStyle w:val="63"/>
        <w:spacing w:before="156" w:beforeLines="50"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说明：</w:t>
      </w:r>
      <w:r>
        <w:rPr>
          <w:rFonts w:hint="eastAsia" w:ascii="宋体" w:hAnsi="宋体" w:eastAsia="宋体"/>
          <w:color w:val="000000" w:themeColor="text1"/>
          <w:sz w:val="22"/>
          <w14:textFill>
            <w14:solidFill>
              <w14:schemeClr w14:val="tx1"/>
            </w14:solidFill>
          </w14:textFill>
        </w:rPr>
        <w:t>投标人必须严格按照《资格性审查表》的评审内容的要求如实提供证明材料并应加盖投标人公章，若投标人不满足《资格性审查表》中任何情形之一的，则其投标无效。</w:t>
      </w:r>
      <w:r>
        <w:rPr>
          <w:rFonts w:ascii="宋体" w:hAnsi="宋体" w:eastAsia="宋体"/>
          <w:color w:val="000000" w:themeColor="text1"/>
          <w:sz w:val="22"/>
          <w14:textFill>
            <w14:solidFill>
              <w14:schemeClr w14:val="tx1"/>
            </w14:solidFill>
          </w14:textFill>
        </w:rPr>
        <w:cr/>
      </w:r>
    </w:p>
    <w:p>
      <w:pPr>
        <w:pStyle w:val="63"/>
        <w:pageBreakBefore/>
        <w:numPr>
          <w:ilvl w:val="0"/>
          <w:numId w:val="29"/>
        </w:numPr>
        <w:spacing w:before="156" w:beforeLines="50" w:after="312" w:afterLines="100" w:line="360" w:lineRule="auto"/>
        <w:ind w:left="442" w:hanging="442" w:hangingChars="200"/>
        <w:contextualSpacing w:val="0"/>
        <w:outlineLvl w:val="1"/>
        <w:rPr>
          <w:rFonts w:hint="eastAsia" w:ascii="宋体" w:hAnsi="宋体" w:eastAsia="宋体"/>
          <w:b/>
          <w:bCs/>
          <w:color w:val="000000" w:themeColor="text1"/>
          <w:sz w:val="22"/>
          <w14:textFill>
            <w14:solidFill>
              <w14:schemeClr w14:val="tx1"/>
            </w14:solidFill>
          </w14:textFill>
        </w:rPr>
      </w:pPr>
      <w:bookmarkStart w:id="96" w:name="_Toc24150"/>
      <w:bookmarkStart w:id="97" w:name="_Toc28958"/>
      <w:r>
        <w:rPr>
          <w:rFonts w:hint="eastAsia" w:ascii="宋体" w:hAnsi="宋体" w:eastAsia="宋体"/>
          <w:b/>
          <w:bCs/>
          <w:color w:val="000000" w:themeColor="text1"/>
          <w:sz w:val="22"/>
          <w14:textFill>
            <w14:solidFill>
              <w14:schemeClr w14:val="tx1"/>
            </w14:solidFill>
          </w14:textFill>
        </w:rPr>
        <w:t xml:space="preserve">附表二 </w:t>
      </w:r>
      <w:bookmarkStart w:id="98" w:name="_Hlk79425582"/>
      <w:r>
        <w:rPr>
          <w:rFonts w:hint="eastAsia" w:ascii="宋体" w:hAnsi="宋体" w:eastAsia="宋体"/>
          <w:b/>
          <w:bCs/>
          <w:color w:val="000000" w:themeColor="text1"/>
          <w:sz w:val="22"/>
          <w14:textFill>
            <w14:solidFill>
              <w14:schemeClr w14:val="tx1"/>
            </w14:solidFill>
          </w14:textFill>
        </w:rPr>
        <w:t xml:space="preserve"> </w:t>
      </w:r>
      <w:bookmarkStart w:id="99" w:name="_Hlk80867805"/>
      <w:r>
        <w:rPr>
          <w:rFonts w:hint="eastAsia" w:ascii="宋体" w:hAnsi="宋体" w:eastAsia="宋体"/>
          <w:b/>
          <w:bCs/>
          <w:color w:val="000000" w:themeColor="text1"/>
          <w:sz w:val="22"/>
          <w14:textFill>
            <w14:solidFill>
              <w14:schemeClr w14:val="tx1"/>
            </w14:solidFill>
          </w14:textFill>
        </w:rPr>
        <w:t>符合性审查表</w:t>
      </w:r>
      <w:bookmarkEnd w:id="96"/>
      <w:bookmarkEnd w:id="97"/>
      <w:bookmarkEnd w:id="98"/>
      <w:bookmarkEnd w:id="99"/>
    </w:p>
    <w:tbl>
      <w:tblPr>
        <w:tblStyle w:val="41"/>
        <w:tblW w:w="861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2212"/>
        <w:gridCol w:w="535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b/>
                <w:bCs/>
              </w:rPr>
            </w:pPr>
            <w:r>
              <w:rPr>
                <w:rFonts w:ascii="宋体" w:hAnsi="宋体" w:eastAsia="宋体"/>
                <w:b/>
                <w:bCs/>
              </w:rPr>
              <w:t>序号</w:t>
            </w:r>
          </w:p>
        </w:tc>
        <w:tc>
          <w:tcPr>
            <w:tcW w:w="2212" w:type="dxa"/>
            <w:vAlign w:val="center"/>
          </w:tcPr>
          <w:p>
            <w:pPr>
              <w:jc w:val="center"/>
              <w:rPr>
                <w:rFonts w:hint="eastAsia" w:ascii="宋体" w:hAnsi="宋体" w:eastAsia="宋体"/>
                <w:b/>
                <w:bCs/>
              </w:rPr>
            </w:pPr>
            <w:r>
              <w:rPr>
                <w:rFonts w:ascii="宋体" w:hAnsi="宋体" w:eastAsia="宋体"/>
                <w:b/>
                <w:bCs/>
              </w:rPr>
              <w:t>评审点要求概况</w:t>
            </w:r>
          </w:p>
        </w:tc>
        <w:tc>
          <w:tcPr>
            <w:tcW w:w="5352" w:type="dxa"/>
            <w:vAlign w:val="center"/>
          </w:tcPr>
          <w:p>
            <w:pPr>
              <w:jc w:val="center"/>
              <w:rPr>
                <w:rFonts w:hint="eastAsia" w:ascii="宋体" w:hAnsi="宋体" w:eastAsia="宋体"/>
                <w:b/>
                <w:bCs/>
              </w:rPr>
            </w:pPr>
            <w:r>
              <w:rPr>
                <w:rFonts w:ascii="宋体" w:hAnsi="宋体" w:eastAsia="宋体"/>
                <w:b/>
                <w:bCs/>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1</w:t>
            </w:r>
          </w:p>
        </w:tc>
        <w:tc>
          <w:tcPr>
            <w:tcW w:w="2212" w:type="dxa"/>
            <w:vAlign w:val="center"/>
          </w:tcPr>
          <w:p>
            <w:pPr>
              <w:jc w:val="center"/>
              <w:rPr>
                <w:rFonts w:hint="eastAsia" w:ascii="宋体" w:hAnsi="宋体" w:eastAsia="宋体"/>
              </w:rPr>
            </w:pPr>
            <w:r>
              <w:rPr>
                <w:rFonts w:ascii="宋体" w:hAnsi="宋体" w:eastAsia="宋体"/>
              </w:rPr>
              <w:t>投标函</w:t>
            </w:r>
          </w:p>
        </w:tc>
        <w:tc>
          <w:tcPr>
            <w:tcW w:w="5352" w:type="dxa"/>
            <w:vAlign w:val="center"/>
          </w:tcPr>
          <w:p>
            <w:pPr>
              <w:rPr>
                <w:rFonts w:hint="eastAsia" w:ascii="宋体" w:hAnsi="宋体" w:eastAsia="宋体"/>
              </w:rPr>
            </w:pPr>
            <w:r>
              <w:rPr>
                <w:rFonts w:ascii="宋体" w:hAnsi="宋体" w:eastAsia="宋体"/>
              </w:rPr>
              <w:t>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2</w:t>
            </w:r>
          </w:p>
        </w:tc>
        <w:tc>
          <w:tcPr>
            <w:tcW w:w="2212" w:type="dxa"/>
            <w:vAlign w:val="center"/>
          </w:tcPr>
          <w:p>
            <w:pPr>
              <w:jc w:val="center"/>
              <w:rPr>
                <w:rFonts w:hint="eastAsia" w:ascii="宋体" w:hAnsi="宋体" w:eastAsia="宋体"/>
              </w:rPr>
            </w:pPr>
            <w:r>
              <w:rPr>
                <w:rFonts w:ascii="宋体" w:hAnsi="宋体" w:eastAsia="宋体"/>
              </w:rPr>
              <w:t>授权文件</w:t>
            </w:r>
          </w:p>
        </w:tc>
        <w:tc>
          <w:tcPr>
            <w:tcW w:w="5352" w:type="dxa"/>
            <w:vAlign w:val="center"/>
          </w:tcPr>
          <w:p>
            <w:pPr>
              <w:rPr>
                <w:rFonts w:hint="eastAsia" w:ascii="宋体" w:hAnsi="宋体" w:eastAsia="宋体"/>
              </w:rPr>
            </w:pPr>
            <w:r>
              <w:rPr>
                <w:rFonts w:ascii="宋体" w:hAnsi="宋体" w:eastAsia="宋体"/>
              </w:rPr>
              <w:t>法定代表人（负责人）证明书、法定代表人（负责人）授权委托书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3</w:t>
            </w:r>
          </w:p>
        </w:tc>
        <w:tc>
          <w:tcPr>
            <w:tcW w:w="2212" w:type="dxa"/>
            <w:vAlign w:val="center"/>
          </w:tcPr>
          <w:p>
            <w:pPr>
              <w:jc w:val="center"/>
              <w:rPr>
                <w:rFonts w:hint="eastAsia" w:ascii="宋体" w:hAnsi="宋体" w:eastAsia="宋体"/>
              </w:rPr>
            </w:pPr>
            <w:r>
              <w:rPr>
                <w:rFonts w:ascii="宋体" w:hAnsi="宋体" w:eastAsia="宋体"/>
              </w:rPr>
              <w:t>投标有效期</w:t>
            </w:r>
          </w:p>
        </w:tc>
        <w:tc>
          <w:tcPr>
            <w:tcW w:w="5352" w:type="dxa"/>
            <w:vAlign w:val="center"/>
          </w:tcPr>
          <w:p>
            <w:pPr>
              <w:rPr>
                <w:rFonts w:hint="eastAsia" w:ascii="宋体" w:hAnsi="宋体" w:eastAsia="宋体"/>
              </w:rPr>
            </w:pPr>
            <w:r>
              <w:rPr>
                <w:rFonts w:ascii="宋体" w:hAnsi="宋体" w:eastAsia="宋体"/>
              </w:rPr>
              <w:t>投标截止日起90日历天</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4</w:t>
            </w:r>
          </w:p>
        </w:tc>
        <w:tc>
          <w:tcPr>
            <w:tcW w:w="2212" w:type="dxa"/>
            <w:vAlign w:val="center"/>
          </w:tcPr>
          <w:p>
            <w:pPr>
              <w:jc w:val="center"/>
              <w:rPr>
                <w:rFonts w:hint="eastAsia" w:ascii="宋体" w:hAnsi="宋体" w:eastAsia="宋体"/>
              </w:rPr>
            </w:pPr>
            <w:r>
              <w:rPr>
                <w:rFonts w:ascii="宋体" w:hAnsi="宋体" w:eastAsia="宋体"/>
              </w:rPr>
              <w:t>签署、盖章</w:t>
            </w:r>
          </w:p>
        </w:tc>
        <w:tc>
          <w:tcPr>
            <w:tcW w:w="5352" w:type="dxa"/>
            <w:vAlign w:val="center"/>
          </w:tcPr>
          <w:p>
            <w:pPr>
              <w:rPr>
                <w:rFonts w:hint="eastAsia" w:ascii="宋体" w:hAnsi="宋体" w:eastAsia="宋体"/>
              </w:rPr>
            </w:pPr>
            <w:r>
              <w:rPr>
                <w:rFonts w:ascii="宋体" w:hAnsi="宋体" w:eastAsia="宋体"/>
              </w:rPr>
              <w:t>投标文件按照项目招标文件规定要求签署、盖章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5</w:t>
            </w:r>
          </w:p>
        </w:tc>
        <w:tc>
          <w:tcPr>
            <w:tcW w:w="2212" w:type="dxa"/>
            <w:vAlign w:val="center"/>
          </w:tcPr>
          <w:p>
            <w:pPr>
              <w:jc w:val="center"/>
              <w:rPr>
                <w:rFonts w:hint="eastAsia" w:ascii="宋体" w:hAnsi="宋体" w:eastAsia="宋体"/>
              </w:rPr>
            </w:pPr>
            <w:r>
              <w:rPr>
                <w:rFonts w:ascii="宋体" w:hAnsi="宋体" w:eastAsia="宋体"/>
              </w:rPr>
              <w:t>投标报价</w:t>
            </w:r>
          </w:p>
        </w:tc>
        <w:tc>
          <w:tcPr>
            <w:tcW w:w="5352" w:type="dxa"/>
            <w:vAlign w:val="center"/>
          </w:tcPr>
          <w:p>
            <w:pPr>
              <w:rPr>
                <w:rFonts w:hint="eastAsia" w:ascii="宋体" w:hAnsi="宋体" w:eastAsia="宋体"/>
              </w:rPr>
            </w:pPr>
            <w:r>
              <w:rPr>
                <w:rFonts w:ascii="宋体" w:hAnsi="宋体" w:eastAsia="宋体"/>
              </w:rPr>
              <w:t>投标报价未超最高限价，且是固定唯一值的；若投标报价</w:t>
            </w:r>
            <w:r>
              <w:rPr>
                <w:rFonts w:hint="eastAsia" w:ascii="宋体" w:hAnsi="宋体" w:eastAsia="宋体"/>
              </w:rPr>
              <w:t>明</w:t>
            </w:r>
            <w:r>
              <w:rPr>
                <w:rFonts w:ascii="宋体" w:hAnsi="宋体" w:eastAsia="宋体"/>
              </w:rPr>
              <w:t>显低于其他通过符合性审查</w:t>
            </w:r>
            <w:r>
              <w:rPr>
                <w:rFonts w:hint="eastAsia" w:ascii="宋体" w:hAnsi="宋体" w:eastAsia="宋体"/>
              </w:rPr>
              <w:t>的</w:t>
            </w:r>
            <w:r>
              <w:rPr>
                <w:rFonts w:ascii="宋体" w:hAnsi="宋体" w:eastAsia="宋体"/>
              </w:rPr>
              <w:t>投标人报价，投标人应能作出合理说明；招标文件不接受提交备用方案。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6</w:t>
            </w:r>
          </w:p>
        </w:tc>
        <w:tc>
          <w:tcPr>
            <w:tcW w:w="2212" w:type="dxa"/>
            <w:vAlign w:val="center"/>
          </w:tcPr>
          <w:p>
            <w:pPr>
              <w:jc w:val="center"/>
              <w:rPr>
                <w:rFonts w:hint="eastAsia" w:ascii="宋体" w:hAnsi="宋体" w:eastAsia="宋体"/>
              </w:rPr>
            </w:pPr>
            <w:r>
              <w:rPr>
                <w:rFonts w:ascii="宋体" w:hAnsi="宋体" w:eastAsia="宋体"/>
              </w:rPr>
              <w:t>带“★”号条款</w:t>
            </w:r>
          </w:p>
        </w:tc>
        <w:tc>
          <w:tcPr>
            <w:tcW w:w="5352" w:type="dxa"/>
            <w:vAlign w:val="center"/>
          </w:tcPr>
          <w:p>
            <w:pPr>
              <w:rPr>
                <w:rFonts w:hint="eastAsia" w:ascii="宋体" w:hAnsi="宋体" w:eastAsia="宋体"/>
              </w:rPr>
            </w:pPr>
            <w:r>
              <w:rPr>
                <w:rFonts w:ascii="宋体" w:hAnsi="宋体" w:eastAsia="宋体"/>
              </w:rPr>
              <w:t>能满足的主要参数（带“★”号条款）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7</w:t>
            </w:r>
          </w:p>
        </w:tc>
        <w:tc>
          <w:tcPr>
            <w:tcW w:w="2212" w:type="dxa"/>
            <w:vAlign w:val="center"/>
          </w:tcPr>
          <w:p>
            <w:pPr>
              <w:jc w:val="center"/>
              <w:rPr>
                <w:rFonts w:hint="eastAsia" w:ascii="宋体" w:hAnsi="宋体" w:eastAsia="宋体"/>
              </w:rPr>
            </w:pPr>
            <w:r>
              <w:rPr>
                <w:rFonts w:ascii="宋体" w:hAnsi="宋体" w:eastAsia="宋体"/>
              </w:rPr>
              <w:t>投标保证金</w:t>
            </w:r>
          </w:p>
        </w:tc>
        <w:tc>
          <w:tcPr>
            <w:tcW w:w="5352" w:type="dxa"/>
            <w:vAlign w:val="center"/>
          </w:tcPr>
          <w:p>
            <w:pPr>
              <w:rPr>
                <w:rFonts w:hint="eastAsia" w:ascii="宋体" w:hAnsi="宋体" w:eastAsia="宋体"/>
              </w:rPr>
            </w:pPr>
            <w:r>
              <w:rPr>
                <w:rFonts w:ascii="宋体" w:hAnsi="宋体" w:eastAsia="宋体"/>
              </w:rPr>
              <w:t>投标人按招标文件要求缴纳投标保证金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8</w:t>
            </w:r>
          </w:p>
        </w:tc>
        <w:tc>
          <w:tcPr>
            <w:tcW w:w="2212" w:type="dxa"/>
            <w:vAlign w:val="center"/>
          </w:tcPr>
          <w:p>
            <w:pPr>
              <w:jc w:val="center"/>
              <w:rPr>
                <w:rFonts w:hint="eastAsia" w:ascii="宋体" w:hAnsi="宋体" w:eastAsia="宋体"/>
              </w:rPr>
            </w:pPr>
            <w:r>
              <w:rPr>
                <w:rFonts w:ascii="宋体" w:hAnsi="宋体" w:eastAsia="宋体"/>
              </w:rPr>
              <w:t>附加条件</w:t>
            </w:r>
          </w:p>
        </w:tc>
        <w:tc>
          <w:tcPr>
            <w:tcW w:w="5352" w:type="dxa"/>
            <w:vAlign w:val="center"/>
          </w:tcPr>
          <w:p>
            <w:pPr>
              <w:rPr>
                <w:rFonts w:hint="eastAsia" w:ascii="宋体" w:hAnsi="宋体" w:eastAsia="宋体"/>
              </w:rPr>
            </w:pPr>
            <w:r>
              <w:rPr>
                <w:rFonts w:ascii="宋体" w:hAnsi="宋体" w:eastAsia="宋体"/>
              </w:rPr>
              <w:t>投标文件没有招标人不能接受的附加条件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rPr>
        <w:tc>
          <w:tcPr>
            <w:tcW w:w="1049" w:type="dxa"/>
            <w:vAlign w:val="center"/>
          </w:tcPr>
          <w:p>
            <w:pPr>
              <w:jc w:val="center"/>
              <w:rPr>
                <w:rFonts w:hint="eastAsia" w:ascii="宋体" w:hAnsi="宋体" w:eastAsia="宋体"/>
              </w:rPr>
            </w:pPr>
            <w:r>
              <w:rPr>
                <w:rFonts w:ascii="宋体" w:hAnsi="宋体" w:eastAsia="宋体"/>
              </w:rPr>
              <w:t>9</w:t>
            </w:r>
          </w:p>
        </w:tc>
        <w:tc>
          <w:tcPr>
            <w:tcW w:w="2212" w:type="dxa"/>
            <w:vAlign w:val="center"/>
          </w:tcPr>
          <w:p>
            <w:pPr>
              <w:jc w:val="center"/>
              <w:rPr>
                <w:rFonts w:hint="eastAsia" w:ascii="宋体" w:hAnsi="宋体" w:eastAsia="宋体"/>
              </w:rPr>
            </w:pPr>
            <w:r>
              <w:rPr>
                <w:rFonts w:ascii="宋体" w:hAnsi="宋体" w:eastAsia="宋体"/>
              </w:rPr>
              <w:t>其他无效情形</w:t>
            </w:r>
          </w:p>
        </w:tc>
        <w:tc>
          <w:tcPr>
            <w:tcW w:w="5352" w:type="dxa"/>
            <w:vAlign w:val="center"/>
          </w:tcPr>
          <w:p>
            <w:pPr>
              <w:rPr>
                <w:rFonts w:hint="eastAsia" w:ascii="宋体" w:hAnsi="宋体" w:eastAsia="宋体"/>
              </w:rPr>
            </w:pPr>
            <w:r>
              <w:rPr>
                <w:rFonts w:ascii="宋体" w:hAnsi="宋体" w:eastAsia="宋体"/>
              </w:rPr>
              <w:t>未出现法律、法规和项目</w:t>
            </w:r>
            <w:r>
              <w:rPr>
                <w:rFonts w:hint="eastAsia" w:ascii="宋体" w:hAnsi="宋体" w:eastAsia="宋体"/>
              </w:rPr>
              <w:t>招标</w:t>
            </w:r>
            <w:r>
              <w:rPr>
                <w:rFonts w:ascii="宋体" w:hAnsi="宋体" w:eastAsia="宋体"/>
              </w:rPr>
              <w:t>文件规定的其他无效情形</w:t>
            </w:r>
          </w:p>
        </w:tc>
      </w:tr>
    </w:tbl>
    <w:p>
      <w:pPr>
        <w:pStyle w:val="63"/>
        <w:numPr>
          <w:ilvl w:val="0"/>
          <w:numId w:val="30"/>
        </w:numPr>
        <w:spacing w:before="468" w:beforeLines="150" w:line="360" w:lineRule="auto"/>
        <w:contextualSpacing w:val="0"/>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说明：</w:t>
      </w:r>
    </w:p>
    <w:p>
      <w:pPr>
        <w:spacing w:before="156" w:beforeLines="50" w:line="360" w:lineRule="auto"/>
        <w:ind w:firstLine="440" w:firstLineChars="200"/>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投标人必须严格按照《符合性审查表》的评审内容的要求如实提供证明材料并应加盖投标人公章，若投标人不满足《符合性审查表》中任何情形之一的，则其投标无效。</w:t>
      </w:r>
    </w:p>
    <w:p>
      <w:pPr>
        <w:pStyle w:val="63"/>
        <w:pageBreakBefore/>
        <w:numPr>
          <w:ilvl w:val="0"/>
          <w:numId w:val="29"/>
        </w:numPr>
        <w:spacing w:before="156" w:beforeLines="50" w:after="312" w:afterLines="100" w:line="360" w:lineRule="auto"/>
        <w:ind w:left="442" w:hanging="442" w:hangingChars="200"/>
        <w:contextualSpacing w:val="0"/>
        <w:outlineLvl w:val="1"/>
        <w:rPr>
          <w:rFonts w:hint="eastAsia" w:ascii="宋体" w:hAnsi="宋体" w:eastAsia="宋体"/>
          <w:b/>
          <w:bCs/>
          <w:color w:val="000000" w:themeColor="text1"/>
          <w:sz w:val="22"/>
          <w14:textFill>
            <w14:solidFill>
              <w14:schemeClr w14:val="tx1"/>
            </w14:solidFill>
          </w14:textFill>
        </w:rPr>
      </w:pPr>
      <w:bookmarkStart w:id="100" w:name="_Toc8943"/>
      <w:bookmarkStart w:id="101" w:name="_Toc3806"/>
      <w:r>
        <w:rPr>
          <w:rFonts w:hint="eastAsia" w:ascii="宋体" w:hAnsi="宋体" w:eastAsia="宋体"/>
          <w:b/>
          <w:bCs/>
          <w:color w:val="000000" w:themeColor="text1"/>
          <w:sz w:val="22"/>
          <w14:textFill>
            <w14:solidFill>
              <w14:schemeClr w14:val="tx1"/>
            </w14:solidFill>
          </w14:textFill>
        </w:rPr>
        <w:t>附表三  详细评审表（含商务、技术评审细则）</w:t>
      </w:r>
      <w:bookmarkEnd w:id="100"/>
      <w:bookmarkEnd w:id="101"/>
    </w:p>
    <w:p>
      <w:pPr>
        <w:keepNext/>
        <w:keepLines/>
        <w:spacing w:line="360" w:lineRule="auto"/>
        <w:jc w:val="center"/>
        <w:rPr>
          <w:rFonts w:hint="eastAsia" w:ascii="宋体" w:hAnsi="宋体" w:eastAsia="宋体"/>
          <w:color w:val="000000" w:themeColor="text1"/>
          <w:sz w:val="22"/>
          <w14:textFill>
            <w14:solidFill>
              <w14:schemeClr w14:val="tx1"/>
            </w14:solidFill>
          </w14:textFill>
        </w:rPr>
      </w:pPr>
      <w:bookmarkStart w:id="102" w:name="_Toc43396408"/>
      <w:bookmarkStart w:id="103" w:name="_Toc116593608"/>
      <w:bookmarkStart w:id="104" w:name="_Toc278274487"/>
      <w:bookmarkStart w:id="105" w:name="_Toc503968345"/>
      <w:bookmarkStart w:id="106" w:name="_Toc116147084"/>
      <w:r>
        <w:rPr>
          <w:rFonts w:hint="eastAsia" w:ascii="宋体" w:hAnsi="宋体" w:eastAsia="宋体"/>
          <w:color w:val="000000" w:themeColor="text1"/>
          <w:sz w:val="22"/>
          <w14:textFill>
            <w14:solidFill>
              <w14:schemeClr w14:val="tx1"/>
            </w14:solidFill>
          </w14:textFill>
        </w:rPr>
        <w:t>详细评审表</w:t>
      </w:r>
    </w:p>
    <w:tbl>
      <w:tblPr>
        <w:tblStyle w:val="41"/>
        <w:tblW w:w="5051" w:type="pct"/>
        <w:tblInd w:w="-10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47"/>
        <w:gridCol w:w="1272"/>
        <w:gridCol w:w="664"/>
        <w:gridCol w:w="567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18" w:hRule="atLeast"/>
        </w:trPr>
        <w:tc>
          <w:tcPr>
            <w:tcW w:w="704" w:type="pct"/>
            <w:vAlign w:val="center"/>
          </w:tcPr>
          <w:p>
            <w:pPr>
              <w:pStyle w:val="128"/>
              <w:spacing w:line="276" w:lineRule="auto"/>
              <w:jc w:val="center"/>
              <w:rPr>
                <w:rFonts w:ascii="宋体" w:hAnsi="宋体" w:cs="宋体"/>
                <w:sz w:val="21"/>
                <w:szCs w:val="21"/>
              </w:rPr>
            </w:pPr>
            <w:r>
              <w:rPr>
                <w:rFonts w:ascii="宋体" w:hAnsi="宋体" w:cs="宋体"/>
                <w:sz w:val="21"/>
                <w:szCs w:val="21"/>
              </w:rPr>
              <w:t>评审</w:t>
            </w:r>
          </w:p>
          <w:p>
            <w:pPr>
              <w:pStyle w:val="128"/>
              <w:spacing w:line="276" w:lineRule="auto"/>
              <w:jc w:val="center"/>
              <w:rPr>
                <w:rFonts w:ascii="宋体" w:hAnsi="宋体" w:cs="宋体"/>
                <w:sz w:val="21"/>
                <w:szCs w:val="21"/>
              </w:rPr>
            </w:pPr>
            <w:r>
              <w:rPr>
                <w:rFonts w:ascii="宋体" w:hAnsi="宋体" w:cs="宋体"/>
                <w:sz w:val="21"/>
                <w:szCs w:val="21"/>
              </w:rPr>
              <w:t>因素</w:t>
            </w:r>
          </w:p>
        </w:tc>
        <w:tc>
          <w:tcPr>
            <w:tcW w:w="4295" w:type="pct"/>
            <w:gridSpan w:val="3"/>
            <w:vAlign w:val="center"/>
          </w:tcPr>
          <w:p>
            <w:pPr>
              <w:pStyle w:val="128"/>
              <w:spacing w:line="276" w:lineRule="auto"/>
              <w:jc w:val="center"/>
              <w:rPr>
                <w:rFonts w:ascii="宋体" w:hAnsi="宋体" w:cs="宋体"/>
                <w:sz w:val="21"/>
                <w:szCs w:val="21"/>
              </w:rPr>
            </w:pPr>
            <w:r>
              <w:rPr>
                <w:rFonts w:ascii="宋体" w:hAnsi="宋体" w:cs="宋体"/>
                <w:sz w:val="21"/>
                <w:szCs w:val="21"/>
              </w:rPr>
              <w:t>评</w:t>
            </w:r>
            <w:r>
              <w:rPr>
                <w:rFonts w:ascii="宋体" w:hAnsi="宋体" w:cs="宋体"/>
                <w:sz w:val="21"/>
                <w:szCs w:val="21"/>
                <w:lang w:eastAsia="zh-CN"/>
              </w:rPr>
              <w:t>分</w:t>
            </w:r>
            <w:r>
              <w:rPr>
                <w:rFonts w:ascii="宋体" w:hAnsi="宋体" w:cs="宋体"/>
                <w:sz w:val="21"/>
                <w:szCs w:val="21"/>
              </w:rPr>
              <w:t>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Align w:val="center"/>
          </w:tcPr>
          <w:p>
            <w:pPr>
              <w:pStyle w:val="128"/>
              <w:spacing w:line="276" w:lineRule="auto"/>
              <w:jc w:val="center"/>
              <w:rPr>
                <w:rFonts w:ascii="宋体" w:hAnsi="宋体" w:cs="宋体"/>
                <w:sz w:val="21"/>
                <w:szCs w:val="21"/>
              </w:rPr>
            </w:pPr>
            <w:r>
              <w:rPr>
                <w:rFonts w:ascii="宋体" w:hAnsi="宋体" w:cs="宋体"/>
                <w:sz w:val="21"/>
                <w:szCs w:val="21"/>
              </w:rPr>
              <w:t>分值</w:t>
            </w:r>
          </w:p>
          <w:p>
            <w:pPr>
              <w:pStyle w:val="128"/>
              <w:spacing w:line="276" w:lineRule="auto"/>
              <w:jc w:val="center"/>
              <w:rPr>
                <w:rFonts w:ascii="宋体" w:hAnsi="宋体" w:cs="宋体"/>
                <w:sz w:val="21"/>
                <w:szCs w:val="21"/>
              </w:rPr>
            </w:pPr>
            <w:r>
              <w:rPr>
                <w:rFonts w:ascii="宋体" w:hAnsi="宋体" w:cs="宋体"/>
                <w:sz w:val="21"/>
                <w:szCs w:val="21"/>
              </w:rPr>
              <w:t>构成</w:t>
            </w:r>
          </w:p>
        </w:tc>
        <w:tc>
          <w:tcPr>
            <w:tcW w:w="4295" w:type="pct"/>
            <w:gridSpan w:val="3"/>
            <w:vAlign w:val="center"/>
          </w:tcPr>
          <w:p>
            <w:pPr>
              <w:pStyle w:val="128"/>
              <w:spacing w:line="276" w:lineRule="auto"/>
              <w:rPr>
                <w:rFonts w:ascii="宋体" w:hAnsi="宋体" w:cs="宋体"/>
                <w:sz w:val="21"/>
                <w:szCs w:val="21"/>
              </w:rPr>
            </w:pPr>
            <w:r>
              <w:rPr>
                <w:rFonts w:ascii="宋体" w:hAnsi="宋体" w:cs="宋体"/>
                <w:sz w:val="21"/>
                <w:szCs w:val="21"/>
                <w:lang w:eastAsia="zh-CN"/>
              </w:rPr>
              <w:t>商务</w:t>
            </w:r>
            <w:r>
              <w:rPr>
                <w:rFonts w:ascii="宋体" w:hAnsi="宋体" w:cs="宋体"/>
                <w:sz w:val="21"/>
                <w:szCs w:val="21"/>
              </w:rPr>
              <w:t>部分</w:t>
            </w:r>
            <w:r>
              <w:rPr>
                <w:rFonts w:ascii="宋体" w:hAnsi="宋体" w:cs="宋体"/>
                <w:sz w:val="21"/>
                <w:szCs w:val="21"/>
                <w:lang w:eastAsia="zh-CN"/>
              </w:rPr>
              <w:t>3</w:t>
            </w:r>
            <w:r>
              <w:rPr>
                <w:rFonts w:ascii="宋体" w:hAnsi="宋体" w:cs="宋体"/>
                <w:sz w:val="21"/>
                <w:szCs w:val="21"/>
              </w:rPr>
              <w:t>0</w:t>
            </w:r>
            <w:r>
              <w:rPr>
                <w:rFonts w:ascii="宋体" w:hAnsi="宋体" w:cs="宋体"/>
                <w:sz w:val="21"/>
                <w:szCs w:val="21"/>
                <w:lang w:eastAsia="zh-CN"/>
              </w:rPr>
              <w:t>.00</w:t>
            </w:r>
            <w:r>
              <w:rPr>
                <w:rFonts w:ascii="宋体" w:hAnsi="宋体" w:cs="宋体"/>
                <w:sz w:val="21"/>
                <w:szCs w:val="21"/>
              </w:rPr>
              <w:t>分</w:t>
            </w:r>
          </w:p>
          <w:p>
            <w:pPr>
              <w:pStyle w:val="128"/>
              <w:spacing w:line="276" w:lineRule="auto"/>
              <w:rPr>
                <w:rFonts w:ascii="宋体" w:hAnsi="宋体" w:cs="宋体"/>
                <w:sz w:val="21"/>
                <w:szCs w:val="21"/>
              </w:rPr>
            </w:pPr>
            <w:r>
              <w:rPr>
                <w:rFonts w:ascii="宋体" w:hAnsi="宋体" w:cs="宋体"/>
                <w:sz w:val="21"/>
                <w:szCs w:val="21"/>
                <w:lang w:eastAsia="zh-CN"/>
              </w:rPr>
              <w:t>技术</w:t>
            </w:r>
            <w:r>
              <w:rPr>
                <w:rFonts w:ascii="宋体" w:hAnsi="宋体" w:cs="宋体"/>
                <w:sz w:val="21"/>
                <w:szCs w:val="21"/>
              </w:rPr>
              <w:t>部分</w:t>
            </w:r>
            <w:r>
              <w:rPr>
                <w:rFonts w:ascii="宋体" w:hAnsi="宋体" w:cs="宋体"/>
                <w:sz w:val="21"/>
                <w:szCs w:val="21"/>
                <w:lang w:eastAsia="zh-CN"/>
              </w:rPr>
              <w:t>5</w:t>
            </w:r>
            <w:r>
              <w:rPr>
                <w:rFonts w:ascii="宋体" w:hAnsi="宋体" w:cs="宋体"/>
                <w:sz w:val="21"/>
                <w:szCs w:val="21"/>
              </w:rPr>
              <w:t>0</w:t>
            </w:r>
            <w:r>
              <w:rPr>
                <w:rFonts w:ascii="宋体" w:hAnsi="宋体" w:cs="宋体"/>
                <w:sz w:val="21"/>
                <w:szCs w:val="21"/>
                <w:lang w:eastAsia="zh-CN"/>
              </w:rPr>
              <w:t>.00</w:t>
            </w:r>
            <w:r>
              <w:rPr>
                <w:rFonts w:ascii="宋体" w:hAnsi="宋体" w:cs="宋体"/>
                <w:sz w:val="21"/>
                <w:szCs w:val="21"/>
              </w:rPr>
              <w:t>分</w:t>
            </w:r>
          </w:p>
          <w:p>
            <w:pPr>
              <w:pStyle w:val="128"/>
              <w:spacing w:line="276" w:lineRule="auto"/>
              <w:rPr>
                <w:rFonts w:ascii="宋体" w:hAnsi="宋体" w:cs="宋体"/>
                <w:sz w:val="21"/>
                <w:szCs w:val="21"/>
              </w:rPr>
            </w:pPr>
            <w:r>
              <w:rPr>
                <w:rFonts w:ascii="宋体" w:hAnsi="宋体" w:cs="宋体"/>
                <w:sz w:val="21"/>
                <w:szCs w:val="21"/>
              </w:rPr>
              <w:t>报价得分</w:t>
            </w:r>
            <w:r>
              <w:rPr>
                <w:rFonts w:ascii="宋体" w:hAnsi="宋体" w:cs="宋体"/>
                <w:sz w:val="21"/>
                <w:szCs w:val="21"/>
                <w:lang w:eastAsia="zh-CN"/>
              </w:rPr>
              <w:t>20.00</w:t>
            </w:r>
            <w:r>
              <w:rPr>
                <w:rFonts w:ascii="宋体" w:hAnsi="宋体" w:cs="宋体"/>
                <w:sz w:val="21"/>
                <w:szCs w:val="21"/>
              </w:rPr>
              <w:t>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704"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评审因素</w:t>
            </w:r>
          </w:p>
        </w:tc>
        <w:tc>
          <w:tcPr>
            <w:tcW w:w="718"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评审项</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分值</w:t>
            </w:r>
          </w:p>
        </w:tc>
        <w:tc>
          <w:tcPr>
            <w:tcW w:w="3201"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评分细则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704" w:type="pct"/>
            <w:vMerge w:val="restar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商务</w:t>
            </w:r>
          </w:p>
          <w:p>
            <w:pPr>
              <w:pStyle w:val="128"/>
              <w:spacing w:line="276" w:lineRule="auto"/>
              <w:jc w:val="center"/>
              <w:rPr>
                <w:rFonts w:ascii="宋体" w:hAnsi="宋体" w:cs="宋体"/>
                <w:sz w:val="21"/>
                <w:szCs w:val="21"/>
              </w:rPr>
            </w:pPr>
            <w:r>
              <w:rPr>
                <w:rFonts w:ascii="宋体" w:hAnsi="宋体" w:cs="宋体"/>
                <w:sz w:val="21"/>
                <w:szCs w:val="21"/>
              </w:rPr>
              <w:t>部分</w:t>
            </w:r>
          </w:p>
        </w:tc>
        <w:tc>
          <w:tcPr>
            <w:tcW w:w="718"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bidi="ar"/>
              </w:rPr>
              <w:t>同类项目经验</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18</w:t>
            </w:r>
          </w:p>
        </w:tc>
        <w:tc>
          <w:tcPr>
            <w:tcW w:w="3201" w:type="pct"/>
            <w:vAlign w:val="center"/>
          </w:tcPr>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考察投标人2022年1月1日至今（以合同签订日期为准）承接过同类项目（同类项目指：线下对外交流活动项目或境外团体出行服务项目业绩）的业绩情况。本项最高得</w:t>
            </w:r>
            <w:r>
              <w:rPr>
                <w:rFonts w:hint="eastAsia" w:ascii="宋体" w:hAnsi="宋体" w:eastAsia="宋体" w:cs="宋体"/>
                <w:kern w:val="0"/>
                <w:szCs w:val="21"/>
                <w:lang w:bidi="ar"/>
              </w:rPr>
              <w:t>18</w:t>
            </w:r>
            <w:r>
              <w:rPr>
                <w:rFonts w:ascii="宋体" w:hAnsi="宋体" w:eastAsia="宋体" w:cs="宋体"/>
                <w:kern w:val="0"/>
                <w:szCs w:val="21"/>
                <w:lang w:bidi="ar"/>
              </w:rPr>
              <w:t>分，具体如下：</w:t>
            </w:r>
          </w:p>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1、投标人具备线下对外交流活动项目业绩，每提供一份有效证明材料，得</w:t>
            </w:r>
            <w:r>
              <w:rPr>
                <w:rFonts w:hint="eastAsia" w:ascii="宋体" w:hAnsi="宋体" w:eastAsia="宋体" w:cs="宋体"/>
                <w:kern w:val="0"/>
                <w:szCs w:val="21"/>
                <w:lang w:bidi="ar"/>
              </w:rPr>
              <w:t>2.5</w:t>
            </w:r>
            <w:r>
              <w:rPr>
                <w:rFonts w:ascii="宋体" w:hAnsi="宋体" w:eastAsia="宋体" w:cs="宋体"/>
                <w:kern w:val="0"/>
                <w:szCs w:val="21"/>
                <w:lang w:bidi="ar"/>
              </w:rPr>
              <w:t>分；本小项最高得</w:t>
            </w:r>
            <w:r>
              <w:rPr>
                <w:rFonts w:hint="eastAsia" w:ascii="宋体" w:hAnsi="宋体" w:eastAsia="宋体" w:cs="宋体"/>
                <w:kern w:val="0"/>
                <w:szCs w:val="21"/>
                <w:lang w:bidi="ar"/>
              </w:rPr>
              <w:t>10</w:t>
            </w:r>
            <w:r>
              <w:rPr>
                <w:rFonts w:ascii="宋体" w:hAnsi="宋体" w:eastAsia="宋体" w:cs="宋体"/>
                <w:kern w:val="0"/>
                <w:szCs w:val="21"/>
                <w:lang w:bidi="ar"/>
              </w:rPr>
              <w:t>分。</w:t>
            </w:r>
          </w:p>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2、投标人具备境外团体出行服务项目业绩，每提供一份有效证明材料，得</w:t>
            </w:r>
            <w:r>
              <w:rPr>
                <w:rFonts w:hint="eastAsia" w:ascii="宋体" w:hAnsi="宋体" w:eastAsia="宋体" w:cs="宋体"/>
                <w:kern w:val="0"/>
                <w:szCs w:val="21"/>
                <w:lang w:bidi="ar"/>
              </w:rPr>
              <w:t>2</w:t>
            </w:r>
            <w:r>
              <w:rPr>
                <w:rFonts w:ascii="宋体" w:hAnsi="宋体" w:eastAsia="宋体" w:cs="宋体"/>
                <w:kern w:val="0"/>
                <w:szCs w:val="21"/>
                <w:lang w:bidi="ar"/>
              </w:rPr>
              <w:t>分；本小项最高得</w:t>
            </w:r>
            <w:r>
              <w:rPr>
                <w:rFonts w:hint="eastAsia" w:ascii="宋体" w:hAnsi="宋体" w:eastAsia="宋体" w:cs="宋体"/>
                <w:kern w:val="0"/>
                <w:szCs w:val="21"/>
                <w:lang w:bidi="ar"/>
              </w:rPr>
              <w:t>8</w:t>
            </w:r>
            <w:r>
              <w:rPr>
                <w:rFonts w:ascii="宋体" w:hAnsi="宋体" w:eastAsia="宋体" w:cs="宋体"/>
                <w:kern w:val="0"/>
                <w:szCs w:val="21"/>
                <w:lang w:bidi="ar"/>
              </w:rPr>
              <w:t>分。</w:t>
            </w:r>
          </w:p>
          <w:p>
            <w:pPr>
              <w:spacing w:line="276" w:lineRule="auto"/>
              <w:jc w:val="left"/>
              <w:rPr>
                <w:rFonts w:hint="eastAsia" w:ascii="宋体" w:hAnsi="宋体" w:eastAsia="宋体" w:cs="宋体"/>
                <w:szCs w:val="21"/>
              </w:rPr>
            </w:pPr>
            <w:r>
              <w:rPr>
                <w:rFonts w:ascii="宋体" w:hAnsi="宋体" w:eastAsia="宋体" w:cs="宋体"/>
                <w:kern w:val="0"/>
                <w:szCs w:val="21"/>
                <w:lang w:bidi="ar"/>
              </w:rPr>
              <w:t>注：①须提供合同关键页（不限于签订合同双方的单位名称、合同名称、合同标的内容、合同签订页等）复印件作为证明材料，不提供不得分。②若合同无法说明项目内容符合上述同类项目经验范围，可提供甲方出具的相应证明文件作依据（证明文件须加盖合同甲方公司章或合同章，或甲方项目使用部门章）。③若合同无相关签订时间，则以合同中能够体现的服务起始时间进行认定。④证明材料不完整、不清晰、评标委员会无法确定业绩关键信息的将不予认可。⑤同一业绩同时包含上述两部分内容，可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Merge w:val="continue"/>
            <w:vAlign w:val="center"/>
          </w:tcPr>
          <w:p>
            <w:pPr>
              <w:spacing w:line="276" w:lineRule="auto"/>
              <w:jc w:val="center"/>
              <w:rPr>
                <w:rFonts w:hint="eastAsia" w:ascii="宋体" w:hAnsi="宋体" w:eastAsia="宋体" w:cstheme="minorEastAsia"/>
                <w:szCs w:val="21"/>
              </w:rPr>
            </w:pPr>
          </w:p>
        </w:tc>
        <w:tc>
          <w:tcPr>
            <w:tcW w:w="718" w:type="pct"/>
            <w:vAlign w:val="center"/>
          </w:tcPr>
          <w:p>
            <w:pPr>
              <w:pStyle w:val="128"/>
              <w:spacing w:line="276" w:lineRule="auto"/>
              <w:jc w:val="center"/>
              <w:rPr>
                <w:rFonts w:ascii="宋体" w:hAnsi="宋体" w:cs="宋体"/>
                <w:sz w:val="21"/>
                <w:szCs w:val="21"/>
                <w:lang w:eastAsia="zh-CN" w:bidi="ar"/>
              </w:rPr>
            </w:pPr>
            <w:r>
              <w:rPr>
                <w:rFonts w:ascii="宋体" w:hAnsi="宋体" w:cs="宋体"/>
                <w:sz w:val="21"/>
                <w:szCs w:val="21"/>
                <w:lang w:eastAsia="zh-CN" w:bidi="ar"/>
              </w:rPr>
              <w:t>服务团队配置人员素质</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12</w:t>
            </w:r>
          </w:p>
        </w:tc>
        <w:tc>
          <w:tcPr>
            <w:tcW w:w="3201" w:type="pct"/>
          </w:tcPr>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考察投标人拟投入到本项目的服务人员情况。投标人每配备1名满足以下任意一项要求的人员，得</w:t>
            </w:r>
            <w:r>
              <w:rPr>
                <w:rFonts w:hint="eastAsia" w:ascii="宋体" w:hAnsi="宋体" w:eastAsia="宋体" w:cs="宋体"/>
                <w:kern w:val="0"/>
                <w:szCs w:val="21"/>
                <w:lang w:bidi="ar"/>
              </w:rPr>
              <w:t>1.5</w:t>
            </w:r>
            <w:r>
              <w:rPr>
                <w:rFonts w:ascii="宋体" w:hAnsi="宋体" w:eastAsia="宋体" w:cs="宋体"/>
                <w:kern w:val="0"/>
                <w:szCs w:val="21"/>
                <w:lang w:bidi="ar"/>
              </w:rPr>
              <w:t>分；本项最高得1</w:t>
            </w:r>
            <w:r>
              <w:rPr>
                <w:rFonts w:hint="eastAsia" w:ascii="宋体" w:hAnsi="宋体" w:eastAsia="宋体" w:cs="宋体"/>
                <w:kern w:val="0"/>
                <w:szCs w:val="21"/>
                <w:lang w:bidi="ar"/>
              </w:rPr>
              <w:t>2</w:t>
            </w:r>
            <w:r>
              <w:rPr>
                <w:rFonts w:ascii="宋体" w:hAnsi="宋体" w:eastAsia="宋体" w:cs="宋体"/>
                <w:kern w:val="0"/>
                <w:szCs w:val="21"/>
                <w:lang w:bidi="ar"/>
              </w:rPr>
              <w:t>分。具体如下：</w:t>
            </w:r>
          </w:p>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1、团队成员具备导游职业资格证（即导游证）；</w:t>
            </w:r>
          </w:p>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2、团队成员具备专科（含）及以上学历、所学专业为工商管理类或旅游管理类或外语类的相关专业且工作经验不少于3年；</w:t>
            </w:r>
          </w:p>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3、团队成员具备线下对外交流活动项目或境外团体出行服务项目等同类案例经验的。</w:t>
            </w:r>
          </w:p>
          <w:p>
            <w:pPr>
              <w:spacing w:line="276" w:lineRule="auto"/>
              <w:jc w:val="left"/>
              <w:rPr>
                <w:rFonts w:hint="eastAsia" w:ascii="宋体" w:hAnsi="宋体" w:eastAsia="宋体" w:cs="宋体"/>
                <w:kern w:val="0"/>
                <w:szCs w:val="21"/>
                <w:lang w:bidi="ar"/>
              </w:rPr>
            </w:pPr>
            <w:r>
              <w:rPr>
                <w:rFonts w:ascii="宋体" w:hAnsi="宋体" w:eastAsia="宋体" w:cs="宋体"/>
                <w:kern w:val="0"/>
                <w:szCs w:val="21"/>
                <w:lang w:bidi="ar"/>
              </w:rPr>
              <w:t>注：①服务团队成员需提供资格证书，学历或学位证书复印件或学信网查询截图或国外学历认证书作为证明材料，未提供则不得分；②团队成员具备同类项目经验的评审依据为提供团队成员参与同类项目业绩的相关证明材料（例如：签订合同/交付确认函/客户满意度/表扬信/感谢信等可体现团队成员信息的业主盖章材料）；③工作经验评审依据为团队成员提供的最高学历证书颁证之日起至投标截止日止的时长；④服务团队成员需提供2026年3月份以来任意一个月由投标人单位缴纳社保的证明复印件，或有效期内的劳动合同复印件等，未提供则不得分；⑤若同一人提供多份有效证明材料按一项计分，不重复计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Merge w:val="restart"/>
            <w:vAlign w:val="center"/>
          </w:tcPr>
          <w:p>
            <w:pPr>
              <w:pStyle w:val="128"/>
              <w:spacing w:line="276" w:lineRule="auto"/>
              <w:jc w:val="center"/>
              <w:rPr>
                <w:rFonts w:ascii="宋体" w:hAnsi="宋体"/>
                <w:sz w:val="21"/>
                <w:szCs w:val="21"/>
                <w:lang w:eastAsia="zh-CN"/>
              </w:rPr>
            </w:pPr>
            <w:r>
              <w:rPr>
                <w:rFonts w:ascii="宋体" w:hAnsi="宋体"/>
                <w:sz w:val="21"/>
                <w:szCs w:val="21"/>
                <w:lang w:eastAsia="zh-CN"/>
              </w:rPr>
              <w:t>技术</w:t>
            </w:r>
          </w:p>
          <w:p>
            <w:pPr>
              <w:pStyle w:val="128"/>
              <w:spacing w:line="276" w:lineRule="auto"/>
              <w:jc w:val="center"/>
              <w:rPr>
                <w:rFonts w:ascii="宋体" w:hAnsi="宋体"/>
                <w:sz w:val="21"/>
                <w:szCs w:val="21"/>
              </w:rPr>
            </w:pPr>
            <w:r>
              <w:rPr>
                <w:rFonts w:ascii="宋体" w:hAnsi="宋体"/>
                <w:sz w:val="21"/>
                <w:szCs w:val="21"/>
              </w:rPr>
              <w:t>部分</w:t>
            </w:r>
          </w:p>
        </w:tc>
        <w:tc>
          <w:tcPr>
            <w:tcW w:w="718" w:type="pct"/>
            <w:vAlign w:val="center"/>
          </w:tcPr>
          <w:p>
            <w:pPr>
              <w:pStyle w:val="128"/>
              <w:spacing w:line="276" w:lineRule="auto"/>
              <w:jc w:val="center"/>
              <w:rPr>
                <w:rFonts w:ascii="宋体" w:hAnsi="宋体" w:cs="宋体"/>
                <w:sz w:val="21"/>
                <w:szCs w:val="21"/>
                <w:lang w:eastAsia="zh-CN" w:bidi="ar"/>
              </w:rPr>
            </w:pPr>
            <w:r>
              <w:rPr>
                <w:rFonts w:ascii="宋体" w:hAnsi="宋体" w:cs="宋体"/>
                <w:sz w:val="21"/>
                <w:szCs w:val="21"/>
                <w:lang w:eastAsia="zh-CN" w:bidi="ar"/>
              </w:rPr>
              <w:t>项目需求理解</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10</w:t>
            </w:r>
          </w:p>
        </w:tc>
        <w:tc>
          <w:tcPr>
            <w:tcW w:w="3201" w:type="pct"/>
          </w:tcPr>
          <w:p>
            <w:pPr>
              <w:pStyle w:val="128"/>
              <w:spacing w:line="276" w:lineRule="auto"/>
              <w:rPr>
                <w:rFonts w:ascii="宋体" w:hAnsi="宋体" w:cs="宋体"/>
                <w:sz w:val="21"/>
                <w:szCs w:val="21"/>
                <w:lang w:eastAsia="zh-CN" w:bidi="ar"/>
              </w:rPr>
            </w:pPr>
            <w:r>
              <w:rPr>
                <w:rFonts w:ascii="宋体" w:hAnsi="宋体" w:cs="宋体"/>
                <w:sz w:val="21"/>
                <w:szCs w:val="21"/>
                <w:lang w:eastAsia="zh-CN"/>
              </w:rPr>
              <w:t>考</w:t>
            </w:r>
            <w:r>
              <w:rPr>
                <w:rFonts w:ascii="宋体" w:hAnsi="宋体" w:cs="宋体"/>
                <w:sz w:val="21"/>
                <w:szCs w:val="21"/>
                <w:lang w:eastAsia="zh-CN" w:bidi="ar"/>
              </w:rPr>
              <w:t>察投标人针对本项目需求的理解程度。根据招标人提供的采购需求书，投标人应提供完全满足或优于用户需求的方案，对本项目重点、难点有全面的认识和理解，且能详细描述。根据其理解的程度进行综合评分。具体如下：</w:t>
            </w:r>
          </w:p>
          <w:p>
            <w:pPr>
              <w:pStyle w:val="128"/>
              <w:spacing w:line="276" w:lineRule="auto"/>
              <w:rPr>
                <w:rFonts w:ascii="宋体" w:hAnsi="宋体" w:cs="宋体"/>
                <w:sz w:val="21"/>
                <w:szCs w:val="21"/>
                <w:lang w:eastAsia="zh-CN" w:bidi="ar"/>
              </w:rPr>
            </w:pPr>
            <w:r>
              <w:rPr>
                <w:rFonts w:ascii="宋体" w:hAnsi="宋体" w:cs="宋体"/>
                <w:sz w:val="21"/>
                <w:szCs w:val="21"/>
                <w:lang w:eastAsia="zh-CN" w:bidi="ar"/>
              </w:rPr>
              <w:t>1、对本项目要求完成的工作目标和服务内容理解准确、能响应所有采购需求，能正确指出项目的特点和重点，得10分；</w:t>
            </w:r>
          </w:p>
          <w:p>
            <w:pPr>
              <w:pStyle w:val="128"/>
              <w:spacing w:line="276" w:lineRule="auto"/>
              <w:rPr>
                <w:rFonts w:ascii="宋体" w:hAnsi="宋体" w:cs="宋体"/>
                <w:sz w:val="21"/>
                <w:szCs w:val="21"/>
                <w:lang w:eastAsia="zh-CN" w:bidi="ar"/>
              </w:rPr>
            </w:pPr>
            <w:r>
              <w:rPr>
                <w:rFonts w:ascii="宋体" w:hAnsi="宋体" w:cs="宋体"/>
                <w:sz w:val="21"/>
                <w:szCs w:val="21"/>
                <w:lang w:eastAsia="zh-CN" w:bidi="ar"/>
              </w:rPr>
              <w:t>2、对本项目要求完成的工作目标和服务内容理解比较准确，能响应大部分采购需求，能正确指出项目的特点和重点，得7分；</w:t>
            </w:r>
          </w:p>
          <w:p>
            <w:pPr>
              <w:pStyle w:val="128"/>
              <w:spacing w:line="276" w:lineRule="auto"/>
              <w:rPr>
                <w:rFonts w:ascii="宋体" w:hAnsi="宋体" w:cs="宋体"/>
                <w:sz w:val="21"/>
                <w:szCs w:val="21"/>
                <w:lang w:eastAsia="zh-CN" w:bidi="ar"/>
              </w:rPr>
            </w:pPr>
            <w:r>
              <w:rPr>
                <w:rFonts w:ascii="宋体" w:hAnsi="宋体" w:cs="宋体"/>
                <w:sz w:val="21"/>
                <w:szCs w:val="21"/>
                <w:lang w:eastAsia="zh-CN" w:bidi="ar"/>
              </w:rPr>
              <w:t>3、对本项目要求完成的工作目标和服务内容理解基本准确，能基本响应大部分采购需求，能基本指出项目特点和重点，得4分；</w:t>
            </w:r>
          </w:p>
          <w:p>
            <w:pPr>
              <w:pStyle w:val="128"/>
              <w:spacing w:line="276" w:lineRule="auto"/>
              <w:rPr>
                <w:rFonts w:ascii="宋体" w:hAnsi="宋体" w:cs="宋体"/>
                <w:sz w:val="21"/>
                <w:szCs w:val="21"/>
                <w:lang w:eastAsia="zh-CN" w:bidi="ar"/>
              </w:rPr>
            </w:pPr>
            <w:r>
              <w:rPr>
                <w:rFonts w:ascii="宋体" w:hAnsi="宋体" w:cs="宋体"/>
                <w:sz w:val="21"/>
                <w:szCs w:val="21"/>
                <w:lang w:eastAsia="zh-CN" w:bidi="ar"/>
              </w:rPr>
              <w:t>4、对本项目要求完成的工作目标和服务内容理解不准确，不能响应采购需求或其他情况，得1分；</w:t>
            </w:r>
          </w:p>
          <w:p>
            <w:pPr>
              <w:pStyle w:val="128"/>
              <w:spacing w:line="276" w:lineRule="auto"/>
              <w:rPr>
                <w:rFonts w:ascii="宋体" w:hAnsi="宋体" w:cs="宋体"/>
                <w:sz w:val="21"/>
                <w:szCs w:val="21"/>
                <w:lang w:eastAsia="zh-CN"/>
              </w:rPr>
            </w:pPr>
            <w:r>
              <w:rPr>
                <w:rFonts w:ascii="宋体" w:hAnsi="宋体" w:cs="宋体"/>
                <w:sz w:val="21"/>
                <w:szCs w:val="21"/>
                <w:lang w:eastAsia="zh-CN"/>
              </w:rPr>
              <w:t>5、未提供相关内容则不得分。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Merge w:val="continue"/>
            <w:vAlign w:val="center"/>
          </w:tcPr>
          <w:p>
            <w:pPr>
              <w:pStyle w:val="128"/>
              <w:spacing w:line="276" w:lineRule="auto"/>
              <w:jc w:val="center"/>
              <w:rPr>
                <w:rFonts w:ascii="宋体" w:hAnsi="宋体"/>
                <w:sz w:val="21"/>
                <w:szCs w:val="21"/>
              </w:rPr>
            </w:pPr>
          </w:p>
        </w:tc>
        <w:tc>
          <w:tcPr>
            <w:tcW w:w="718" w:type="pct"/>
            <w:vAlign w:val="center"/>
          </w:tcPr>
          <w:p>
            <w:pPr>
              <w:pStyle w:val="128"/>
              <w:spacing w:line="276" w:lineRule="auto"/>
              <w:jc w:val="center"/>
              <w:rPr>
                <w:rFonts w:ascii="宋体" w:hAnsi="宋体" w:cs="宋体"/>
                <w:sz w:val="21"/>
                <w:szCs w:val="21"/>
                <w:lang w:eastAsia="zh-CN" w:bidi="ar"/>
              </w:rPr>
            </w:pPr>
            <w:r>
              <w:rPr>
                <w:rFonts w:ascii="宋体" w:hAnsi="宋体" w:cs="宋体"/>
                <w:sz w:val="21"/>
                <w:szCs w:val="21"/>
                <w:lang w:eastAsia="zh-CN" w:bidi="ar"/>
              </w:rPr>
              <w:t>活动执行方案</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20</w:t>
            </w:r>
          </w:p>
        </w:tc>
        <w:tc>
          <w:tcPr>
            <w:tcW w:w="3201" w:type="pct"/>
          </w:tcPr>
          <w:p>
            <w:pPr>
              <w:pStyle w:val="128"/>
              <w:spacing w:line="276" w:lineRule="auto"/>
              <w:rPr>
                <w:rFonts w:ascii="宋体" w:hAnsi="宋体" w:cs="宋体"/>
                <w:sz w:val="21"/>
                <w:szCs w:val="21"/>
              </w:rPr>
            </w:pPr>
            <w:r>
              <w:rPr>
                <w:rFonts w:ascii="宋体" w:hAnsi="宋体" w:cs="宋体"/>
                <w:sz w:val="21"/>
                <w:szCs w:val="21"/>
              </w:rPr>
              <w:t>考察投标人提供的活动策划及执行服务方案，方案内容应包括但不限于针对需求书中所列活动场地的布置方案（包括布置深化设计效果图等）、活动实施方案、现场会务服务方案等。根据上述内容要点进行综合评分，具体如下：</w:t>
            </w:r>
          </w:p>
          <w:p>
            <w:pPr>
              <w:pStyle w:val="128"/>
              <w:spacing w:line="276" w:lineRule="auto"/>
              <w:rPr>
                <w:rFonts w:ascii="宋体" w:hAnsi="宋体" w:cs="宋体"/>
                <w:sz w:val="21"/>
                <w:szCs w:val="21"/>
              </w:rPr>
            </w:pPr>
            <w:r>
              <w:rPr>
                <w:rFonts w:ascii="宋体" w:hAnsi="宋体" w:cs="宋体"/>
                <w:sz w:val="21"/>
                <w:szCs w:val="21"/>
              </w:rPr>
              <w:t>1、实施方案详细、思路清晰，能够覆盖需求书所列各要点内容，针对要点内容也有相应的对应实施措施，可行性强，能够满足实际需求，得20分；</w:t>
            </w:r>
          </w:p>
          <w:p>
            <w:pPr>
              <w:pStyle w:val="128"/>
              <w:spacing w:line="276" w:lineRule="auto"/>
              <w:rPr>
                <w:rFonts w:ascii="宋体" w:hAnsi="宋体" w:cs="宋体"/>
                <w:sz w:val="21"/>
                <w:szCs w:val="21"/>
              </w:rPr>
            </w:pPr>
            <w:r>
              <w:rPr>
                <w:rFonts w:ascii="宋体" w:hAnsi="宋体" w:cs="宋体"/>
                <w:sz w:val="21"/>
                <w:szCs w:val="21"/>
              </w:rPr>
              <w:t>2、实施方案比较详细，思路也比较清晰，基本能够覆盖需求书所列各要点内容，可行性较强，基本能够满足实际需求，得15分；</w:t>
            </w:r>
          </w:p>
          <w:p>
            <w:pPr>
              <w:pStyle w:val="128"/>
              <w:spacing w:line="276" w:lineRule="auto"/>
              <w:rPr>
                <w:rFonts w:ascii="宋体" w:hAnsi="宋体" w:cs="宋体"/>
                <w:sz w:val="21"/>
                <w:szCs w:val="21"/>
              </w:rPr>
            </w:pPr>
            <w:r>
              <w:rPr>
                <w:rFonts w:ascii="宋体" w:hAnsi="宋体" w:cs="宋体"/>
                <w:sz w:val="21"/>
                <w:szCs w:val="21"/>
              </w:rPr>
              <w:t>3、实施方案一般，整体内容较为笼统，针对需求书所列的内容要点存在欠缺（缺少布置深化设计效果图），可行性一般，得10分；</w:t>
            </w:r>
          </w:p>
          <w:p>
            <w:pPr>
              <w:pStyle w:val="128"/>
              <w:spacing w:line="276" w:lineRule="auto"/>
              <w:rPr>
                <w:rFonts w:ascii="宋体" w:hAnsi="宋体" w:cs="宋体"/>
                <w:sz w:val="21"/>
                <w:szCs w:val="21"/>
              </w:rPr>
            </w:pPr>
            <w:r>
              <w:rPr>
                <w:rFonts w:ascii="宋体" w:hAnsi="宋体" w:cs="宋体"/>
                <w:sz w:val="21"/>
                <w:szCs w:val="21"/>
              </w:rPr>
              <w:t>4、实施方案较差，无法体现需求书所列各要点或存在严重的偏差，可行性较差，得5分；</w:t>
            </w:r>
          </w:p>
          <w:p>
            <w:pPr>
              <w:pStyle w:val="128"/>
              <w:spacing w:line="276" w:lineRule="auto"/>
              <w:rPr>
                <w:rFonts w:ascii="宋体" w:hAnsi="宋体" w:cs="宋体"/>
                <w:sz w:val="21"/>
                <w:szCs w:val="21"/>
              </w:rPr>
            </w:pPr>
            <w:r>
              <w:rPr>
                <w:rFonts w:ascii="宋体" w:hAnsi="宋体" w:cs="宋体"/>
                <w:sz w:val="21"/>
                <w:szCs w:val="21"/>
              </w:rPr>
              <w:t>5、未提供相关内容则不得分。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Merge w:val="continue"/>
            <w:vAlign w:val="center"/>
          </w:tcPr>
          <w:p>
            <w:pPr>
              <w:pStyle w:val="128"/>
              <w:spacing w:line="276" w:lineRule="auto"/>
              <w:jc w:val="center"/>
              <w:rPr>
                <w:rFonts w:ascii="宋体" w:hAnsi="宋体"/>
                <w:sz w:val="21"/>
                <w:szCs w:val="21"/>
              </w:rPr>
            </w:pPr>
          </w:p>
        </w:tc>
        <w:tc>
          <w:tcPr>
            <w:tcW w:w="718" w:type="pct"/>
            <w:vAlign w:val="center"/>
          </w:tcPr>
          <w:p>
            <w:pPr>
              <w:pStyle w:val="128"/>
              <w:spacing w:line="276" w:lineRule="auto"/>
              <w:jc w:val="center"/>
              <w:rPr>
                <w:rFonts w:ascii="宋体" w:hAnsi="宋体" w:cs="宋体"/>
                <w:sz w:val="21"/>
                <w:szCs w:val="21"/>
                <w:lang w:eastAsia="zh-CN" w:bidi="ar"/>
              </w:rPr>
            </w:pPr>
            <w:r>
              <w:rPr>
                <w:rFonts w:ascii="宋体" w:hAnsi="宋体" w:cs="宋体"/>
                <w:sz w:val="21"/>
                <w:szCs w:val="21"/>
                <w:lang w:eastAsia="zh-CN" w:bidi="ar"/>
              </w:rPr>
              <w:t>行程服务方案</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10</w:t>
            </w:r>
          </w:p>
        </w:tc>
        <w:tc>
          <w:tcPr>
            <w:tcW w:w="3201" w:type="pct"/>
          </w:tcPr>
          <w:p>
            <w:pPr>
              <w:pStyle w:val="128"/>
              <w:spacing w:line="276" w:lineRule="auto"/>
              <w:rPr>
                <w:rFonts w:ascii="宋体" w:hAnsi="宋体" w:cs="宋体"/>
                <w:szCs w:val="21"/>
              </w:rPr>
            </w:pPr>
            <w:r>
              <w:rPr>
                <w:rFonts w:ascii="宋体" w:hAnsi="宋体" w:cs="宋体"/>
                <w:szCs w:val="21"/>
              </w:rPr>
              <w:t>考察投标人提供的全程行程服务方案，方案内容应包括但不限于住宿安排、公共交通、保险（如境外旅行险）、全程翻译等服务。根据上述内容要点进行综合评分，具体如下：</w:t>
            </w:r>
          </w:p>
          <w:p>
            <w:pPr>
              <w:pStyle w:val="128"/>
              <w:spacing w:line="276" w:lineRule="auto"/>
              <w:rPr>
                <w:rFonts w:ascii="宋体" w:hAnsi="宋体" w:cs="宋体"/>
                <w:szCs w:val="21"/>
              </w:rPr>
            </w:pPr>
            <w:r>
              <w:rPr>
                <w:rFonts w:ascii="宋体" w:hAnsi="宋体" w:cs="宋体"/>
                <w:szCs w:val="21"/>
              </w:rPr>
              <w:t>1、投标人提供的服务保障体系，包含住宿安排、公共交通、保险（如境外旅行险）、全程翻译等合理性的服务保障体系，内容详细、可行性高，能够满足实际需求，得10分；</w:t>
            </w:r>
          </w:p>
          <w:p>
            <w:pPr>
              <w:pStyle w:val="128"/>
              <w:spacing w:line="276" w:lineRule="auto"/>
              <w:rPr>
                <w:rFonts w:ascii="宋体" w:hAnsi="宋体" w:cs="宋体"/>
                <w:szCs w:val="21"/>
              </w:rPr>
            </w:pPr>
            <w:r>
              <w:rPr>
                <w:rFonts w:ascii="宋体" w:hAnsi="宋体" w:cs="宋体"/>
                <w:szCs w:val="21"/>
              </w:rPr>
              <w:t>2、投标人提供的服务保障体系，包含住宿安排、公共交通、保险（如境外旅行险）、全程翻译等合理性的服务保障体系，内容较详细、可行性较高，基本能够满足实际需求，得7分；</w:t>
            </w:r>
          </w:p>
          <w:p>
            <w:pPr>
              <w:pStyle w:val="128"/>
              <w:spacing w:line="276" w:lineRule="auto"/>
              <w:rPr>
                <w:rFonts w:ascii="宋体" w:hAnsi="宋体" w:cs="宋体"/>
                <w:szCs w:val="21"/>
              </w:rPr>
            </w:pPr>
            <w:r>
              <w:rPr>
                <w:rFonts w:ascii="宋体" w:hAnsi="宋体" w:cs="宋体"/>
                <w:szCs w:val="21"/>
              </w:rPr>
              <w:t>3、投标人提供的服务保障体系，包含住宿安排、公共交通、保险（如境外旅行险）、全程翻译等合理性的服务保障体系，内容较为简单、部分内容未能展开阐述，可行性一般，得4分；</w:t>
            </w:r>
          </w:p>
          <w:p>
            <w:pPr>
              <w:pStyle w:val="128"/>
              <w:spacing w:line="276" w:lineRule="auto"/>
              <w:rPr>
                <w:rFonts w:ascii="宋体" w:hAnsi="宋体" w:cs="宋体"/>
                <w:szCs w:val="21"/>
              </w:rPr>
            </w:pPr>
            <w:r>
              <w:rPr>
                <w:rFonts w:ascii="宋体" w:hAnsi="宋体" w:cs="宋体"/>
                <w:szCs w:val="21"/>
              </w:rPr>
              <w:t>4、投标人提供的服务保障体系，包含住宿安排、公共交通、保险（如境外旅行险）、全程翻译等合理性的服务保障体系，内容较差，可行性较弱，得1分；</w:t>
            </w:r>
          </w:p>
          <w:p>
            <w:pPr>
              <w:pStyle w:val="128"/>
              <w:spacing w:line="276" w:lineRule="auto"/>
              <w:rPr>
                <w:rFonts w:ascii="宋体" w:hAnsi="宋体" w:cs="宋体"/>
                <w:sz w:val="21"/>
                <w:szCs w:val="21"/>
              </w:rPr>
            </w:pPr>
            <w:r>
              <w:rPr>
                <w:rFonts w:ascii="宋体" w:hAnsi="宋体" w:cs="宋体"/>
                <w:sz w:val="21"/>
                <w:szCs w:val="21"/>
              </w:rPr>
              <w:t>5、未提供相关内容则不得分。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Merge w:val="continue"/>
            <w:vAlign w:val="center"/>
          </w:tcPr>
          <w:p>
            <w:pPr>
              <w:spacing w:line="276" w:lineRule="auto"/>
              <w:jc w:val="center"/>
              <w:rPr>
                <w:rFonts w:hint="eastAsia" w:ascii="宋体" w:hAnsi="宋体" w:eastAsia="宋体"/>
                <w:szCs w:val="21"/>
              </w:rPr>
            </w:pPr>
          </w:p>
        </w:tc>
        <w:tc>
          <w:tcPr>
            <w:tcW w:w="718" w:type="pct"/>
            <w:vAlign w:val="center"/>
          </w:tcPr>
          <w:p>
            <w:pPr>
              <w:pStyle w:val="128"/>
              <w:spacing w:line="276" w:lineRule="auto"/>
              <w:jc w:val="center"/>
              <w:rPr>
                <w:rFonts w:ascii="宋体" w:hAnsi="宋体" w:cs="宋体"/>
                <w:sz w:val="21"/>
                <w:szCs w:val="21"/>
                <w:lang w:eastAsia="zh-CN" w:bidi="ar"/>
              </w:rPr>
            </w:pPr>
            <w:r>
              <w:rPr>
                <w:rFonts w:ascii="宋体" w:hAnsi="宋体" w:cs="宋体"/>
                <w:sz w:val="21"/>
                <w:szCs w:val="21"/>
                <w:lang w:eastAsia="zh-CN" w:bidi="ar"/>
              </w:rPr>
              <w:t>应急保障措施</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10</w:t>
            </w:r>
          </w:p>
        </w:tc>
        <w:tc>
          <w:tcPr>
            <w:tcW w:w="3201" w:type="pct"/>
          </w:tcPr>
          <w:p>
            <w:pPr>
              <w:pStyle w:val="128"/>
              <w:spacing w:line="276" w:lineRule="auto"/>
              <w:rPr>
                <w:rFonts w:ascii="宋体" w:hAnsi="宋体" w:cs="宋体"/>
                <w:szCs w:val="21"/>
              </w:rPr>
            </w:pPr>
            <w:r>
              <w:rPr>
                <w:rFonts w:ascii="宋体" w:hAnsi="宋体" w:cs="宋体"/>
                <w:szCs w:val="21"/>
              </w:rPr>
              <w:t>考察投标人针对本项目所编制的应急保障措施，主要内容包括但不限于应急处理方案、及时反馈制度、质量保障措施等。根据上述内容要点进行综合评分，具体如下：</w:t>
            </w:r>
          </w:p>
          <w:p>
            <w:pPr>
              <w:pStyle w:val="128"/>
              <w:spacing w:line="276" w:lineRule="auto"/>
              <w:rPr>
                <w:rFonts w:ascii="宋体" w:hAnsi="宋体" w:cs="宋体"/>
                <w:szCs w:val="21"/>
              </w:rPr>
            </w:pPr>
            <w:r>
              <w:rPr>
                <w:rFonts w:ascii="宋体" w:hAnsi="宋体" w:cs="宋体"/>
                <w:szCs w:val="21"/>
              </w:rPr>
              <w:t>1、内容合理，列有详细的应急保障措施，整体切实可行，能对项目执行起到保障作用，得10分；</w:t>
            </w:r>
          </w:p>
          <w:p>
            <w:pPr>
              <w:pStyle w:val="128"/>
              <w:spacing w:line="276" w:lineRule="auto"/>
              <w:rPr>
                <w:rFonts w:ascii="宋体" w:hAnsi="宋体" w:cs="宋体"/>
                <w:szCs w:val="21"/>
              </w:rPr>
            </w:pPr>
            <w:r>
              <w:rPr>
                <w:rFonts w:ascii="宋体" w:hAnsi="宋体" w:cs="宋体"/>
                <w:szCs w:val="21"/>
              </w:rPr>
              <w:t>2、内容较为合理，列有简单的应急保障措施，基本可行，能对项目执行起到一定保障作用，得7分；</w:t>
            </w:r>
          </w:p>
          <w:p>
            <w:pPr>
              <w:pStyle w:val="128"/>
              <w:spacing w:line="276" w:lineRule="auto"/>
              <w:rPr>
                <w:rFonts w:ascii="宋体" w:hAnsi="宋体" w:cs="宋体"/>
                <w:szCs w:val="21"/>
              </w:rPr>
            </w:pPr>
            <w:r>
              <w:rPr>
                <w:rFonts w:ascii="宋体" w:hAnsi="宋体" w:cs="宋体"/>
                <w:szCs w:val="21"/>
              </w:rPr>
              <w:t>3、内容一般，整体内容较为笼统，可行性一般，对项目执行起到保障作用较小，得4分；</w:t>
            </w:r>
          </w:p>
          <w:p>
            <w:pPr>
              <w:pStyle w:val="128"/>
              <w:spacing w:line="276" w:lineRule="auto"/>
              <w:rPr>
                <w:rFonts w:ascii="宋体" w:hAnsi="宋体" w:cs="宋体"/>
                <w:szCs w:val="21"/>
              </w:rPr>
            </w:pPr>
            <w:r>
              <w:rPr>
                <w:rFonts w:ascii="宋体" w:hAnsi="宋体" w:cs="宋体"/>
                <w:szCs w:val="21"/>
              </w:rPr>
              <w:t>4、方案内容较差，存在严重的欠缺，可行性差，得1分；</w:t>
            </w:r>
          </w:p>
          <w:p>
            <w:pPr>
              <w:pStyle w:val="128"/>
              <w:spacing w:line="276" w:lineRule="auto"/>
              <w:rPr>
                <w:rFonts w:ascii="宋体" w:hAnsi="宋体" w:cs="宋体"/>
                <w:sz w:val="21"/>
                <w:szCs w:val="21"/>
              </w:rPr>
            </w:pPr>
            <w:r>
              <w:rPr>
                <w:rFonts w:ascii="宋体" w:hAnsi="宋体" w:cs="宋体"/>
                <w:sz w:val="21"/>
                <w:szCs w:val="21"/>
              </w:rPr>
              <w:t>5、未提供相关内容则不得分。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Align w:val="center"/>
          </w:tcPr>
          <w:p>
            <w:pPr>
              <w:pStyle w:val="128"/>
              <w:spacing w:line="276" w:lineRule="auto"/>
              <w:jc w:val="center"/>
              <w:rPr>
                <w:rFonts w:ascii="宋体" w:hAnsi="宋体"/>
                <w:sz w:val="21"/>
                <w:szCs w:val="21"/>
              </w:rPr>
            </w:pPr>
            <w:r>
              <w:rPr>
                <w:rFonts w:ascii="宋体" w:hAnsi="宋体"/>
                <w:sz w:val="21"/>
                <w:szCs w:val="21"/>
              </w:rPr>
              <w:t>投标</w:t>
            </w:r>
          </w:p>
          <w:p>
            <w:pPr>
              <w:pStyle w:val="128"/>
              <w:spacing w:line="276" w:lineRule="auto"/>
              <w:jc w:val="center"/>
              <w:rPr>
                <w:rFonts w:ascii="宋体" w:hAnsi="宋体"/>
                <w:sz w:val="21"/>
                <w:szCs w:val="21"/>
              </w:rPr>
            </w:pPr>
            <w:r>
              <w:rPr>
                <w:rFonts w:ascii="宋体" w:hAnsi="宋体"/>
                <w:sz w:val="21"/>
                <w:szCs w:val="21"/>
              </w:rPr>
              <w:t>报价</w:t>
            </w:r>
          </w:p>
        </w:tc>
        <w:tc>
          <w:tcPr>
            <w:tcW w:w="718" w:type="pct"/>
            <w:vAlign w:val="center"/>
          </w:tcPr>
          <w:p>
            <w:pPr>
              <w:pStyle w:val="128"/>
              <w:spacing w:line="276" w:lineRule="auto"/>
              <w:jc w:val="center"/>
              <w:rPr>
                <w:rFonts w:ascii="宋体" w:hAnsi="宋体" w:cs="宋体"/>
                <w:sz w:val="21"/>
                <w:szCs w:val="21"/>
              </w:rPr>
            </w:pPr>
            <w:r>
              <w:rPr>
                <w:rFonts w:ascii="宋体" w:hAnsi="宋体" w:cs="宋体"/>
                <w:sz w:val="21"/>
                <w:szCs w:val="21"/>
              </w:rPr>
              <w:t>价格分</w:t>
            </w:r>
          </w:p>
        </w:tc>
        <w:tc>
          <w:tcPr>
            <w:tcW w:w="375" w:type="pct"/>
            <w:vAlign w:val="center"/>
          </w:tcPr>
          <w:p>
            <w:pPr>
              <w:pStyle w:val="128"/>
              <w:spacing w:line="276" w:lineRule="auto"/>
              <w:jc w:val="center"/>
              <w:rPr>
                <w:rFonts w:ascii="宋体" w:hAnsi="宋体" w:cs="宋体"/>
                <w:sz w:val="21"/>
                <w:szCs w:val="21"/>
                <w:lang w:eastAsia="zh-CN"/>
              </w:rPr>
            </w:pPr>
            <w:r>
              <w:rPr>
                <w:rFonts w:ascii="宋体" w:hAnsi="宋体" w:cs="宋体"/>
                <w:sz w:val="21"/>
                <w:szCs w:val="21"/>
                <w:lang w:eastAsia="zh-CN"/>
              </w:rPr>
              <w:t>20</w:t>
            </w:r>
          </w:p>
        </w:tc>
        <w:tc>
          <w:tcPr>
            <w:tcW w:w="3201" w:type="pct"/>
          </w:tcPr>
          <w:p>
            <w:pPr>
              <w:pStyle w:val="128"/>
              <w:spacing w:line="276" w:lineRule="auto"/>
              <w:rPr>
                <w:rFonts w:ascii="宋体" w:hAnsi="宋体" w:cs="宋体"/>
                <w:sz w:val="21"/>
                <w:szCs w:val="21"/>
              </w:rPr>
            </w:pPr>
            <w:r>
              <w:rPr>
                <w:rFonts w:ascii="宋体" w:hAnsi="宋体" w:cs="宋体"/>
                <w:sz w:val="21"/>
                <w:szCs w:val="21"/>
              </w:rPr>
              <w:t>本项目价格分统一采用</w:t>
            </w:r>
            <w:r>
              <w:rPr>
                <w:rFonts w:ascii="宋体" w:hAnsi="宋体" w:cs="宋体"/>
                <w:sz w:val="21"/>
                <w:szCs w:val="21"/>
                <w:u w:val="single"/>
              </w:rPr>
              <w:t>低价优先法</w:t>
            </w:r>
            <w:r>
              <w:rPr>
                <w:rFonts w:ascii="宋体" w:hAnsi="宋体" w:cs="宋体"/>
                <w:sz w:val="21"/>
                <w:szCs w:val="21"/>
              </w:rPr>
              <w:t>计算，即满足</w:t>
            </w:r>
            <w:r>
              <w:rPr>
                <w:rFonts w:ascii="宋体" w:hAnsi="宋体" w:cs="宋体"/>
                <w:sz w:val="21"/>
                <w:szCs w:val="21"/>
                <w:lang w:eastAsia="zh-CN"/>
              </w:rPr>
              <w:t>招标</w:t>
            </w:r>
            <w:r>
              <w:rPr>
                <w:rFonts w:ascii="宋体" w:hAnsi="宋体" w:cs="宋体"/>
                <w:sz w:val="21"/>
                <w:szCs w:val="21"/>
              </w:rPr>
              <w:t>文件要求且最后含税总价报价为最低的投标人报价作为基准价，其价格得分为满分，满分为</w:t>
            </w:r>
            <w:r>
              <w:rPr>
                <w:rFonts w:ascii="宋体" w:hAnsi="宋体" w:cs="宋体"/>
                <w:sz w:val="21"/>
                <w:szCs w:val="21"/>
                <w:lang w:eastAsia="zh-CN"/>
              </w:rPr>
              <w:t>2</w:t>
            </w:r>
            <w:r>
              <w:rPr>
                <w:rFonts w:ascii="宋体" w:hAnsi="宋体" w:cs="宋体"/>
                <w:sz w:val="21"/>
                <w:szCs w:val="21"/>
              </w:rPr>
              <w:t>0分。具体公式如下：</w:t>
            </w:r>
          </w:p>
          <w:p>
            <w:pPr>
              <w:pStyle w:val="128"/>
              <w:spacing w:line="276" w:lineRule="auto"/>
              <w:rPr>
                <w:rFonts w:ascii="宋体" w:hAnsi="宋体" w:cs="宋体"/>
                <w:sz w:val="21"/>
                <w:szCs w:val="21"/>
              </w:rPr>
            </w:pPr>
            <w:r>
              <w:rPr>
                <w:rFonts w:ascii="宋体" w:hAnsi="宋体" w:cs="宋体"/>
                <w:sz w:val="21"/>
                <w:szCs w:val="21"/>
              </w:rPr>
              <w:t>报价得分=（基准价/有效评审价）×价格分分值。</w:t>
            </w:r>
          </w:p>
          <w:p>
            <w:pPr>
              <w:pStyle w:val="128"/>
              <w:spacing w:line="276" w:lineRule="auto"/>
              <w:rPr>
                <w:rFonts w:ascii="宋体" w:hAnsi="宋体" w:cs="宋体"/>
                <w:sz w:val="21"/>
                <w:szCs w:val="21"/>
              </w:rPr>
            </w:pPr>
            <w:r>
              <w:rPr>
                <w:rFonts w:ascii="宋体" w:hAnsi="宋体" w:cs="宋体"/>
                <w:sz w:val="21"/>
                <w:szCs w:val="21"/>
              </w:rPr>
              <w:t>说明：本项目有效评审价为通过初步评审的报价投标人项目总价（含税）。如价格有算术性修正，请以修正后的价格为准。</w:t>
            </w:r>
          </w:p>
          <w:p>
            <w:pPr>
              <w:pStyle w:val="128"/>
              <w:spacing w:line="276" w:lineRule="auto"/>
              <w:rPr>
                <w:rFonts w:ascii="宋体" w:hAnsi="宋体" w:cs="宋体"/>
                <w:sz w:val="21"/>
                <w:szCs w:val="21"/>
              </w:rPr>
            </w:pPr>
            <w:r>
              <w:rPr>
                <w:rFonts w:ascii="宋体" w:hAnsi="宋体" w:cs="宋体"/>
                <w:sz w:val="21"/>
                <w:szCs w:val="21"/>
              </w:rPr>
              <w:t>备注：价格得分四舍五入，小数点后保留两位有效数。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4" w:type="pct"/>
            <w:vAlign w:val="center"/>
          </w:tcPr>
          <w:p>
            <w:pPr>
              <w:pStyle w:val="128"/>
              <w:spacing w:line="276" w:lineRule="auto"/>
              <w:jc w:val="center"/>
              <w:rPr>
                <w:rFonts w:ascii="宋体" w:hAnsi="宋体"/>
                <w:sz w:val="21"/>
                <w:szCs w:val="21"/>
                <w:lang w:eastAsia="zh-CN"/>
              </w:rPr>
            </w:pPr>
            <w:r>
              <w:rPr>
                <w:rFonts w:ascii="宋体" w:hAnsi="宋体"/>
                <w:sz w:val="21"/>
                <w:szCs w:val="21"/>
                <w:lang w:eastAsia="zh-CN"/>
              </w:rPr>
              <w:t>备注</w:t>
            </w:r>
          </w:p>
        </w:tc>
        <w:tc>
          <w:tcPr>
            <w:tcW w:w="4295" w:type="pct"/>
            <w:gridSpan w:val="3"/>
            <w:vAlign w:val="center"/>
          </w:tcPr>
          <w:p>
            <w:pPr>
              <w:spacing w:before="146" w:line="231" w:lineRule="auto"/>
              <w:rPr>
                <w:rFonts w:hint="eastAsia" w:ascii="宋体" w:hAnsi="宋体" w:eastAsia="宋体" w:cs="宋体"/>
                <w:szCs w:val="21"/>
              </w:rPr>
            </w:pPr>
            <w:r>
              <w:rPr>
                <w:rFonts w:hint="eastAsia" w:ascii="宋体" w:hAnsi="宋体" w:eastAsia="宋体" w:cs="宋体"/>
                <w:b/>
                <w:bCs/>
                <w:spacing w:val="7"/>
                <w:szCs w:val="21"/>
              </w:rPr>
              <w:t>本项目商务部分设置评分基准</w:t>
            </w:r>
            <w:r>
              <w:rPr>
                <w:rFonts w:hint="eastAsia" w:ascii="宋体" w:hAnsi="宋体" w:eastAsia="宋体" w:cs="宋体"/>
                <w:b/>
                <w:bCs/>
                <w:spacing w:val="1"/>
                <w:szCs w:val="21"/>
              </w:rPr>
              <w:t>线。若投标人的商务评分低于基准线，其投标将被视为存在</w:t>
            </w:r>
            <w:r>
              <w:rPr>
                <w:rFonts w:hint="eastAsia" w:ascii="宋体" w:hAnsi="宋体" w:eastAsia="宋体" w:cs="宋体"/>
                <w:b/>
                <w:bCs/>
                <w:spacing w:val="6"/>
                <w:szCs w:val="21"/>
              </w:rPr>
              <w:t>重大商务技术偏差，其投标文件作无效投标处理。</w:t>
            </w:r>
          </w:p>
          <w:p>
            <w:pPr>
              <w:pStyle w:val="128"/>
              <w:spacing w:line="276" w:lineRule="auto"/>
              <w:rPr>
                <w:rFonts w:ascii="宋体" w:hAnsi="宋体" w:cs="宋体"/>
                <w:sz w:val="21"/>
                <w:szCs w:val="21"/>
              </w:rPr>
            </w:pPr>
            <w:r>
              <w:rPr>
                <w:rFonts w:ascii="宋体" w:hAnsi="宋体" w:cs="宋体"/>
                <w:b/>
                <w:bCs/>
                <w:spacing w:val="6"/>
                <w:sz w:val="21"/>
                <w:szCs w:val="21"/>
              </w:rPr>
              <w:t>商务评分基准线=本项目商务部</w:t>
            </w:r>
            <w:r>
              <w:rPr>
                <w:rFonts w:ascii="宋体" w:hAnsi="宋体" w:cs="宋体"/>
                <w:b/>
                <w:bCs/>
                <w:sz w:val="21"/>
                <w:szCs w:val="21"/>
              </w:rPr>
              <w:t>分分值×60%（即</w:t>
            </w:r>
            <w:r>
              <w:rPr>
                <w:rFonts w:ascii="宋体" w:hAnsi="宋体" w:cs="宋体"/>
                <w:b/>
                <w:bCs/>
                <w:sz w:val="21"/>
                <w:szCs w:val="21"/>
                <w:lang w:eastAsia="zh-CN"/>
              </w:rPr>
              <w:t>3</w:t>
            </w:r>
            <w:r>
              <w:rPr>
                <w:rFonts w:ascii="宋体" w:hAnsi="宋体" w:cs="宋体"/>
                <w:b/>
                <w:bCs/>
                <w:sz w:val="21"/>
                <w:szCs w:val="21"/>
              </w:rPr>
              <w:t>0×60%=1</w:t>
            </w:r>
            <w:r>
              <w:rPr>
                <w:rFonts w:ascii="宋体" w:hAnsi="宋体" w:cs="宋体"/>
                <w:b/>
                <w:bCs/>
                <w:sz w:val="21"/>
                <w:szCs w:val="21"/>
                <w:lang w:eastAsia="zh-CN"/>
              </w:rPr>
              <w:t>8</w:t>
            </w:r>
            <w:r>
              <w:rPr>
                <w:rFonts w:ascii="宋体" w:hAnsi="宋体" w:cs="宋体"/>
                <w:b/>
                <w:bCs/>
                <w:sz w:val="21"/>
                <w:szCs w:val="21"/>
              </w:rPr>
              <w:t>分）</w:t>
            </w:r>
          </w:p>
        </w:tc>
      </w:tr>
    </w:tbl>
    <w:p>
      <w:pPr>
        <w:keepNext/>
        <w:keepLines/>
        <w:spacing w:line="360" w:lineRule="auto"/>
        <w:rPr>
          <w:rFonts w:hint="eastAsia" w:ascii="宋体" w:hAnsi="宋体" w:eastAsia="宋体"/>
          <w:color w:val="000000" w:themeColor="text1"/>
          <w:sz w:val="22"/>
          <w14:textFill>
            <w14:solidFill>
              <w14:schemeClr w14:val="tx1"/>
            </w14:solidFill>
          </w14:textFill>
        </w:rPr>
      </w:pPr>
    </w:p>
    <w:bookmarkEnd w:id="102"/>
    <w:bookmarkEnd w:id="103"/>
    <w:bookmarkEnd w:id="104"/>
    <w:bookmarkEnd w:id="105"/>
    <w:bookmarkEnd w:id="106"/>
    <w:p>
      <w:pPr>
        <w:pStyle w:val="2"/>
        <w:keepNext w:val="0"/>
        <w:keepLines w:val="0"/>
        <w:pageBreakBefore/>
        <w:spacing w:line="360" w:lineRule="auto"/>
        <w:jc w:val="center"/>
        <w:rPr>
          <w:rFonts w:hint="eastAsia" w:ascii="宋体" w:hAnsi="宋体" w:eastAsia="宋体"/>
          <w:color w:val="000000" w:themeColor="text1"/>
          <w:spacing w:val="20"/>
          <w:sz w:val="36"/>
          <w:szCs w:val="36"/>
          <w14:textFill>
            <w14:solidFill>
              <w14:schemeClr w14:val="tx1"/>
            </w14:solidFill>
          </w14:textFill>
        </w:rPr>
      </w:pPr>
      <w:bookmarkStart w:id="107" w:name="_Toc6449"/>
      <w:bookmarkStart w:id="108" w:name="_Toc853"/>
      <w:bookmarkStart w:id="109" w:name="_Toc10024"/>
      <w:bookmarkStart w:id="110" w:name="_Toc391627753"/>
      <w:bookmarkStart w:id="111" w:name="_Toc405313957"/>
      <w:r>
        <w:rPr>
          <w:rFonts w:hint="eastAsia" w:ascii="宋体" w:hAnsi="宋体" w:eastAsia="宋体"/>
          <w:color w:val="000000" w:themeColor="text1"/>
          <w:spacing w:val="20"/>
          <w:sz w:val="36"/>
          <w:szCs w:val="36"/>
          <w14:textFill>
            <w14:solidFill>
              <w14:schemeClr w14:val="tx1"/>
            </w14:solidFill>
          </w14:textFill>
        </w:rPr>
        <w:t>第六部分  合同书文本</w:t>
      </w:r>
      <w:bookmarkEnd w:id="107"/>
      <w:bookmarkEnd w:id="108"/>
      <w:bookmarkEnd w:id="109"/>
    </w:p>
    <w:p>
      <w:pPr>
        <w:widowControl/>
        <w:snapToGrid w:val="0"/>
        <w:spacing w:line="360" w:lineRule="auto"/>
        <w:rPr>
          <w:rFonts w:hint="eastAsia" w:ascii="宋体" w:hAnsi="宋体" w:eastAsia="宋体" w:cs="宋体"/>
          <w:color w:val="000000"/>
          <w:kern w:val="0"/>
          <w:szCs w:val="21"/>
          <w:u w:val="single"/>
          <w:lang w:bidi="ar"/>
        </w:rPr>
      </w:pPr>
      <w:r>
        <w:rPr>
          <w:rFonts w:hint="eastAsia" w:ascii="宋体" w:hAnsi="宋体" w:eastAsia="宋体" w:cs="宋体"/>
          <w:color w:val="000000"/>
          <w:kern w:val="0"/>
          <w:szCs w:val="21"/>
          <w:lang w:bidi="ar"/>
        </w:rPr>
        <w:t>甲方：</w:t>
      </w:r>
      <w:r>
        <w:rPr>
          <w:rFonts w:hint="eastAsia" w:ascii="宋体" w:hAnsi="宋体" w:eastAsia="宋体" w:cs="宋体"/>
          <w:color w:val="000000"/>
          <w:kern w:val="0"/>
          <w:szCs w:val="21"/>
          <w:u w:val="single"/>
          <w:lang w:bidi="ar"/>
        </w:rPr>
        <w:t xml:space="preserve"> 今日（广东）国际传播有限公司 </w:t>
      </w:r>
    </w:p>
    <w:p>
      <w:pPr>
        <w:widowControl/>
        <w:snapToGrid w:val="0"/>
        <w:spacing w:line="360" w:lineRule="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地址：</w:t>
      </w:r>
      <w:r>
        <w:rPr>
          <w:rFonts w:hint="eastAsia" w:ascii="宋体" w:hAnsi="宋体" w:eastAsia="宋体" w:cs="宋体"/>
          <w:color w:val="000000"/>
          <w:kern w:val="0"/>
          <w:szCs w:val="21"/>
          <w:u w:val="single"/>
          <w:lang w:bidi="ar"/>
        </w:rPr>
        <w:t xml:space="preserve"> 广州大道中289号南方传媒大厦A座2508 </w:t>
      </w:r>
    </w:p>
    <w:p>
      <w:pPr>
        <w:widowControl/>
        <w:snapToGrid w:val="0"/>
        <w:spacing w:line="360" w:lineRule="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联系人：</w:t>
      </w:r>
      <w:r>
        <w:rPr>
          <w:rFonts w:hint="eastAsia" w:ascii="宋体" w:hAnsi="宋体" w:eastAsia="宋体" w:cs="宋体"/>
          <w:color w:val="000000"/>
          <w:kern w:val="0"/>
          <w:szCs w:val="21"/>
          <w:u w:val="single"/>
          <w:lang w:bidi="ar"/>
        </w:rPr>
        <w:t xml:space="preserve">          </w:t>
      </w:r>
    </w:p>
    <w:p>
      <w:pPr>
        <w:widowControl/>
        <w:snapToGrid w:val="0"/>
        <w:spacing w:line="360" w:lineRule="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联系方式：</w:t>
      </w:r>
      <w:r>
        <w:rPr>
          <w:rFonts w:hint="eastAsia" w:ascii="宋体" w:hAnsi="宋体" w:eastAsia="宋体" w:cs="宋体"/>
          <w:color w:val="000000"/>
          <w:kern w:val="0"/>
          <w:szCs w:val="21"/>
          <w:u w:val="single"/>
          <w:lang w:bidi="ar"/>
        </w:rPr>
        <w:t xml:space="preserve">     </w:t>
      </w:r>
    </w:p>
    <w:p>
      <w:pPr>
        <w:widowControl/>
        <w:snapToGrid w:val="0"/>
        <w:spacing w:line="360" w:lineRule="auto"/>
        <w:rPr>
          <w:rFonts w:hint="eastAsia" w:ascii="宋体" w:hAnsi="宋体" w:eastAsia="宋体" w:cs="宋体"/>
          <w:color w:val="000000"/>
          <w:kern w:val="0"/>
          <w:szCs w:val="21"/>
          <w:lang w:bidi="ar"/>
        </w:rPr>
      </w:pPr>
    </w:p>
    <w:p>
      <w:pPr>
        <w:widowControl/>
        <w:snapToGrid w:val="0"/>
        <w:spacing w:line="360" w:lineRule="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乙 方：</w:t>
      </w:r>
      <w:r>
        <w:rPr>
          <w:rFonts w:hint="eastAsia" w:ascii="宋体" w:hAnsi="宋体" w:eastAsia="宋体" w:cs="宋体"/>
          <w:color w:val="000000"/>
          <w:kern w:val="0"/>
          <w:szCs w:val="21"/>
          <w:u w:val="single"/>
          <w:lang w:bidi="ar"/>
        </w:rPr>
        <w:t xml:space="preserve">                </w:t>
      </w:r>
    </w:p>
    <w:p>
      <w:pPr>
        <w:widowControl/>
        <w:snapToGrid w:val="0"/>
        <w:spacing w:line="360" w:lineRule="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地址：</w:t>
      </w:r>
      <w:r>
        <w:rPr>
          <w:rFonts w:hint="eastAsia" w:ascii="宋体" w:hAnsi="宋体" w:eastAsia="宋体" w:cs="宋体"/>
          <w:color w:val="000000"/>
          <w:kern w:val="0"/>
          <w:szCs w:val="21"/>
          <w:u w:val="single"/>
          <w:lang w:bidi="ar"/>
        </w:rPr>
        <w:t xml:space="preserve">                  </w:t>
      </w:r>
    </w:p>
    <w:p>
      <w:pPr>
        <w:widowControl/>
        <w:snapToGrid w:val="0"/>
        <w:spacing w:line="360" w:lineRule="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联系人：</w:t>
      </w:r>
      <w:r>
        <w:rPr>
          <w:rFonts w:hint="eastAsia" w:ascii="宋体" w:hAnsi="宋体" w:eastAsia="宋体" w:cs="宋体"/>
          <w:color w:val="000000"/>
          <w:kern w:val="0"/>
          <w:szCs w:val="21"/>
          <w:u w:val="single"/>
          <w:lang w:bidi="ar"/>
        </w:rPr>
        <w:t xml:space="preserve">                           </w:t>
      </w:r>
    </w:p>
    <w:p>
      <w:pPr>
        <w:widowControl/>
        <w:snapToGrid w:val="0"/>
        <w:spacing w:line="360" w:lineRule="auto"/>
        <w:rPr>
          <w:rFonts w:hint="eastAsia" w:ascii="宋体" w:hAnsi="宋体" w:eastAsia="宋体" w:cs="宋体"/>
          <w:color w:val="000000"/>
          <w:kern w:val="0"/>
          <w:szCs w:val="21"/>
          <w:u w:val="single"/>
          <w:lang w:bidi="ar"/>
        </w:rPr>
      </w:pPr>
      <w:r>
        <w:rPr>
          <w:rFonts w:hint="eastAsia" w:ascii="宋体" w:hAnsi="宋体" w:eastAsia="宋体" w:cs="宋体"/>
          <w:color w:val="000000"/>
          <w:kern w:val="0"/>
          <w:szCs w:val="21"/>
          <w:lang w:bidi="ar"/>
        </w:rPr>
        <w:t>联系方式：</w:t>
      </w:r>
      <w:r>
        <w:rPr>
          <w:rFonts w:hint="eastAsia" w:ascii="宋体" w:hAnsi="宋体" w:eastAsia="宋体" w:cs="宋体"/>
          <w:color w:val="000000"/>
          <w:kern w:val="0"/>
          <w:szCs w:val="21"/>
          <w:u w:val="single"/>
          <w:lang w:bidi="ar"/>
        </w:rPr>
        <w:t xml:space="preserve">                        </w:t>
      </w:r>
    </w:p>
    <w:p>
      <w:pPr>
        <w:widowControl/>
        <w:spacing w:line="360" w:lineRule="auto"/>
        <w:jc w:val="left"/>
        <w:rPr>
          <w:rFonts w:hint="eastAsia" w:ascii="宋体" w:hAnsi="宋体" w:eastAsia="宋体" w:cs="宋体"/>
          <w:szCs w:val="21"/>
        </w:rPr>
      </w:pPr>
    </w:p>
    <w:p>
      <w:pPr>
        <w:widowControl/>
        <w:numPr>
          <w:ilvl w:val="255"/>
          <w:numId w:val="0"/>
        </w:numPr>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甲、乙双方经过平等友好协商，依照《中华人民共和国民法典》等相关法律法规，现就甲方委托乙方完成</w:t>
      </w:r>
      <w:r>
        <w:rPr>
          <w:rFonts w:hint="eastAsia" w:ascii="宋体" w:hAnsi="宋体" w:eastAsia="宋体" w:cs="宋体"/>
          <w:color w:val="000000"/>
          <w:kern w:val="0"/>
          <w:szCs w:val="21"/>
          <w:u w:val="single"/>
          <w:lang w:bidi="ar"/>
        </w:rPr>
        <w:t xml:space="preserve"> </w:t>
      </w:r>
      <w:r>
        <w:rPr>
          <w:rFonts w:ascii="宋体" w:hAnsi="宋体" w:eastAsia="宋体" w:cs="宋体"/>
          <w:color w:val="000000"/>
          <w:kern w:val="0"/>
          <w:szCs w:val="21"/>
          <w:u w:val="single"/>
          <w:lang w:bidi="ar"/>
        </w:rPr>
        <w:t>赴柬埔寨、印尼开展文化交流活动及行程服务项目</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事宜达成如下合同，以资共同遵守。</w:t>
      </w:r>
    </w:p>
    <w:p>
      <w:pPr>
        <w:widowControl/>
        <w:spacing w:line="360" w:lineRule="auto"/>
        <w:jc w:val="left"/>
        <w:rPr>
          <w:rFonts w:hint="eastAsia" w:ascii="宋体" w:hAnsi="宋体" w:eastAsia="宋体" w:cs="宋体"/>
          <w:szCs w:val="21"/>
        </w:rPr>
      </w:pPr>
    </w:p>
    <w:p>
      <w:pPr>
        <w:widowControl/>
        <w:snapToGrid w:val="0"/>
        <w:spacing w:line="360" w:lineRule="auto"/>
        <w:rPr>
          <w:rFonts w:hint="eastAsia" w:ascii="宋体" w:hAnsi="宋体" w:eastAsia="宋体" w:cs="宋体"/>
          <w:szCs w:val="21"/>
        </w:rPr>
      </w:pPr>
      <w:r>
        <w:rPr>
          <w:rFonts w:hint="eastAsia" w:ascii="宋体" w:hAnsi="宋体" w:eastAsia="宋体" w:cs="宋体"/>
          <w:b/>
          <w:bCs/>
          <w:color w:val="000000"/>
          <w:kern w:val="0"/>
          <w:szCs w:val="21"/>
          <w:lang w:bidi="ar"/>
        </w:rPr>
        <w:t xml:space="preserve">第一条  项目概况 </w:t>
      </w:r>
    </w:p>
    <w:p>
      <w:pPr>
        <w:widowControl/>
        <w:adjustRightInd w:val="0"/>
        <w:snapToGrid w:val="0"/>
        <w:spacing w:line="360" w:lineRule="auto"/>
        <w:ind w:firstLine="420" w:firstLineChars="200"/>
        <w:jc w:val="left"/>
        <w:rPr>
          <w:rFonts w:hint="eastAsia" w:ascii="宋体" w:hAnsi="宋体" w:eastAsia="宋体" w:cs="宋体"/>
          <w:color w:val="000000"/>
          <w:kern w:val="0"/>
          <w:szCs w:val="21"/>
          <w:u w:val="single"/>
          <w:lang w:bidi="ar"/>
        </w:rPr>
      </w:pPr>
      <w:r>
        <w:rPr>
          <w:rFonts w:hint="eastAsia" w:ascii="宋体" w:hAnsi="宋体" w:eastAsia="宋体" w:cs="宋体"/>
          <w:color w:val="000000"/>
          <w:kern w:val="0"/>
          <w:szCs w:val="21"/>
          <w:lang w:bidi="ar"/>
        </w:rPr>
        <w:t>（一）合作项目：</w:t>
      </w:r>
      <w:r>
        <w:rPr>
          <w:rFonts w:ascii="宋体" w:hAnsi="宋体" w:eastAsia="宋体" w:cs="宋体"/>
          <w:color w:val="000000"/>
          <w:kern w:val="0"/>
          <w:szCs w:val="21"/>
          <w:u w:val="single"/>
          <w:lang w:bidi="ar"/>
        </w:rPr>
        <w:t>赴柬埔寨、印尼开展文化交流活动及行程服务项目</w:t>
      </w:r>
      <w:r>
        <w:rPr>
          <w:rFonts w:hint="eastAsia" w:ascii="宋体" w:hAnsi="宋体" w:eastAsia="宋体" w:cs="宋体"/>
          <w:color w:val="000000"/>
          <w:kern w:val="0"/>
          <w:szCs w:val="21"/>
          <w:lang w:bidi="ar"/>
        </w:rPr>
        <w:t>。</w:t>
      </w:r>
    </w:p>
    <w:p>
      <w:pPr>
        <w:spacing w:line="360" w:lineRule="auto"/>
        <w:ind w:firstLine="420" w:firstLineChars="200"/>
        <w:rPr>
          <w:rFonts w:hint="eastAsia" w:ascii="宋体" w:hAnsi="宋体" w:eastAsia="宋体" w:cs="宋体"/>
          <w:color w:val="000000"/>
          <w:kern w:val="0"/>
          <w:szCs w:val="21"/>
          <w:u w:val="single"/>
          <w:lang w:bidi="ar"/>
        </w:rPr>
      </w:pPr>
      <w:r>
        <w:rPr>
          <w:rFonts w:hint="eastAsia" w:ascii="宋体" w:hAnsi="宋体" w:eastAsia="宋体" w:cs="宋体"/>
          <w:color w:val="000000"/>
          <w:kern w:val="0"/>
          <w:szCs w:val="21"/>
          <w:lang w:bidi="ar"/>
        </w:rPr>
        <w:t>（二）合作内容：</w:t>
      </w:r>
      <w:r>
        <w:rPr>
          <w:rFonts w:hint="eastAsia" w:ascii="宋体" w:hAnsi="宋体" w:eastAsia="宋体" w:cs="宋体"/>
          <w:color w:val="000000"/>
          <w:kern w:val="0"/>
          <w:szCs w:val="21"/>
          <w:u w:val="single"/>
          <w:lang w:bidi="ar"/>
        </w:rPr>
        <w:t>乙方</w:t>
      </w:r>
      <w:r>
        <w:rPr>
          <w:rFonts w:ascii="宋体" w:hAnsi="宋体" w:eastAsia="宋体" w:cs="宋体"/>
          <w:color w:val="000000"/>
          <w:kern w:val="0"/>
          <w:szCs w:val="21"/>
          <w:u w:val="single"/>
          <w:lang w:bidi="ar"/>
        </w:rPr>
        <w:t>需协助</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在柬埔寨、印尼期间，完成2场文化交流活动执行，以及</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2个团组赴柬埔寨、印尼期间（预计10人）的全程行程服务。具体包括以下内容：</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（一）柬埔寨活动执行</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2026年9月19日星期六（下午），拟于暹粒公立中山学校举办1场“粤见亚太·遇见中国（广东）好物”（柬埔寨站）、文化创意展活动，包含学校场地租赁、活动及展览效果设计、布场撤场、会务执行、物料制作、展品组织、国际及当地物流等服务。具体策划执行方案应按</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实际需求做出调整。</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服务期间，</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活动执行安排可能有变，</w:t>
      </w:r>
      <w:r>
        <w:rPr>
          <w:rFonts w:hint="eastAsia" w:ascii="宋体" w:hAnsi="宋体" w:eastAsia="宋体" w:cs="宋体"/>
          <w:color w:val="000000"/>
          <w:kern w:val="0"/>
          <w:szCs w:val="21"/>
          <w:u w:val="single"/>
          <w:lang w:bidi="ar"/>
        </w:rPr>
        <w:t>乙方</w:t>
      </w:r>
      <w:r>
        <w:rPr>
          <w:rFonts w:ascii="宋体" w:hAnsi="宋体" w:eastAsia="宋体" w:cs="宋体"/>
          <w:color w:val="000000"/>
          <w:kern w:val="0"/>
          <w:szCs w:val="21"/>
          <w:u w:val="single"/>
          <w:lang w:bidi="ar"/>
        </w:rPr>
        <w:t>按照</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实际需求提供服务。</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（二）印尼活动执行</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2026年9月22日星期二（下午），拟于雅加达核心商圈举办1场“粤见亚太·遇见中国（广东）好物”（印尼站）、文化创意展活动，包含场地租赁、活动及展览效果设计、布场撤场、会务执行、物料制作、展品组织、国际及当地物流等服务。具体策划执行方案应按</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实际需求做出调整。</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服务期间，</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活动执行安排可能有变，</w:t>
      </w:r>
      <w:r>
        <w:rPr>
          <w:rFonts w:hint="eastAsia" w:ascii="宋体" w:hAnsi="宋体" w:eastAsia="宋体" w:cs="宋体"/>
          <w:color w:val="000000"/>
          <w:kern w:val="0"/>
          <w:szCs w:val="21"/>
          <w:u w:val="single"/>
          <w:lang w:bidi="ar"/>
        </w:rPr>
        <w:t>乙方</w:t>
      </w:r>
      <w:r>
        <w:rPr>
          <w:rFonts w:ascii="宋体" w:hAnsi="宋体" w:eastAsia="宋体" w:cs="宋体"/>
          <w:color w:val="000000"/>
          <w:kern w:val="0"/>
          <w:szCs w:val="21"/>
          <w:u w:val="single"/>
          <w:lang w:bidi="ar"/>
        </w:rPr>
        <w:t>按照</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实际需求提供服务。</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（三）行程服务</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团组A（6人）：拟于2026年9月19日至9月24日赴柬埔寨、印尼</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1.协助预订往返机票服务：6人广州-金边-暹粒、暹粒-金边、金边-吉隆坡-雅加达、雅加达-日惹、日惹-雅加达-广州国际机票服务（其中1人为公务舱标准、5人为经济舱标准，优先使用国内航空公司航班），据实结算。</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2.按照政府规定的住宿餐饮标准等安排酒店住宿与用餐（</w:t>
      </w:r>
      <w:r>
        <w:rPr>
          <w:rFonts w:hint="eastAsia" w:ascii="宋体" w:hAnsi="宋体" w:eastAsia="宋体" w:cs="宋体"/>
          <w:color w:val="000000"/>
          <w:kern w:val="0"/>
          <w:szCs w:val="21"/>
          <w:u w:val="single"/>
          <w:lang w:bidi="ar"/>
        </w:rPr>
        <w:t>乙方</w:t>
      </w:r>
      <w:r>
        <w:rPr>
          <w:rFonts w:ascii="宋体" w:hAnsi="宋体" w:eastAsia="宋体" w:cs="宋体"/>
          <w:color w:val="000000"/>
          <w:kern w:val="0"/>
          <w:szCs w:val="21"/>
          <w:u w:val="single"/>
          <w:lang w:bidi="ar"/>
        </w:rPr>
        <w:t>按照1美元=6.9元人民币报价，最终以实际汇率结算）。其中包括：</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（1）住宿服务：6人预计柬埔寨暹粒2晚、柬埔寨金边1晚，标准为不超过100美元/人/天；印尼雅加达1晚、印尼日惹1晚，标准为不超过125美元/人/天；据实结算。</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（2）保险（境外旅行险）、签证等服务：赴柬埔寨、印尼往返保险及签证服务，据实结算。</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3）行程综合保障服务：6位工作人员在行程期间的城市内行程保障服务，按照广东省财政厅、广东省人民政府外事办公室《关于转发财政部外交部&lt;因公临时出国经费管理办法&gt;》（粤财行[2014]11号）、《转发财政部外交部关于调整因公临时出国住宿费标准等有关事项的通知》（粤财行[2018]17号）等因公出国有关经费使用标准要求执行，确保团组在国外顺利开展工作。</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（4）翻译服务：行程期间为6位工作人员提供翻译服务，包括1位中柬英三语翻译3天、1位中英印尼三语翻译3天。</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3.服务期间，</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实际需求具体行程可能有变，</w:t>
      </w:r>
      <w:r>
        <w:rPr>
          <w:rFonts w:hint="eastAsia" w:ascii="宋体" w:hAnsi="宋体" w:eastAsia="宋体" w:cs="宋体"/>
          <w:color w:val="000000"/>
          <w:kern w:val="0"/>
          <w:szCs w:val="21"/>
          <w:u w:val="single"/>
          <w:lang w:bidi="ar"/>
        </w:rPr>
        <w:t>乙方</w:t>
      </w:r>
      <w:r>
        <w:rPr>
          <w:rFonts w:ascii="宋体" w:hAnsi="宋体" w:eastAsia="宋体" w:cs="宋体"/>
          <w:color w:val="000000"/>
          <w:kern w:val="0"/>
          <w:szCs w:val="21"/>
          <w:u w:val="single"/>
          <w:lang w:bidi="ar"/>
        </w:rPr>
        <w:t>按照</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实际发生的行程提供服务。</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团组B（4人）：拟于2026年9月18日至23日赴柬埔寨、印尼</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1.协助预订往返机票服务：4人广州-金边-暹粒、暹粒-新加坡-雅加达、雅加达-广州国际机票服务（经济舱标准，优先使用国内航空公司航班），据实结算。</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2.按照政府规定的住宿餐饮标准等安排酒店住宿与用餐（</w:t>
      </w:r>
      <w:r>
        <w:rPr>
          <w:rFonts w:hint="eastAsia" w:ascii="宋体" w:hAnsi="宋体" w:eastAsia="宋体" w:cs="宋体"/>
          <w:color w:val="000000"/>
          <w:kern w:val="0"/>
          <w:szCs w:val="21"/>
          <w:u w:val="single"/>
          <w:lang w:bidi="ar"/>
        </w:rPr>
        <w:t>乙方</w:t>
      </w:r>
      <w:r>
        <w:rPr>
          <w:rFonts w:ascii="宋体" w:hAnsi="宋体" w:eastAsia="宋体" w:cs="宋体"/>
          <w:color w:val="000000"/>
          <w:kern w:val="0"/>
          <w:szCs w:val="21"/>
          <w:u w:val="single"/>
          <w:lang w:bidi="ar"/>
        </w:rPr>
        <w:t>按照1美元=6.9元人民币报价，最终以实际汇率结算）。其中包括：</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（1）住宿服务：4人预计柬埔寨暹粒2晚、标准为不超过100美元/人/天；印尼雅加达3晚、标准为不超过125美元/人/天；据实结算。</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（2）保险（境外旅行险）、签证等服务：赴柬埔寨、印尼往返保险及签证服务，据实结算。</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3）行程综合保障服务：4位工作人员在行程期间的城市内行程保障服务，按照广东省财政厅、广东省人民政府外事办公室《关于转发财政部外交部&lt;因公临时出国经费管理办法&gt;》（粤财行[2014]11号）、《转发财政部外交部关于调整因公临时出国住宿费标准等有关事项的通知》（粤财行[2018]17号）等因公出国有关经费使用标准要求执行，确保团组在国外顺利开展工作。</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（4）翻译服务：行程期间为4位工作人员提供翻译服务，包括1位中柬英三语翻译3天、1位中英印尼三语翻译3天。</w:t>
      </w:r>
    </w:p>
    <w:p>
      <w:pPr>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3.服务期间，</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实际需求具体行程可能有变，</w:t>
      </w:r>
      <w:r>
        <w:rPr>
          <w:rFonts w:hint="eastAsia" w:ascii="宋体" w:hAnsi="宋体" w:eastAsia="宋体" w:cs="宋体"/>
          <w:color w:val="000000"/>
          <w:kern w:val="0"/>
          <w:szCs w:val="21"/>
          <w:u w:val="single"/>
          <w:lang w:bidi="ar"/>
        </w:rPr>
        <w:t>乙方</w:t>
      </w:r>
      <w:r>
        <w:rPr>
          <w:rFonts w:ascii="宋体" w:hAnsi="宋体" w:eastAsia="宋体" w:cs="宋体"/>
          <w:color w:val="000000"/>
          <w:kern w:val="0"/>
          <w:szCs w:val="21"/>
          <w:u w:val="single"/>
          <w:lang w:bidi="ar"/>
        </w:rPr>
        <w:t>按照</w:t>
      </w:r>
      <w:r>
        <w:rPr>
          <w:rFonts w:hint="eastAsia" w:ascii="宋体" w:hAnsi="宋体" w:eastAsia="宋体" w:cs="宋体"/>
          <w:color w:val="000000"/>
          <w:kern w:val="0"/>
          <w:szCs w:val="21"/>
          <w:u w:val="single"/>
          <w:lang w:bidi="ar"/>
        </w:rPr>
        <w:t>甲方</w:t>
      </w:r>
      <w:r>
        <w:rPr>
          <w:rFonts w:ascii="宋体" w:hAnsi="宋体" w:eastAsia="宋体" w:cs="宋体"/>
          <w:color w:val="000000"/>
          <w:kern w:val="0"/>
          <w:szCs w:val="21"/>
          <w:u w:val="single"/>
          <w:lang w:bidi="ar"/>
        </w:rPr>
        <w:t>实际发生的行程提供服务。</w:t>
      </w:r>
    </w:p>
    <w:p>
      <w:pPr>
        <w:widowControl/>
        <w:adjustRightInd w:val="0"/>
        <w:snapToGrid w:val="0"/>
        <w:spacing w:line="360" w:lineRule="auto"/>
        <w:ind w:firstLine="420" w:firstLineChars="200"/>
        <w:rPr>
          <w:rFonts w:hint="eastAsia" w:ascii="宋体" w:hAnsi="宋体" w:eastAsia="宋体" w:cs="宋体"/>
          <w:color w:val="000000"/>
          <w:kern w:val="0"/>
          <w:szCs w:val="21"/>
          <w:u w:val="single"/>
          <w:lang w:bidi="ar"/>
        </w:rPr>
      </w:pPr>
      <w:r>
        <w:rPr>
          <w:rFonts w:ascii="宋体" w:hAnsi="宋体" w:eastAsia="宋体" w:cs="宋体"/>
          <w:color w:val="000000"/>
          <w:kern w:val="0"/>
          <w:szCs w:val="21"/>
          <w:u w:val="single"/>
          <w:lang w:bidi="ar"/>
        </w:rPr>
        <w:t>详细需求内容细项详见</w:t>
      </w:r>
      <w:r>
        <w:rPr>
          <w:rFonts w:hint="eastAsia" w:ascii="宋体" w:hAnsi="宋体" w:eastAsia="宋体" w:cs="宋体"/>
          <w:color w:val="000000"/>
          <w:kern w:val="0"/>
          <w:szCs w:val="21"/>
          <w:u w:val="single"/>
          <w:lang w:bidi="ar"/>
        </w:rPr>
        <w:t>合同附表一、二</w:t>
      </w:r>
    </w:p>
    <w:p>
      <w:pPr>
        <w:widowControl/>
        <w:jc w:val="left"/>
        <w:rPr>
          <w:rFonts w:hint="eastAsia" w:ascii="宋体" w:hAnsi="宋体" w:eastAsia="宋体" w:cs="宋体"/>
          <w:szCs w:val="21"/>
        </w:rPr>
      </w:pPr>
    </w:p>
    <w:p>
      <w:pPr>
        <w:widowControl/>
        <w:jc w:val="left"/>
        <w:rPr>
          <w:rFonts w:hint="eastAsia" w:ascii="宋体" w:hAnsi="宋体" w:eastAsia="宋体" w:cs="宋体"/>
          <w:szCs w:val="21"/>
        </w:rPr>
      </w:pPr>
      <w:r>
        <w:rPr>
          <w:rFonts w:hint="eastAsia" w:ascii="宋体" w:hAnsi="宋体" w:eastAsia="宋体" w:cs="宋体"/>
          <w:b/>
          <w:bCs/>
          <w:color w:val="000000"/>
          <w:kern w:val="0"/>
          <w:szCs w:val="21"/>
          <w:lang w:bidi="ar"/>
        </w:rPr>
        <w:t>第二条  合同价款及付款方式</w:t>
      </w:r>
    </w:p>
    <w:p>
      <w:pPr>
        <w:widowControl/>
        <w:wordWrap w:val="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color w:val="000000"/>
          <w:kern w:val="0"/>
          <w:szCs w:val="21"/>
          <w:lang w:bidi="ar"/>
        </w:rPr>
        <w:t>（一）合同价款总额为人民币</w:t>
      </w:r>
      <w:r>
        <w:rPr>
          <w:rFonts w:ascii="宋体" w:hAnsi="宋体" w:eastAsia="宋体" w:cs="宋体"/>
          <w:color w:val="000000"/>
          <w:kern w:val="0"/>
          <w:szCs w:val="21"/>
          <w:lang w:bidi="ar"/>
        </w:rPr>
        <w:t>（含税）</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元（大写：人民币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）。除经过甲方书面确认的可增加的费用外，本合同价款总额不因任何事由增加，包括但不限于不可抗力、价格上涨等因素。</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（二）在本合同签订后，</w:t>
      </w:r>
      <w:r>
        <w:rPr>
          <w:rFonts w:ascii="宋体" w:hAnsi="宋体" w:eastAsia="宋体" w:cs="宋体"/>
          <w:color w:val="000000"/>
          <w:kern w:val="0"/>
          <w:szCs w:val="21"/>
          <w:lang w:bidi="ar"/>
        </w:rPr>
        <w:t>甲方收到乙方提供的增值税</w:t>
      </w:r>
      <w:r>
        <w:rPr>
          <w:rFonts w:hint="eastAsia" w:ascii="宋体" w:hAnsi="宋体" w:eastAsia="宋体" w:cs="宋体"/>
          <w:color w:val="000000"/>
          <w:kern w:val="0"/>
          <w:szCs w:val="21"/>
          <w:lang w:bidi="ar"/>
        </w:rPr>
        <w:t>普通</w:t>
      </w:r>
      <w:r>
        <w:rPr>
          <w:rFonts w:ascii="宋体" w:hAnsi="宋体" w:eastAsia="宋体" w:cs="宋体"/>
          <w:color w:val="000000"/>
          <w:kern w:val="0"/>
          <w:szCs w:val="21"/>
          <w:lang w:bidi="ar"/>
        </w:rPr>
        <w:t>发票后</w:t>
      </w:r>
      <w:r>
        <w:rPr>
          <w:rFonts w:hint="eastAsia" w:ascii="宋体" w:hAnsi="宋体" w:eastAsia="宋体" w:cs="宋体"/>
          <w:color w:val="000000"/>
          <w:kern w:val="0"/>
          <w:szCs w:val="21"/>
          <w:lang w:bidi="ar"/>
        </w:rPr>
        <w:t>，甲方支付合同价款的</w:t>
      </w:r>
      <w:r>
        <w:rPr>
          <w:rFonts w:hint="eastAsia" w:ascii="宋体" w:hAnsi="宋体" w:eastAsia="宋体" w:cs="宋体"/>
          <w:color w:val="000000"/>
          <w:kern w:val="0"/>
          <w:szCs w:val="21"/>
          <w:u w:val="single"/>
          <w:lang w:bidi="ar"/>
        </w:rPr>
        <w:t>60%</w:t>
      </w:r>
      <w:r>
        <w:rPr>
          <w:rFonts w:hint="eastAsia" w:ascii="宋体" w:hAnsi="宋体" w:eastAsia="宋体" w:cs="宋体"/>
          <w:color w:val="000000"/>
          <w:kern w:val="0"/>
          <w:szCs w:val="21"/>
          <w:lang w:bidi="ar"/>
        </w:rPr>
        <w:t>，即人民币（含税）</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元（大写：</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w:t>
      </w:r>
      <w:r>
        <w:rPr>
          <w:rFonts w:ascii="宋体" w:hAnsi="宋体" w:eastAsia="宋体" w:cs="宋体"/>
          <w:color w:val="000000"/>
          <w:kern w:val="0"/>
          <w:szCs w:val="21"/>
          <w:lang w:bidi="ar"/>
        </w:rPr>
        <w:t>项目执行完成后，服务内容经甲方验收合格后</w:t>
      </w:r>
      <w:r>
        <w:rPr>
          <w:rFonts w:hint="eastAsia" w:ascii="宋体" w:hAnsi="宋体" w:eastAsia="宋体" w:cs="宋体"/>
          <w:color w:val="000000"/>
          <w:kern w:val="0"/>
          <w:szCs w:val="21"/>
          <w:u w:val="single"/>
          <w:lang w:bidi="ar"/>
        </w:rPr>
        <w:t xml:space="preserve">    </w:t>
      </w:r>
      <w:r>
        <w:rPr>
          <w:rFonts w:ascii="宋体" w:hAnsi="宋体" w:eastAsia="宋体" w:cs="宋体"/>
          <w:color w:val="000000"/>
          <w:kern w:val="0"/>
          <w:szCs w:val="21"/>
          <w:lang w:bidi="ar"/>
        </w:rPr>
        <w:t>个工作日内，支付合同价款的</w:t>
      </w:r>
      <w:r>
        <w:rPr>
          <w:rFonts w:hint="eastAsia" w:ascii="宋体" w:hAnsi="宋体" w:eastAsia="宋体" w:cs="宋体"/>
          <w:color w:val="000000"/>
          <w:kern w:val="0"/>
          <w:szCs w:val="21"/>
          <w:u w:val="single"/>
          <w:lang w:bidi="ar"/>
        </w:rPr>
        <w:t>40%</w:t>
      </w:r>
      <w:r>
        <w:rPr>
          <w:rFonts w:ascii="宋体" w:hAnsi="宋体" w:eastAsia="宋体" w:cs="宋体"/>
          <w:color w:val="000000"/>
          <w:kern w:val="0"/>
          <w:szCs w:val="21"/>
          <w:lang w:bidi="ar"/>
        </w:rPr>
        <w:t>，即人民币（含税）</w:t>
      </w:r>
      <w:r>
        <w:rPr>
          <w:rFonts w:hint="eastAsia" w:ascii="宋体" w:hAnsi="宋体" w:eastAsia="宋体" w:cs="宋体"/>
          <w:color w:val="000000"/>
          <w:kern w:val="0"/>
          <w:szCs w:val="21"/>
          <w:u w:val="single"/>
          <w:lang w:bidi="ar"/>
        </w:rPr>
        <w:t xml:space="preserve">        </w:t>
      </w:r>
      <w:r>
        <w:rPr>
          <w:rFonts w:ascii="宋体" w:hAnsi="宋体" w:eastAsia="宋体" w:cs="宋体"/>
          <w:color w:val="000000"/>
          <w:kern w:val="0"/>
          <w:szCs w:val="21"/>
          <w:lang w:bidi="ar"/>
        </w:rPr>
        <w:t>（大写：人民币</w:t>
      </w:r>
      <w:r>
        <w:rPr>
          <w:rFonts w:hint="eastAsia" w:ascii="宋体" w:hAnsi="宋体" w:eastAsia="宋体" w:cs="宋体"/>
          <w:color w:val="000000"/>
          <w:kern w:val="0"/>
          <w:szCs w:val="21"/>
          <w:u w:val="single"/>
          <w:lang w:bidi="ar"/>
        </w:rPr>
        <w:t xml:space="preserve">      </w:t>
      </w:r>
      <w:r>
        <w:rPr>
          <w:rFonts w:ascii="宋体" w:hAnsi="宋体" w:eastAsia="宋体" w:cs="宋体"/>
          <w:color w:val="000000"/>
          <w:kern w:val="0"/>
          <w:szCs w:val="21"/>
          <w:lang w:bidi="ar"/>
        </w:rPr>
        <w:t>）。</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合同全部服务结束，在不超过合同总费用的前提下，双方同意对行程服务中的</w:t>
      </w:r>
      <w:r>
        <w:rPr>
          <w:rFonts w:hint="eastAsia" w:ascii="宋体" w:hAnsi="宋体" w:eastAsia="宋体" w:cs="宋体"/>
          <w:szCs w:val="21"/>
          <w:u w:val="single"/>
        </w:rPr>
        <w:t>协助</w:t>
      </w:r>
      <w:r>
        <w:rPr>
          <w:rFonts w:ascii="宋体" w:hAnsi="宋体" w:eastAsia="宋体" w:cs="宋体"/>
          <w:szCs w:val="21"/>
          <w:u w:val="single"/>
        </w:rPr>
        <w:t>预订</w:t>
      </w:r>
      <w:r>
        <w:rPr>
          <w:rFonts w:hint="eastAsia" w:ascii="宋体" w:hAnsi="宋体" w:eastAsia="宋体" w:cs="宋体"/>
          <w:szCs w:val="21"/>
          <w:u w:val="single"/>
        </w:rPr>
        <w:t>往返机票、住宿服务、签证服务、保险服务</w:t>
      </w:r>
      <w:r>
        <w:rPr>
          <w:rFonts w:hint="eastAsia" w:ascii="宋体" w:hAnsi="宋体" w:eastAsia="宋体" w:cs="宋体"/>
          <w:color w:val="000000"/>
          <w:kern w:val="0"/>
          <w:szCs w:val="21"/>
          <w:u w:val="single"/>
          <w:lang w:bidi="ar"/>
        </w:rPr>
        <w:t>部分</w:t>
      </w:r>
      <w:r>
        <w:rPr>
          <w:rFonts w:hint="eastAsia" w:ascii="宋体" w:hAnsi="宋体" w:eastAsia="宋体" w:cs="宋体"/>
          <w:color w:val="000000"/>
          <w:kern w:val="0"/>
          <w:szCs w:val="21"/>
          <w:lang w:bidi="ar"/>
        </w:rPr>
        <w:t>采用据实结算的方式对余款进行结算。乙方自合同全部服务结束后5个工作日内向甲方提供</w:t>
      </w:r>
      <w:r>
        <w:rPr>
          <w:rFonts w:hint="eastAsia" w:ascii="宋体" w:hAnsi="宋体" w:eastAsia="宋体" w:cs="宋体"/>
          <w:szCs w:val="21"/>
        </w:rPr>
        <w:t>协助</w:t>
      </w:r>
      <w:r>
        <w:rPr>
          <w:rFonts w:ascii="宋体" w:hAnsi="宋体" w:eastAsia="宋体" w:cs="宋体"/>
          <w:szCs w:val="21"/>
        </w:rPr>
        <w:t>预订</w:t>
      </w:r>
      <w:r>
        <w:rPr>
          <w:rFonts w:hint="eastAsia" w:ascii="宋体" w:hAnsi="宋体" w:eastAsia="宋体" w:cs="宋体"/>
          <w:szCs w:val="21"/>
        </w:rPr>
        <w:t>往返机票服务</w:t>
      </w:r>
      <w:r>
        <w:rPr>
          <w:rFonts w:hint="eastAsia" w:ascii="宋体" w:hAnsi="宋体" w:eastAsia="宋体" w:cs="宋体"/>
          <w:color w:val="000000"/>
          <w:kern w:val="0"/>
          <w:szCs w:val="21"/>
          <w:lang w:bidi="ar"/>
        </w:rPr>
        <w:t>的全部费用明细，甲方对乙方提交的</w:t>
      </w:r>
      <w:r>
        <w:rPr>
          <w:rFonts w:hint="eastAsia" w:ascii="宋体" w:hAnsi="宋体" w:eastAsia="宋体" w:cs="宋体"/>
          <w:szCs w:val="21"/>
        </w:rPr>
        <w:t>协助</w:t>
      </w:r>
      <w:r>
        <w:rPr>
          <w:rFonts w:ascii="宋体" w:hAnsi="宋体" w:eastAsia="宋体" w:cs="宋体"/>
          <w:szCs w:val="21"/>
        </w:rPr>
        <w:t>预订</w:t>
      </w:r>
      <w:r>
        <w:rPr>
          <w:rFonts w:hint="eastAsia" w:ascii="宋体" w:hAnsi="宋体" w:eastAsia="宋体" w:cs="宋体"/>
          <w:szCs w:val="21"/>
        </w:rPr>
        <w:t>往返机票服务</w:t>
      </w:r>
      <w:r>
        <w:rPr>
          <w:rFonts w:hint="eastAsia" w:ascii="宋体" w:hAnsi="宋体" w:eastAsia="宋体" w:cs="宋体"/>
          <w:color w:val="000000"/>
          <w:kern w:val="0"/>
          <w:szCs w:val="21"/>
          <w:lang w:bidi="ar"/>
        </w:rPr>
        <w:t>费用、</w:t>
      </w:r>
      <w:r>
        <w:rPr>
          <w:rFonts w:hint="eastAsia" w:ascii="宋体" w:hAnsi="宋体" w:eastAsia="宋体" w:cs="宋体"/>
          <w:szCs w:val="21"/>
        </w:rPr>
        <w:t>住宿费用、签证费用、保险费用</w:t>
      </w:r>
      <w:r>
        <w:rPr>
          <w:rFonts w:hint="eastAsia" w:ascii="宋体" w:hAnsi="宋体" w:eastAsia="宋体" w:cs="宋体"/>
          <w:color w:val="000000"/>
          <w:kern w:val="0"/>
          <w:szCs w:val="21"/>
          <w:lang w:bidi="ar"/>
        </w:rPr>
        <w:t>明细核实无异议后，向乙方支付</w:t>
      </w:r>
      <w:r>
        <w:rPr>
          <w:rFonts w:hint="eastAsia" w:ascii="宋体" w:hAnsi="宋体" w:eastAsia="宋体" w:cs="宋体"/>
          <w:szCs w:val="21"/>
        </w:rPr>
        <w:t>协助</w:t>
      </w:r>
      <w:r>
        <w:rPr>
          <w:rFonts w:ascii="宋体" w:hAnsi="宋体" w:eastAsia="宋体" w:cs="宋体"/>
          <w:szCs w:val="21"/>
        </w:rPr>
        <w:t>预订</w:t>
      </w:r>
      <w:r>
        <w:rPr>
          <w:rFonts w:hint="eastAsia" w:ascii="宋体" w:hAnsi="宋体" w:eastAsia="宋体" w:cs="宋体"/>
          <w:szCs w:val="21"/>
        </w:rPr>
        <w:t>往返机票、住宿服务费、签证服务费、保险服务费</w:t>
      </w:r>
      <w:r>
        <w:rPr>
          <w:rFonts w:hint="eastAsia" w:ascii="宋体" w:hAnsi="宋体" w:eastAsia="宋体" w:cs="宋体"/>
          <w:color w:val="000000"/>
          <w:kern w:val="0"/>
          <w:szCs w:val="21"/>
          <w:lang w:bidi="ar"/>
        </w:rPr>
        <w:t>部分的结算余款以及合同其余执行部分的余款。若甲方前期已支付的</w:t>
      </w:r>
      <w:r>
        <w:rPr>
          <w:rFonts w:hint="eastAsia" w:ascii="宋体" w:hAnsi="宋体" w:eastAsia="宋体" w:cs="宋体"/>
          <w:szCs w:val="21"/>
        </w:rPr>
        <w:t>协助</w:t>
      </w:r>
      <w:r>
        <w:rPr>
          <w:rFonts w:ascii="宋体" w:hAnsi="宋体" w:eastAsia="宋体" w:cs="宋体"/>
          <w:szCs w:val="21"/>
        </w:rPr>
        <w:t>预订</w:t>
      </w:r>
      <w:r>
        <w:rPr>
          <w:rFonts w:hint="eastAsia" w:ascii="宋体" w:hAnsi="宋体" w:eastAsia="宋体" w:cs="宋体"/>
          <w:szCs w:val="21"/>
        </w:rPr>
        <w:t>往返机票、住宿服务、签证服务、保险服务</w:t>
      </w:r>
      <w:r>
        <w:rPr>
          <w:rFonts w:hint="eastAsia" w:ascii="宋体" w:hAnsi="宋体" w:eastAsia="宋体" w:cs="宋体"/>
          <w:color w:val="000000"/>
          <w:kern w:val="0"/>
          <w:szCs w:val="21"/>
          <w:lang w:bidi="ar"/>
        </w:rPr>
        <w:t>款项超出实际费用支出，乙方还需退回剩余费用。</w:t>
      </w:r>
    </w:p>
    <w:p>
      <w:pPr>
        <w:widowControl/>
        <w:wordWrap w:val="0"/>
        <w:adjustRightInd w:val="0"/>
        <w:snapToGrid w:val="0"/>
        <w:spacing w:line="360" w:lineRule="auto"/>
        <w:ind w:firstLine="420" w:firstLineChars="200"/>
        <w:rPr>
          <w:rFonts w:hint="eastAsia" w:ascii="宋体" w:hAnsi="宋体" w:eastAsia="宋体" w:cs="宋体"/>
          <w:szCs w:val="21"/>
        </w:rPr>
      </w:pPr>
      <w:r>
        <w:rPr>
          <w:rFonts w:ascii="宋体" w:hAnsi="宋体" w:eastAsia="宋体" w:cs="宋体"/>
          <w:color w:val="000000"/>
          <w:kern w:val="0"/>
          <w:szCs w:val="21"/>
          <w:lang w:bidi="ar"/>
        </w:rPr>
        <w:t>（三）甲方付款前，乙方应按甲方要求及时开具足额正规的增值税</w:t>
      </w:r>
      <w:r>
        <w:rPr>
          <w:rFonts w:hint="eastAsia" w:ascii="宋体" w:hAnsi="宋体" w:eastAsia="宋体" w:cs="宋体"/>
          <w:color w:val="000000"/>
          <w:kern w:val="0"/>
          <w:szCs w:val="21"/>
          <w:lang w:bidi="ar"/>
        </w:rPr>
        <w:t>普通</w:t>
      </w:r>
      <w:r>
        <w:rPr>
          <w:rFonts w:ascii="宋体" w:hAnsi="宋体" w:eastAsia="宋体" w:cs="宋体"/>
          <w:color w:val="000000"/>
          <w:kern w:val="0"/>
          <w:szCs w:val="21"/>
          <w:lang w:bidi="ar"/>
        </w:rPr>
        <w:t>发票。如因乙方提供发票时间延迟则甲方有权顺延付款时间且不承担逾期付款违约责任。</w:t>
      </w:r>
    </w:p>
    <w:p>
      <w:pPr>
        <w:wordWrap w:val="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四）双方结算账户及发票信息如下表。本合同有效期内，如一方需要改变以下结算账户及发票信息，应提前十五天以加盖合同专用章或公司章的书面文件通知对方。如一方未按本合同规定通知而遭受损失的自行承担，若使另外一方遭受损失的，应赔偿相应损失。</w:t>
      </w:r>
    </w:p>
    <w:tbl>
      <w:tblPr>
        <w:tblStyle w:val="42"/>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2"/>
        <w:gridCol w:w="2736"/>
        <w:gridCol w:w="2031"/>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甲方名称</w:t>
            </w:r>
          </w:p>
        </w:tc>
        <w:tc>
          <w:tcPr>
            <w:tcW w:w="2736" w:type="dxa"/>
          </w:tcPr>
          <w:p>
            <w:pPr>
              <w:snapToGrid w:val="0"/>
              <w:spacing w:line="360" w:lineRule="auto"/>
              <w:rPr>
                <w:rFonts w:hint="eastAsia" w:ascii="宋体" w:hAnsi="宋体" w:eastAsia="宋体" w:cs="宋体"/>
                <w:kern w:val="0"/>
                <w:sz w:val="20"/>
                <w:szCs w:val="21"/>
              </w:rPr>
            </w:pPr>
            <w:r>
              <w:rPr>
                <w:rFonts w:hint="eastAsia" w:ascii="宋体" w:hAnsi="宋体" w:eastAsia="宋体" w:cs="仿宋_GB2312"/>
                <w:kern w:val="0"/>
                <w:sz w:val="20"/>
                <w:szCs w:val="21"/>
              </w:rPr>
              <w:t>今日（广东）国际传播有限公司</w:t>
            </w:r>
          </w:p>
        </w:tc>
        <w:tc>
          <w:tcPr>
            <w:tcW w:w="2031"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乙方名称</w:t>
            </w:r>
          </w:p>
        </w:tc>
        <w:tc>
          <w:tcPr>
            <w:tcW w:w="1497" w:type="dxa"/>
          </w:tcPr>
          <w:p>
            <w:pPr>
              <w:snapToGrid w:val="0"/>
              <w:spacing w:line="360" w:lineRule="auto"/>
              <w:rPr>
                <w:rFonts w:hint="eastAsia" w:ascii="宋体" w:hAnsi="宋体" w:eastAsia="宋体" w:cs="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纳税人识别号</w:t>
            </w:r>
          </w:p>
        </w:tc>
        <w:tc>
          <w:tcPr>
            <w:tcW w:w="2736" w:type="dxa"/>
          </w:tcPr>
          <w:p>
            <w:pPr>
              <w:snapToGrid w:val="0"/>
              <w:spacing w:line="360" w:lineRule="auto"/>
              <w:rPr>
                <w:rFonts w:hint="eastAsia" w:ascii="宋体" w:hAnsi="宋体" w:eastAsia="宋体" w:cs="宋体"/>
                <w:kern w:val="0"/>
                <w:sz w:val="20"/>
                <w:szCs w:val="21"/>
              </w:rPr>
            </w:pPr>
            <w:r>
              <w:rPr>
                <w:rFonts w:ascii="宋体" w:hAnsi="宋体" w:eastAsia="宋体" w:cs="仿宋_GB2312"/>
                <w:kern w:val="0"/>
                <w:sz w:val="20"/>
                <w:szCs w:val="21"/>
              </w:rPr>
              <w:t>91440000MA55WMRQXY</w:t>
            </w:r>
          </w:p>
        </w:tc>
        <w:tc>
          <w:tcPr>
            <w:tcW w:w="2031"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纳税人识别号</w:t>
            </w:r>
          </w:p>
        </w:tc>
        <w:tc>
          <w:tcPr>
            <w:tcW w:w="1497" w:type="dxa"/>
          </w:tcPr>
          <w:p>
            <w:pPr>
              <w:snapToGrid w:val="0"/>
              <w:spacing w:line="360" w:lineRule="auto"/>
              <w:rPr>
                <w:rFonts w:hint="eastAsia" w:ascii="宋体" w:hAnsi="宋体" w:eastAsia="宋体" w:cs="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开户银行名称</w:t>
            </w:r>
          </w:p>
        </w:tc>
        <w:tc>
          <w:tcPr>
            <w:tcW w:w="2736"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 w:val="20"/>
                <w:szCs w:val="21"/>
              </w:rPr>
              <w:t>中国农业银行股份有限公司广州五羊新城支行</w:t>
            </w:r>
          </w:p>
        </w:tc>
        <w:tc>
          <w:tcPr>
            <w:tcW w:w="2031"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开户银行名称</w:t>
            </w:r>
          </w:p>
        </w:tc>
        <w:tc>
          <w:tcPr>
            <w:tcW w:w="1497" w:type="dxa"/>
          </w:tcPr>
          <w:p>
            <w:pPr>
              <w:snapToGrid w:val="0"/>
              <w:spacing w:line="360" w:lineRule="auto"/>
              <w:rPr>
                <w:rFonts w:hint="eastAsia" w:ascii="宋体" w:hAnsi="宋体" w:eastAsia="宋体" w:cs="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银行账号</w:t>
            </w:r>
          </w:p>
        </w:tc>
        <w:tc>
          <w:tcPr>
            <w:tcW w:w="2736"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 w:val="20"/>
                <w:szCs w:val="21"/>
              </w:rPr>
              <w:t>44031701040029130</w:t>
            </w:r>
          </w:p>
        </w:tc>
        <w:tc>
          <w:tcPr>
            <w:tcW w:w="2031"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银行账号</w:t>
            </w:r>
          </w:p>
        </w:tc>
        <w:tc>
          <w:tcPr>
            <w:tcW w:w="1497" w:type="dxa"/>
          </w:tcPr>
          <w:p>
            <w:pPr>
              <w:snapToGrid w:val="0"/>
              <w:spacing w:line="360" w:lineRule="auto"/>
              <w:rPr>
                <w:rFonts w:hint="eastAsia" w:ascii="宋体" w:hAnsi="宋体" w:eastAsia="宋体" w:cs="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地址</w:t>
            </w:r>
          </w:p>
        </w:tc>
        <w:tc>
          <w:tcPr>
            <w:tcW w:w="2736"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 w:val="20"/>
                <w:szCs w:val="21"/>
              </w:rPr>
              <w:t>广州市越秀区广州大道中289号大院1号楼A座25楼2508室</w:t>
            </w:r>
          </w:p>
        </w:tc>
        <w:tc>
          <w:tcPr>
            <w:tcW w:w="2031"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地址</w:t>
            </w:r>
          </w:p>
        </w:tc>
        <w:tc>
          <w:tcPr>
            <w:tcW w:w="1497" w:type="dxa"/>
          </w:tcPr>
          <w:p>
            <w:pPr>
              <w:snapToGrid w:val="0"/>
              <w:spacing w:line="360" w:lineRule="auto"/>
              <w:rPr>
                <w:rFonts w:hint="eastAsia" w:ascii="宋体" w:hAnsi="宋体" w:eastAsia="宋体" w:cs="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电话</w:t>
            </w:r>
          </w:p>
        </w:tc>
        <w:tc>
          <w:tcPr>
            <w:tcW w:w="2736"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 w:val="20"/>
                <w:szCs w:val="21"/>
              </w:rPr>
              <w:t>020-83002093</w:t>
            </w:r>
          </w:p>
        </w:tc>
        <w:tc>
          <w:tcPr>
            <w:tcW w:w="2031" w:type="dxa"/>
          </w:tcPr>
          <w:p>
            <w:pPr>
              <w:snapToGrid w:val="0"/>
              <w:spacing w:line="360" w:lineRule="auto"/>
              <w:rPr>
                <w:rFonts w:hint="eastAsia" w:ascii="宋体" w:hAnsi="宋体" w:eastAsia="宋体" w:cs="宋体"/>
                <w:kern w:val="0"/>
                <w:sz w:val="20"/>
                <w:szCs w:val="21"/>
              </w:rPr>
            </w:pPr>
            <w:r>
              <w:rPr>
                <w:rFonts w:hint="eastAsia" w:ascii="宋体" w:hAnsi="宋体" w:eastAsia="宋体" w:cs="宋体"/>
                <w:kern w:val="0"/>
                <w:szCs w:val="21"/>
              </w:rPr>
              <w:t>电话</w:t>
            </w:r>
          </w:p>
        </w:tc>
        <w:tc>
          <w:tcPr>
            <w:tcW w:w="1497" w:type="dxa"/>
          </w:tcPr>
          <w:p>
            <w:pPr>
              <w:snapToGrid w:val="0"/>
              <w:spacing w:line="360" w:lineRule="auto"/>
              <w:rPr>
                <w:rFonts w:hint="eastAsia" w:ascii="宋体" w:hAnsi="宋体" w:eastAsia="宋体" w:cs="宋体"/>
                <w:kern w:val="0"/>
                <w:sz w:val="20"/>
                <w:szCs w:val="21"/>
              </w:rPr>
            </w:pPr>
          </w:p>
        </w:tc>
      </w:tr>
    </w:tbl>
    <w:p>
      <w:pPr>
        <w:widowControl/>
        <w:snapToGrid w:val="0"/>
        <w:spacing w:line="360" w:lineRule="auto"/>
        <w:ind w:firstLine="420" w:firstLineChars="200"/>
        <w:rPr>
          <w:rFonts w:hint="eastAsia" w:ascii="宋体" w:hAnsi="宋体" w:eastAsia="宋体" w:cs="宋体"/>
          <w:color w:val="000000"/>
          <w:kern w:val="0"/>
          <w:szCs w:val="21"/>
          <w:u w:val="single"/>
          <w:lang w:bidi="ar"/>
        </w:rPr>
      </w:pPr>
    </w:p>
    <w:p>
      <w:pPr>
        <w:widowControl/>
        <w:wordWrap w:val="0"/>
        <w:adjustRightInd w:val="0"/>
        <w:snapToGrid w:val="0"/>
        <w:spacing w:line="360" w:lineRule="auto"/>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第三条  双方权利及义务</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（一）甲方权利义务</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1、甲方保证拥有签订并履行本合同的必要资格资质。</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2、甲方根据本次项目实施的实际需要确定委托乙方提供项目相关服务的范围、内容及标准，并于项目方案中加以明确。</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甲方根据项目服务进程和乙方要求，及时、全面、客观、合法地提供乙方为实施项目或提供服务所必需的有关文件、资料、信息，并如实陈述全部相关事实，协助乙方开展工作并保证甲方提供的文件、资料和涉及的其他相关事实或陈述等甲方资信的真实、准确、完整、合法、客观。</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4、甲方有权监控、指令乙方及工作人员项目执行；要求乙方更换不符合要求的工作人员。</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5、甲方应当按照合同约定付款。如甲方要求增减项目的，应书面通知乙方。双方确认的增减项目，乙方应积极配合执行，相关费用由甲方承担。</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（二）乙方权利义务</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1、乙方保证具有签订并履行本合同的必要资格资质，有能力承担本合同项目。</w:t>
      </w:r>
      <w:bookmarkStart w:id="112" w:name="OLE_LINK1"/>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2、乙方负责本合同项下所涉第三方协调工作及相关手续的办理</w:t>
      </w:r>
      <w:bookmarkEnd w:id="112"/>
      <w:r>
        <w:rPr>
          <w:rFonts w:hint="eastAsia" w:ascii="宋体" w:hAnsi="宋体" w:eastAsia="宋体" w:cs="宋体"/>
          <w:color w:val="000000"/>
          <w:kern w:val="0"/>
          <w:szCs w:val="21"/>
          <w:lang w:bidi="ar"/>
        </w:rPr>
        <w:t>（如有）。</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3、乙方应严格按照本合同约定提供服务，根据甲方提供的文字、图片素材等资料进行相关设计、策划、搭建工作。</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4、乙方有权依照我国相关的法律法规规定，对甲方需发布的内容进行审查，如果乙方认为其不符合法律法规的规定，有权要求甲方修正，乙方应积极予以配合。</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5、乙方服务内容均需全部经甲方确认后，方可进行制作和发布。</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6、乙方应保证其提供的服务合法合规，不侵害第三方合法权益，否则由此产生的责任由乙方承担，甲方因此遭受损失的，有权向乙方追偿。</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7、未经甲方事先书面同意，乙方不得将其在本协议项下的权利或义务转让给任何第三方。</w:t>
      </w:r>
    </w:p>
    <w:p>
      <w:pPr>
        <w:widowControl/>
        <w:wordWrap w:val="0"/>
        <w:adjustRightInd w:val="0"/>
        <w:snapToGrid w:val="0"/>
        <w:spacing w:line="360" w:lineRule="auto"/>
        <w:rPr>
          <w:rFonts w:hint="eastAsia" w:ascii="宋体" w:hAnsi="宋体" w:eastAsia="宋体" w:cs="宋体"/>
          <w:b/>
          <w:bCs/>
          <w:color w:val="000000"/>
          <w:kern w:val="0"/>
          <w:szCs w:val="21"/>
          <w:lang w:bidi="ar"/>
        </w:rPr>
      </w:pPr>
    </w:p>
    <w:p>
      <w:pPr>
        <w:widowControl/>
        <w:wordWrap w:val="0"/>
        <w:adjustRightInd w:val="0"/>
        <w:snapToGrid w:val="0"/>
        <w:spacing w:line="360" w:lineRule="auto"/>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 xml:space="preserve">第四条  违约责任 </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（一）任何一方在合同正式履行之前要求终止合同的，应当提前告知对方，并向对方支付合同价款总额的百分之</w:t>
      </w:r>
      <w:r>
        <w:rPr>
          <w:rFonts w:hint="eastAsia" w:ascii="宋体" w:hAnsi="宋体" w:eastAsia="宋体" w:cs="宋体"/>
          <w:color w:val="000000"/>
          <w:kern w:val="0"/>
          <w:szCs w:val="21"/>
          <w:u w:val="single"/>
          <w:lang w:bidi="ar"/>
        </w:rPr>
        <w:t xml:space="preserve"> 十 </w:t>
      </w:r>
      <w:r>
        <w:rPr>
          <w:rFonts w:hint="eastAsia" w:ascii="宋体" w:hAnsi="宋体" w:eastAsia="宋体" w:cs="宋体"/>
          <w:color w:val="000000"/>
          <w:kern w:val="0"/>
          <w:szCs w:val="21"/>
          <w:lang w:bidi="ar"/>
        </w:rPr>
        <w:t>作为违约金。</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（二）若乙方未能按本合同及甲方确定的需求，在约定的时间内完成相关工作，或未能按约定提供服务并严重影响甲方活动效果，甲方可采取以下方式要求乙方承担责任：</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1、甲方可要求乙方整改，乙方应负责在甲方指定的时间内进行整改，同时每日向甲方支付按本合同总价的千分之</w:t>
      </w:r>
      <w:r>
        <w:rPr>
          <w:rFonts w:hint="eastAsia" w:ascii="宋体" w:hAnsi="宋体" w:eastAsia="宋体" w:cs="宋体"/>
          <w:color w:val="000000"/>
          <w:kern w:val="0"/>
          <w:szCs w:val="21"/>
          <w:u w:val="single"/>
          <w:lang w:bidi="ar"/>
        </w:rPr>
        <w:t xml:space="preserve"> 三 </w:t>
      </w:r>
      <w:r>
        <w:rPr>
          <w:rFonts w:hint="eastAsia" w:ascii="宋体" w:hAnsi="宋体" w:eastAsia="宋体" w:cs="宋体"/>
          <w:color w:val="000000"/>
          <w:kern w:val="0"/>
          <w:szCs w:val="21"/>
          <w:lang w:bidi="ar"/>
        </w:rPr>
        <w:t>计算的逾期违约金，直至整改合格完毕；甲方乙方未能在甲方指定的时间内完成整改的，甲方有权解除合同，不予支付乙方所有合同费用（如甲方已支付的，乙方应全额返还甲方已支付的所有合同费用），并要求乙方支付合同总价的百分之</w:t>
      </w:r>
      <w:r>
        <w:rPr>
          <w:rFonts w:hint="eastAsia" w:ascii="宋体" w:hAnsi="宋体" w:eastAsia="宋体" w:cs="宋体"/>
          <w:color w:val="000000"/>
          <w:kern w:val="0"/>
          <w:szCs w:val="21"/>
          <w:u w:val="single"/>
          <w:lang w:bidi="ar"/>
        </w:rPr>
        <w:t xml:space="preserve"> 十 </w:t>
      </w:r>
      <w:r>
        <w:rPr>
          <w:rFonts w:hint="eastAsia" w:ascii="宋体" w:hAnsi="宋体" w:eastAsia="宋体" w:cs="宋体"/>
          <w:color w:val="000000"/>
          <w:kern w:val="0"/>
          <w:szCs w:val="21"/>
          <w:lang w:bidi="ar"/>
        </w:rPr>
        <w:t>作为违约金，因此给甲方造成损失的，乙方还应负责赔偿。</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2、甲方有权立即解除本合同，不再支付乙方所有合同费用（如甲方已支付的，乙方应全额返还甲方已支付的所有合同费用），并要求乙方支付合同总价的百分之</w:t>
      </w:r>
      <w:r>
        <w:rPr>
          <w:rFonts w:hint="eastAsia" w:ascii="宋体" w:hAnsi="宋体" w:eastAsia="宋体" w:cs="宋体"/>
          <w:color w:val="000000"/>
          <w:kern w:val="0"/>
          <w:szCs w:val="21"/>
          <w:u w:val="single"/>
          <w:lang w:bidi="ar"/>
        </w:rPr>
        <w:t xml:space="preserve"> 十 </w:t>
      </w:r>
      <w:r>
        <w:rPr>
          <w:rFonts w:hint="eastAsia" w:ascii="宋体" w:hAnsi="宋体" w:eastAsia="宋体" w:cs="宋体"/>
          <w:color w:val="000000"/>
          <w:kern w:val="0"/>
          <w:szCs w:val="21"/>
          <w:lang w:bidi="ar"/>
        </w:rPr>
        <w:t>作为违约金。</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（三）若甲方未按照本合同约定向乙方支付合同款项，每逾期一天，甲方支付乙方当期应付款项千分之</w:t>
      </w:r>
      <w:r>
        <w:rPr>
          <w:rFonts w:hint="eastAsia" w:ascii="宋体" w:hAnsi="宋体" w:eastAsia="宋体" w:cs="宋体"/>
          <w:color w:val="000000"/>
          <w:kern w:val="0"/>
          <w:szCs w:val="21"/>
          <w:u w:val="single"/>
          <w:lang w:bidi="ar"/>
        </w:rPr>
        <w:t xml:space="preserve"> 三 </w:t>
      </w:r>
      <w:r>
        <w:rPr>
          <w:rFonts w:hint="eastAsia" w:ascii="宋体" w:hAnsi="宋体" w:eastAsia="宋体" w:cs="宋体"/>
          <w:color w:val="000000"/>
          <w:kern w:val="0"/>
          <w:szCs w:val="21"/>
          <w:lang w:bidi="ar"/>
        </w:rPr>
        <w:t>计算的违约金。</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（四）乙方未能及时按照本合同规定履行政府报批手续的，乙方应当支付甲方本合同价款总额百分之</w:t>
      </w:r>
      <w:r>
        <w:rPr>
          <w:rFonts w:hint="eastAsia" w:ascii="宋体" w:hAnsi="宋体" w:eastAsia="宋体" w:cs="宋体"/>
          <w:color w:val="000000"/>
          <w:kern w:val="0"/>
          <w:szCs w:val="21"/>
          <w:u w:val="single"/>
          <w:lang w:bidi="ar"/>
        </w:rPr>
        <w:t xml:space="preserve"> 十 </w:t>
      </w:r>
      <w:r>
        <w:rPr>
          <w:rFonts w:hint="eastAsia" w:ascii="宋体" w:hAnsi="宋体" w:eastAsia="宋体" w:cs="宋体"/>
          <w:color w:val="000000"/>
          <w:kern w:val="0"/>
          <w:szCs w:val="21"/>
          <w:lang w:bidi="ar"/>
        </w:rPr>
        <w:t>计算的违约金，同时导致甲方受到政府处罚或者其他损失的，乙方负责赔偿甲方为此遭受的全部损失。</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（五）乙方违反本合同的约定擅自制作发布，甲方有权不予支付合同价款，乙方应当支付甲方合同价款总额百分之</w:t>
      </w:r>
      <w:r>
        <w:rPr>
          <w:rFonts w:hint="eastAsia" w:ascii="宋体" w:hAnsi="宋体" w:eastAsia="宋体" w:cs="宋体"/>
          <w:color w:val="000000"/>
          <w:kern w:val="0"/>
          <w:szCs w:val="21"/>
          <w:u w:val="single"/>
          <w:lang w:bidi="ar"/>
        </w:rPr>
        <w:t xml:space="preserve"> 十 </w:t>
      </w:r>
      <w:r>
        <w:rPr>
          <w:rFonts w:hint="eastAsia" w:ascii="宋体" w:hAnsi="宋体" w:eastAsia="宋体" w:cs="宋体"/>
          <w:color w:val="000000"/>
          <w:kern w:val="0"/>
          <w:szCs w:val="21"/>
          <w:lang w:bidi="ar"/>
        </w:rPr>
        <w:t>计算的违约金。</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（六）乙方不得将本合同项下的权利义务转让给任何第三方，否则甲方有权解除合同，并有权要求乙方承担本合同价款总额百分之</w:t>
      </w:r>
      <w:r>
        <w:rPr>
          <w:rFonts w:hint="eastAsia" w:ascii="宋体" w:hAnsi="宋体" w:eastAsia="宋体" w:cs="宋体"/>
          <w:color w:val="000000"/>
          <w:kern w:val="0"/>
          <w:szCs w:val="21"/>
          <w:u w:val="single"/>
          <w:lang w:bidi="ar"/>
        </w:rPr>
        <w:t xml:space="preserve"> 十 </w:t>
      </w:r>
      <w:r>
        <w:rPr>
          <w:rFonts w:hint="eastAsia" w:ascii="宋体" w:hAnsi="宋体" w:eastAsia="宋体" w:cs="宋体"/>
          <w:color w:val="000000"/>
          <w:kern w:val="0"/>
          <w:szCs w:val="21"/>
          <w:lang w:bidi="ar"/>
        </w:rPr>
        <w:t>计算的违约金。</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七）甲方有权在任何一期应付合同价款中扣除乙方按照本合同应支付的违约金及/或赔偿金。如果本合同所明确约定的违约金和乙方的其他责任仍然无法弥补甲方为乙方违约行为遭受的全部损失的，甲方有权要求乙方赔偿其为此遭受的全部损失（包括但不限于甲方向第三方承担的赔偿金、违约金、或甲方因参与诉讼而发生的律师费、鉴定费、公证费、诉讼费、差旅费等）。</w:t>
      </w:r>
    </w:p>
    <w:p>
      <w:pPr>
        <w:widowControl/>
        <w:wordWrap w:val="0"/>
        <w:adjustRightInd w:val="0"/>
        <w:snapToGrid w:val="0"/>
        <w:spacing w:line="360" w:lineRule="auto"/>
        <w:rPr>
          <w:rFonts w:hint="eastAsia" w:ascii="宋体" w:hAnsi="宋体" w:eastAsia="宋体" w:cs="宋体"/>
          <w:color w:val="000000"/>
          <w:kern w:val="0"/>
          <w:szCs w:val="21"/>
          <w:lang w:bidi="ar"/>
        </w:rPr>
      </w:pPr>
    </w:p>
    <w:p>
      <w:pPr>
        <w:widowControl/>
        <w:wordWrap w:val="0"/>
        <w:adjustRightInd w:val="0"/>
        <w:snapToGrid w:val="0"/>
        <w:spacing w:line="360" w:lineRule="auto"/>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第五条  知识产权与商业秘密</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（一）乙方为履行本合同所形成的图片、文字作品等所有资料信息的知识产权均归属甲方所有，乙方不得将其用于合同项目以外的其他目的或在向第三方提供上述资料，否则乙方应另行承担侵权责任。</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二）乙方在签订和履行本合同中知悉的甲方的全部信息（包括技术信息和经营信息等）均为甲方的商业秘密。除本合同规定之工作所需外，未经甲方事先书面同意，乙方不得使用、披露甲方的商业秘密，不得擅自使用、复制甲方的商标、标志、商业信息、技术及其他资料，否则乙方应承担相应的侵权责任。</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（三）本合同有效期内及终止后，本条款对乙方仍具有法律效力。</w:t>
      </w:r>
    </w:p>
    <w:p>
      <w:pPr>
        <w:widowControl/>
        <w:wordWrap w:val="0"/>
        <w:adjustRightInd w:val="0"/>
        <w:snapToGrid w:val="0"/>
        <w:spacing w:line="360" w:lineRule="auto"/>
        <w:rPr>
          <w:rFonts w:hint="eastAsia" w:ascii="宋体" w:hAnsi="宋体" w:eastAsia="宋体" w:cs="宋体"/>
          <w:color w:val="000000"/>
          <w:kern w:val="0"/>
          <w:szCs w:val="21"/>
          <w:lang w:bidi="ar"/>
        </w:rPr>
      </w:pPr>
    </w:p>
    <w:p>
      <w:pPr>
        <w:widowControl/>
        <w:wordWrap w:val="0"/>
        <w:adjustRightInd w:val="0"/>
        <w:snapToGrid w:val="0"/>
        <w:spacing w:line="360" w:lineRule="auto"/>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 xml:space="preserve">第六条  不可抗力及免责 </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一）“不可抗力”是指本合同双方不能合理控制、不可预见或即使预见亦无法避免的事件，该事件妨碍、影响或延误任何一方根据本合同履行其全部或部分义务。不可抗力包括但不限于：自然原因的不可抗力，例如：地震、火灾、洪水、严重的传染性疾病等；国家机关原因的不可抗力：例如：法律、政策、行政指令、政府行为和国家政策发生根本性改变；其它不可抗力：战争、武装冲突、动乱等其他突发事件等。</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二）任何一方由于不可抗力原因不能履行合同时，应在不可抗力事件结束后十五日内向对方通报，以减轻可能给对方造成的损失。在取得有关机构的不可抗力证明或双方谅解确认后，双方可根据不可抗力事件对履行合同影响的程度协商决定延期履行、变更合同或解除合同，并免于承担违约责任。</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（三）遭受不可抗力的一方未履行上述义务或不可抗力发生在一方违约前或违约后的，不能免除其违约责任。</w:t>
      </w:r>
    </w:p>
    <w:p>
      <w:pPr>
        <w:widowControl/>
        <w:wordWrap w:val="0"/>
        <w:adjustRightInd w:val="0"/>
        <w:snapToGrid w:val="0"/>
        <w:spacing w:line="360" w:lineRule="auto"/>
        <w:rPr>
          <w:rFonts w:hint="eastAsia" w:ascii="宋体" w:hAnsi="宋体" w:eastAsia="宋体" w:cs="宋体"/>
          <w:color w:val="000000"/>
          <w:kern w:val="0"/>
          <w:szCs w:val="21"/>
          <w:lang w:bidi="ar"/>
        </w:rPr>
      </w:pPr>
    </w:p>
    <w:p>
      <w:pPr>
        <w:widowControl/>
        <w:wordWrap w:val="0"/>
        <w:adjustRightInd w:val="0"/>
        <w:snapToGrid w:val="0"/>
        <w:spacing w:line="360" w:lineRule="auto"/>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第七条  法律适用及争议解决</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（一）本合同受中华人民共和国法律解释和管辖，并不考虑法律冲突。</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（二）双方约定，合同签订地为广州市越秀区。有关本合同的任何争议应由双方秉承善意友好协商解决。若双方协商不成，一方可将争议提交合同签订地有管辖权的法院诉讼解决。</w:t>
      </w:r>
    </w:p>
    <w:p>
      <w:pPr>
        <w:widowControl/>
        <w:wordWrap w:val="0"/>
        <w:adjustRightInd w:val="0"/>
        <w:snapToGrid w:val="0"/>
        <w:spacing w:line="360" w:lineRule="auto"/>
        <w:rPr>
          <w:rFonts w:hint="eastAsia" w:ascii="宋体" w:hAnsi="宋体" w:eastAsia="宋体" w:cs="宋体"/>
          <w:b/>
          <w:bCs/>
          <w:color w:val="000000"/>
          <w:kern w:val="0"/>
          <w:szCs w:val="21"/>
          <w:lang w:bidi="ar"/>
        </w:rPr>
      </w:pPr>
    </w:p>
    <w:p>
      <w:pPr>
        <w:widowControl/>
        <w:wordWrap w:val="0"/>
        <w:adjustRightInd w:val="0"/>
        <w:snapToGrid w:val="0"/>
        <w:spacing w:line="360" w:lineRule="auto"/>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 xml:space="preserve">第八条  通知与送达 </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与本合同有关的通知、文件等均须采用书面形式发出，并由中国邮政特快专递（EMS）或专人送至本合同首页载明的通讯地址。EMS寄出第三日（无论对方签收与否）与对方签收日中较早的日期视为已送达日期。一方的地址如发生变更，应于变更后七天内通知对方，未通知或延迟通知的，由其承担法律后果。</w:t>
      </w:r>
    </w:p>
    <w:p>
      <w:pPr>
        <w:widowControl/>
        <w:wordWrap w:val="0"/>
        <w:adjustRightInd w:val="0"/>
        <w:snapToGrid w:val="0"/>
        <w:spacing w:line="360" w:lineRule="auto"/>
        <w:rPr>
          <w:rFonts w:hint="eastAsia" w:ascii="宋体" w:hAnsi="宋体" w:eastAsia="宋体" w:cs="宋体"/>
          <w:b/>
          <w:bCs/>
          <w:color w:val="000000"/>
          <w:kern w:val="0"/>
          <w:szCs w:val="21"/>
          <w:lang w:bidi="ar"/>
        </w:rPr>
      </w:pPr>
    </w:p>
    <w:p>
      <w:pPr>
        <w:widowControl/>
        <w:wordWrap w:val="0"/>
        <w:adjustRightInd w:val="0"/>
        <w:snapToGrid w:val="0"/>
        <w:spacing w:line="360" w:lineRule="auto"/>
        <w:rPr>
          <w:rFonts w:hint="eastAsia" w:ascii="宋体" w:hAnsi="宋体" w:eastAsia="宋体" w:cs="宋体"/>
          <w:color w:val="000000"/>
          <w:kern w:val="0"/>
          <w:szCs w:val="21"/>
          <w:lang w:bidi="ar"/>
        </w:rPr>
      </w:pPr>
      <w:r>
        <w:rPr>
          <w:rFonts w:hint="eastAsia" w:ascii="宋体" w:hAnsi="宋体" w:eastAsia="宋体" w:cs="宋体"/>
          <w:b/>
          <w:bCs/>
          <w:color w:val="000000"/>
          <w:kern w:val="0"/>
          <w:szCs w:val="21"/>
          <w:lang w:bidi="ar"/>
        </w:rPr>
        <w:t>第九条  其他</w:t>
      </w:r>
      <w:r>
        <w:rPr>
          <w:rFonts w:hint="eastAsia" w:ascii="宋体" w:hAnsi="宋体" w:eastAsia="宋体" w:cs="宋体"/>
          <w:color w:val="000000"/>
          <w:kern w:val="0"/>
          <w:szCs w:val="21"/>
          <w:lang w:bidi="ar"/>
        </w:rPr>
        <w:t xml:space="preserve"> </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（一）本合同经双方法定代表人或授权代理人签字并盖章之日起生效。</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（二）本合同一式</w:t>
      </w:r>
      <w:r>
        <w:rPr>
          <w:rFonts w:hint="eastAsia" w:ascii="宋体" w:hAnsi="宋体" w:eastAsia="宋体" w:cs="宋体"/>
          <w:color w:val="000000"/>
          <w:kern w:val="0"/>
          <w:szCs w:val="21"/>
          <w:u w:val="single"/>
          <w:lang w:bidi="ar"/>
        </w:rPr>
        <w:t xml:space="preserve">   陆  </w:t>
      </w:r>
      <w:r>
        <w:rPr>
          <w:rFonts w:hint="eastAsia" w:ascii="宋体" w:hAnsi="宋体" w:eastAsia="宋体" w:cs="宋体"/>
          <w:color w:val="000000"/>
          <w:kern w:val="0"/>
          <w:szCs w:val="21"/>
          <w:lang w:bidi="ar"/>
        </w:rPr>
        <w:t>份，甲方执</w:t>
      </w:r>
      <w:r>
        <w:rPr>
          <w:rFonts w:hint="eastAsia" w:ascii="宋体" w:hAnsi="宋体" w:eastAsia="宋体" w:cs="宋体"/>
          <w:color w:val="000000"/>
          <w:kern w:val="0"/>
          <w:szCs w:val="21"/>
          <w:u w:val="single"/>
          <w:lang w:bidi="ar"/>
        </w:rPr>
        <w:t xml:space="preserve">  叁   </w:t>
      </w:r>
      <w:r>
        <w:rPr>
          <w:rFonts w:hint="eastAsia" w:ascii="宋体" w:hAnsi="宋体" w:eastAsia="宋体" w:cs="宋体"/>
          <w:color w:val="000000"/>
          <w:kern w:val="0"/>
          <w:szCs w:val="21"/>
          <w:lang w:bidi="ar"/>
        </w:rPr>
        <w:t>份，乙方执</w:t>
      </w:r>
      <w:r>
        <w:rPr>
          <w:rFonts w:hint="eastAsia" w:ascii="宋体" w:hAnsi="宋体" w:eastAsia="宋体" w:cs="宋体"/>
          <w:color w:val="000000"/>
          <w:kern w:val="0"/>
          <w:szCs w:val="21"/>
          <w:u w:val="single"/>
          <w:lang w:bidi="ar"/>
        </w:rPr>
        <w:t xml:space="preserve"> 叁  </w:t>
      </w:r>
      <w:r>
        <w:rPr>
          <w:rFonts w:hint="eastAsia" w:ascii="宋体" w:hAnsi="宋体" w:eastAsia="宋体" w:cs="宋体"/>
          <w:color w:val="000000"/>
          <w:kern w:val="0"/>
          <w:szCs w:val="21"/>
          <w:lang w:bidi="ar"/>
        </w:rPr>
        <w:t>份，具有相同效力。</w:t>
      </w:r>
    </w:p>
    <w:p>
      <w:pPr>
        <w:widowControl/>
        <w:wordWrap w:val="0"/>
        <w:adjustRightInd w:val="0"/>
        <w:snapToGrid w:val="0"/>
        <w:spacing w:line="360" w:lineRule="auto"/>
        <w:ind w:firstLine="420" w:firstLineChars="200"/>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三）在执行本合同的过程中，所有经双方签署确认的文件（包括会议纪要、补充协议、往来信函）即成为本合同的有效组成部分。本合同未尽事宜或任何一方就本合同的任何条款要求修改，须由双方签订书面补充协议。补充协议是本合同的组成部分，与本合同具有同等法律效力，不一致之处以补充协议为准。</w:t>
      </w:r>
    </w:p>
    <w:p>
      <w:pPr>
        <w:spacing w:line="360" w:lineRule="auto"/>
        <w:rPr>
          <w:rFonts w:hint="eastAsia" w:ascii="宋体" w:hAnsi="宋体" w:eastAsia="宋体" w:cs="宋体"/>
          <w:szCs w:val="21"/>
        </w:rPr>
      </w:pPr>
      <w:r>
        <w:rPr>
          <w:rFonts w:hint="eastAsia" w:ascii="宋体" w:hAnsi="宋体" w:eastAsia="宋体" w:cs="宋体"/>
          <w:szCs w:val="21"/>
        </w:rPr>
        <w:t>————————————以下为签署页，无正文——————————————————</w:t>
      </w:r>
    </w:p>
    <w:p>
      <w:pPr>
        <w:spacing w:line="360" w:lineRule="auto"/>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甲方（盖章）：                  乙方（盖章）：</w:t>
      </w:r>
    </w:p>
    <w:p>
      <w:pPr>
        <w:snapToGrid w:val="0"/>
        <w:spacing w:line="360" w:lineRule="auto"/>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 xml:space="preserve">法人（授权）代表签字：         法人（授权）代表签字：        </w:t>
      </w:r>
    </w:p>
    <w:p>
      <w:pPr>
        <w:snapToGrid w:val="0"/>
        <w:spacing w:line="360" w:lineRule="auto"/>
        <w:jc w:val="left"/>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日期：</w:t>
      </w:r>
      <w:r>
        <w:rPr>
          <w:rFonts w:hint="eastAsia" w:ascii="宋体" w:hAnsi="宋体" w:eastAsia="宋体" w:cs="宋体"/>
          <w:color w:val="000000"/>
          <w:kern w:val="0"/>
          <w:szCs w:val="21"/>
          <w:u w:val="single"/>
          <w:lang w:bidi="ar"/>
        </w:rPr>
        <w:t xml:space="preserve">    </w:t>
      </w:r>
      <w:r>
        <w:rPr>
          <w:rFonts w:hint="eastAsia" w:ascii="宋体" w:hAnsi="宋体" w:eastAsia="宋体" w:cs="宋体"/>
          <w:szCs w:val="21"/>
          <w:shd w:val="clear" w:color="auto" w:fill="FFFFFF"/>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szCs w:val="21"/>
          <w:shd w:val="clear" w:color="auto" w:fill="FFFFFF"/>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szCs w:val="21"/>
          <w:shd w:val="clear" w:color="auto" w:fill="FFFFFF"/>
        </w:rPr>
        <w:t>日        日期：</w:t>
      </w:r>
      <w:r>
        <w:rPr>
          <w:rFonts w:hint="eastAsia" w:ascii="宋体" w:hAnsi="宋体" w:eastAsia="宋体" w:cs="宋体"/>
          <w:color w:val="000000"/>
          <w:kern w:val="0"/>
          <w:szCs w:val="21"/>
          <w:u w:val="single"/>
          <w:lang w:bidi="ar"/>
        </w:rPr>
        <w:t xml:space="preserve">    </w:t>
      </w:r>
      <w:r>
        <w:rPr>
          <w:rFonts w:hint="eastAsia" w:ascii="宋体" w:hAnsi="宋体" w:eastAsia="宋体" w:cs="宋体"/>
          <w:szCs w:val="21"/>
          <w:shd w:val="clear" w:color="auto" w:fill="FFFFFF"/>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szCs w:val="21"/>
          <w:shd w:val="clear" w:color="auto" w:fill="FFFFFF"/>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szCs w:val="21"/>
          <w:shd w:val="clear" w:color="auto" w:fill="FFFFFF"/>
        </w:rPr>
        <w:t>日</w:t>
      </w:r>
    </w:p>
    <w:p>
      <w:pPr>
        <w:pStyle w:val="17"/>
        <w:rPr>
          <w:rFonts w:hint="eastAsia" w:ascii="宋体" w:hAnsi="宋体"/>
          <w:shd w:val="clear" w:color="auto" w:fill="FFFFFF"/>
        </w:rPr>
      </w:pPr>
    </w:p>
    <w:p>
      <w:pPr>
        <w:jc w:val="center"/>
        <w:rPr>
          <w:rFonts w:hint="eastAsia" w:ascii="宋体" w:hAnsi="宋体" w:eastAsia="宋体"/>
          <w:b/>
          <w:bCs/>
          <w:szCs w:val="21"/>
        </w:rPr>
      </w:pPr>
      <w:r>
        <w:rPr>
          <w:rFonts w:hint="eastAsia" w:ascii="宋体" w:hAnsi="宋体" w:eastAsia="宋体"/>
          <w:b/>
          <w:bCs/>
          <w:szCs w:val="21"/>
        </w:rPr>
        <w:t>附表一：</w:t>
      </w:r>
      <w:r>
        <w:rPr>
          <w:rFonts w:ascii="宋体" w:hAnsi="宋体" w:eastAsia="宋体"/>
          <w:b/>
          <w:bCs/>
          <w:szCs w:val="21"/>
        </w:rPr>
        <w:t>赴柬埔寨、印尼开展文化交流活动及行程服务项目详细需求表</w:t>
      </w:r>
    </w:p>
    <w:tbl>
      <w:tblPr>
        <w:tblStyle w:val="41"/>
        <w:tblW w:w="907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68"/>
        <w:gridCol w:w="1559"/>
        <w:gridCol w:w="6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2" w:hRule="atLeast"/>
        </w:trPr>
        <w:tc>
          <w:tcPr>
            <w:tcW w:w="568" w:type="dxa"/>
            <w:vAlign w:val="center"/>
          </w:tcPr>
          <w:p>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序号</w:t>
            </w:r>
          </w:p>
        </w:tc>
        <w:tc>
          <w:tcPr>
            <w:tcW w:w="1559" w:type="dxa"/>
            <w:vAlign w:val="center"/>
          </w:tcPr>
          <w:p>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项目需求</w:t>
            </w:r>
          </w:p>
        </w:tc>
        <w:tc>
          <w:tcPr>
            <w:tcW w:w="6946" w:type="dxa"/>
            <w:vAlign w:val="center"/>
          </w:tcPr>
          <w:p>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具体需求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5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p>
        </w:tc>
        <w:tc>
          <w:tcPr>
            <w:tcW w:w="1559" w:type="dxa"/>
            <w:vMerge w:val="restar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柬埔寨文化交流活动执行</w:t>
            </w:r>
            <w:r>
              <w:rPr>
                <w:rFonts w:hint="eastAsia" w:ascii="宋体" w:hAnsi="宋体" w:eastAsia="宋体" w:cs="宋体"/>
                <w:color w:val="000000"/>
                <w:kern w:val="0"/>
                <w:szCs w:val="21"/>
              </w:rPr>
              <w:t>服务</w:t>
            </w:r>
            <w:r>
              <w:rPr>
                <w:rFonts w:ascii="宋体" w:hAnsi="宋体" w:eastAsia="宋体" w:cs="宋体"/>
                <w:color w:val="000000"/>
                <w:kern w:val="0"/>
                <w:szCs w:val="21"/>
              </w:rPr>
              <w:t>（9月19日下午，暹粒公立中山学校）</w:t>
            </w: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举办1场“粤见亚太·遇见中国（广东）好物”——广货行天下走进柬埔寨活动，包括场地租赁（可容纳不少于50人）、制作一块约6m*3m的彩色</w:t>
            </w:r>
            <w:r>
              <w:rPr>
                <w:rFonts w:hint="eastAsia" w:ascii="宋体" w:hAnsi="宋体" w:eastAsia="宋体" w:cs="宋体"/>
                <w:color w:val="000000"/>
                <w:kern w:val="0"/>
                <w:szCs w:val="21"/>
              </w:rPr>
              <w:t>PVC</w:t>
            </w:r>
            <w:r>
              <w:rPr>
                <w:rFonts w:ascii="宋体" w:hAnsi="宋体" w:eastAsia="宋体" w:cs="宋体"/>
                <w:color w:val="000000"/>
                <w:kern w:val="0"/>
                <w:szCs w:val="21"/>
              </w:rPr>
              <w:t>布作为活动主背景、制作不少于2个80cm*180cm易拉宝，现场需布置不少于40把观众椅、一块约6</w:t>
            </w:r>
            <w:r>
              <w:rPr>
                <w:rFonts w:hint="eastAsia" w:ascii="宋体" w:hAnsi="宋体" w:eastAsia="宋体" w:cs="宋体"/>
                <w:color w:val="000000"/>
                <w:kern w:val="0"/>
                <w:szCs w:val="21"/>
              </w:rPr>
              <w:t>m</w:t>
            </w:r>
            <w:r>
              <w:rPr>
                <w:rFonts w:ascii="宋体" w:hAnsi="宋体" w:eastAsia="宋体" w:cs="宋体"/>
                <w:color w:val="000000"/>
                <w:kern w:val="0"/>
                <w:szCs w:val="21"/>
              </w:rPr>
              <w:t>*2</w:t>
            </w:r>
            <w:r>
              <w:rPr>
                <w:rFonts w:hint="eastAsia" w:ascii="宋体" w:hAnsi="宋体" w:eastAsia="宋体" w:cs="宋体"/>
                <w:color w:val="000000"/>
                <w:kern w:val="0"/>
                <w:szCs w:val="21"/>
              </w:rPr>
              <w:t>m</w:t>
            </w:r>
            <w:r>
              <w:rPr>
                <w:rFonts w:ascii="宋体" w:hAnsi="宋体" w:eastAsia="宋体" w:cs="宋体"/>
                <w:color w:val="000000"/>
                <w:kern w:val="0"/>
                <w:szCs w:val="21"/>
              </w:rPr>
              <w:t>地毯；需准备不少于2个麦克风、1套音响设备、主持手卡、座位贴、讲话台等会务物资；现场配备1位中柬双语主持人、2位礼仪、2位双语翻译、不少于2位工作人员等；包含布场撤场、清洁维护等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举办1场文化创意展，制作20幅广东优秀图片作品</w:t>
            </w:r>
            <w:r>
              <w:rPr>
                <w:rFonts w:hint="eastAsia" w:ascii="宋体" w:hAnsi="宋体" w:eastAsia="宋体" w:cs="宋体"/>
                <w:color w:val="000000"/>
                <w:kern w:val="0"/>
                <w:szCs w:val="21"/>
              </w:rPr>
              <w:t>（</w:t>
            </w:r>
            <w:r>
              <w:rPr>
                <w:rFonts w:ascii="宋体" w:hAnsi="宋体" w:eastAsia="宋体" w:cs="宋体"/>
                <w:color w:val="000000"/>
                <w:kern w:val="0"/>
                <w:szCs w:val="21"/>
              </w:rPr>
              <w:t>图片素材由</w:t>
            </w:r>
            <w:r>
              <w:rPr>
                <w:rFonts w:hint="eastAsia" w:ascii="宋体" w:hAnsi="宋体" w:eastAsia="宋体" w:cs="宋体"/>
                <w:color w:val="000000"/>
                <w:kern w:val="0"/>
                <w:szCs w:val="21"/>
              </w:rPr>
              <w:t>甲方</w:t>
            </w:r>
            <w:r>
              <w:rPr>
                <w:rFonts w:ascii="宋体" w:hAnsi="宋体" w:eastAsia="宋体" w:cs="宋体"/>
                <w:color w:val="000000"/>
                <w:kern w:val="0"/>
                <w:szCs w:val="21"/>
              </w:rPr>
              <w:t>提供</w:t>
            </w:r>
            <w:r>
              <w:rPr>
                <w:rFonts w:hint="eastAsia" w:ascii="宋体" w:hAnsi="宋体" w:eastAsia="宋体" w:cs="宋体"/>
                <w:color w:val="000000"/>
                <w:kern w:val="0"/>
                <w:szCs w:val="21"/>
              </w:rPr>
              <w:t>）</w:t>
            </w:r>
            <w:r>
              <w:rPr>
                <w:rFonts w:ascii="宋体" w:hAnsi="宋体" w:eastAsia="宋体" w:cs="宋体"/>
                <w:color w:val="000000"/>
                <w:kern w:val="0"/>
                <w:szCs w:val="21"/>
              </w:rPr>
              <w:t>，展线约15m。单幅图片采用KT板材质，保障画面清晰展示，图片长度不低于90cm；展陈形式采用金属展架，单组展架规格要求宽1.4m、高 2.4m，每组展架最多可悬挂2幅图文作品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3</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举办1场“广货行天下”主题展，租赁2张约6m展台，</w:t>
            </w:r>
            <w:r>
              <w:rPr>
                <w:rFonts w:hint="eastAsia" w:ascii="宋体" w:hAnsi="宋体" w:eastAsia="宋体" w:cs="宋体"/>
                <w:color w:val="000000"/>
                <w:kern w:val="0"/>
                <w:szCs w:val="21"/>
              </w:rPr>
              <w:t>根据甲方展品清单（参考附表二）组织</w:t>
            </w:r>
            <w:r>
              <w:rPr>
                <w:rFonts w:ascii="宋体" w:hAnsi="宋体" w:eastAsia="宋体" w:cs="宋体"/>
                <w:color w:val="000000"/>
                <w:kern w:val="0"/>
                <w:szCs w:val="21"/>
              </w:rPr>
              <w:t>并运输</w:t>
            </w:r>
            <w:r>
              <w:rPr>
                <w:rFonts w:hint="eastAsia" w:ascii="宋体" w:hAnsi="宋体" w:eastAsia="宋体" w:cs="宋体"/>
                <w:color w:val="000000"/>
                <w:kern w:val="0"/>
                <w:szCs w:val="21"/>
              </w:rPr>
              <w:t>34件</w:t>
            </w:r>
            <w:r>
              <w:rPr>
                <w:rFonts w:ascii="宋体" w:hAnsi="宋体" w:eastAsia="宋体" w:cs="宋体"/>
                <w:color w:val="000000"/>
                <w:kern w:val="0"/>
                <w:szCs w:val="21"/>
              </w:rPr>
              <w:t>广货优质展品</w:t>
            </w:r>
            <w:r>
              <w:rPr>
                <w:rFonts w:hint="eastAsia" w:ascii="宋体" w:hAnsi="宋体" w:eastAsia="宋体" w:cs="宋体"/>
                <w:color w:val="000000"/>
                <w:kern w:val="0"/>
                <w:szCs w:val="21"/>
              </w:rPr>
              <w:t>，运输</w:t>
            </w:r>
            <w:r>
              <w:rPr>
                <w:rFonts w:ascii="宋体" w:hAnsi="宋体" w:eastAsia="宋体" w:cs="宋体"/>
                <w:color w:val="000000"/>
                <w:kern w:val="0"/>
                <w:szCs w:val="21"/>
              </w:rPr>
              <w:t>约40本广东书籍前往柬埔寨</w:t>
            </w:r>
            <w:r>
              <w:rPr>
                <w:rFonts w:hint="eastAsia" w:ascii="宋体" w:hAnsi="宋体" w:eastAsia="宋体" w:cs="宋体"/>
                <w:color w:val="000000"/>
                <w:kern w:val="0"/>
                <w:szCs w:val="21"/>
              </w:rPr>
              <w:t>（书籍由甲方提供）</w:t>
            </w:r>
            <w:r>
              <w:rPr>
                <w:rFonts w:ascii="宋体" w:hAnsi="宋体" w:eastAsia="宋体" w:cs="宋体"/>
                <w:color w:val="000000"/>
                <w:kern w:val="0"/>
                <w:szCs w:val="21"/>
              </w:rPr>
              <w:t>。广货展品分为智能科技类、潮玩文创类、预包装农特产品类，展品如智能无弦吉他、AI翻译眼镜、醒狮潮玩、荔枝酥、酥心糖、月饼等，以静态陈列、互动体验形式展示，凸显广东智造、文创实力；设计并制作约40个15*10cm展签、10～15个40～60cmKT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举办1场积木拼搭体验活动，租赁1张约5m展桌、约10把椅子，组织并海外运输约20件广东积木玩具，现场进行广东积木拼搭体验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5</w:t>
            </w:r>
          </w:p>
        </w:tc>
        <w:tc>
          <w:tcPr>
            <w:tcW w:w="1559" w:type="dxa"/>
            <w:vMerge w:val="restart"/>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印尼</w:t>
            </w:r>
            <w:r>
              <w:rPr>
                <w:rFonts w:ascii="宋体" w:hAnsi="宋体" w:eastAsia="宋体" w:cs="宋体"/>
                <w:color w:val="000000"/>
                <w:kern w:val="0"/>
                <w:szCs w:val="21"/>
              </w:rPr>
              <w:t>文化交流活动执行</w:t>
            </w:r>
            <w:r>
              <w:rPr>
                <w:rFonts w:hint="eastAsia" w:ascii="宋体" w:hAnsi="宋体" w:eastAsia="宋体" w:cs="宋体"/>
                <w:color w:val="000000"/>
                <w:kern w:val="0"/>
                <w:szCs w:val="21"/>
              </w:rPr>
              <w:t>服务</w:t>
            </w:r>
            <w:r>
              <w:rPr>
                <w:rFonts w:ascii="宋体" w:hAnsi="宋体" w:eastAsia="宋体" w:cs="宋体"/>
                <w:color w:val="000000"/>
                <w:kern w:val="0"/>
                <w:szCs w:val="21"/>
              </w:rPr>
              <w:t>（9月22日下午，雅加达核心商圈）</w:t>
            </w: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场地租赁服务：在雅加达市内人流密集的核心商圈租赁开放/半开放空间，场地面积约200</w:t>
            </w:r>
            <w:r>
              <w:rPr>
                <w:rFonts w:hint="eastAsia" w:ascii="宋体" w:hAnsi="宋体" w:eastAsia="宋体" w:cs="微软雅黑"/>
                <w:color w:val="000000"/>
                <w:kern w:val="0"/>
                <w:szCs w:val="21"/>
              </w:rPr>
              <w:t>㎡</w:t>
            </w:r>
            <w:r>
              <w:rPr>
                <w:rFonts w:ascii="宋体" w:hAnsi="宋体" w:eastAsia="宋体" w:cs="宋体"/>
                <w:color w:val="000000"/>
                <w:kern w:val="0"/>
                <w:szCs w:val="21"/>
              </w:rPr>
              <w:t>，使用时长包含1天搭建（9月21日晚可提前入场搭建）、1天正式活动（9月22日）。场地需交通便利、安保条件良好，可灵活布局主活动舞台、展览区域，场地需适配文化创意展及现场交流活动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6</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举办1场“粤见亚太·遇见中国（广东）好物”——广货行天下走进印尼活动，现场需搭建不小于6m*3m LED屏幕、不小于6m*4m舞台、至少2组灯光、1套专业音响、不少于4个麦克风、1个讲话台、不少于50把观众椅、不少于2个80cm*180cm易拉宝等，现场需准备主持手卡、座位贴等会务物资，现场配备1位中印尼语双语主持人、4位礼仪、2位双语翻译、不少于2位工作人员等；包含布场撤场、清洁维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4"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7</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举办1场文化创意展，</w:t>
            </w:r>
            <w:r>
              <w:rPr>
                <w:rFonts w:hint="eastAsia" w:ascii="宋体" w:hAnsi="宋体" w:eastAsia="宋体" w:cs="宋体"/>
                <w:color w:val="000000"/>
                <w:kern w:val="0"/>
                <w:szCs w:val="21"/>
              </w:rPr>
              <w:t>制</w:t>
            </w:r>
            <w:r>
              <w:rPr>
                <w:rFonts w:ascii="宋体" w:hAnsi="宋体" w:eastAsia="宋体" w:cs="宋体"/>
                <w:color w:val="000000"/>
                <w:kern w:val="0"/>
                <w:szCs w:val="21"/>
              </w:rPr>
              <w:t>作30幅广东优秀图片作品</w:t>
            </w:r>
            <w:r>
              <w:rPr>
                <w:rFonts w:hint="eastAsia" w:ascii="宋体" w:hAnsi="宋体" w:eastAsia="宋体" w:cs="宋体"/>
                <w:color w:val="000000"/>
                <w:kern w:val="0"/>
                <w:szCs w:val="21"/>
              </w:rPr>
              <w:t>（</w:t>
            </w:r>
            <w:r>
              <w:rPr>
                <w:rFonts w:ascii="宋体" w:hAnsi="宋体" w:eastAsia="宋体" w:cs="宋体"/>
                <w:color w:val="000000"/>
                <w:kern w:val="0"/>
                <w:szCs w:val="21"/>
              </w:rPr>
              <w:t>图片素材由</w:t>
            </w:r>
            <w:r>
              <w:rPr>
                <w:rFonts w:hint="eastAsia" w:ascii="宋体" w:hAnsi="宋体" w:eastAsia="宋体" w:cs="宋体"/>
                <w:color w:val="000000"/>
                <w:kern w:val="0"/>
                <w:szCs w:val="21"/>
              </w:rPr>
              <w:t>甲方</w:t>
            </w:r>
            <w:r>
              <w:rPr>
                <w:rFonts w:ascii="宋体" w:hAnsi="宋体" w:eastAsia="宋体" w:cs="宋体"/>
                <w:color w:val="000000"/>
                <w:kern w:val="0"/>
                <w:szCs w:val="21"/>
              </w:rPr>
              <w:t>提供</w:t>
            </w:r>
            <w:r>
              <w:rPr>
                <w:rFonts w:hint="eastAsia" w:ascii="宋体" w:hAnsi="宋体" w:eastAsia="宋体" w:cs="宋体"/>
                <w:color w:val="000000"/>
                <w:kern w:val="0"/>
                <w:szCs w:val="21"/>
              </w:rPr>
              <w:t>）</w:t>
            </w:r>
            <w:r>
              <w:rPr>
                <w:rFonts w:ascii="宋体" w:hAnsi="宋体" w:eastAsia="宋体" w:cs="宋体"/>
                <w:color w:val="000000"/>
                <w:kern w:val="0"/>
                <w:szCs w:val="21"/>
              </w:rPr>
              <w:t>，展线约20m。单幅图片采用KT板材质，保障画面清晰展示，图片长度不低于90cm；展陈形式采用金属展架，单组展架规格要求宽1.4m、高 2.4m，每组展架最多可悬挂2幅图文作品，所有展架均需配套专业照明灯具，保障画面清晰展示、提升现场视觉氛围感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8</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举办1场“广货行天下”主题展，租赁2张约</w:t>
            </w:r>
            <w:r>
              <w:rPr>
                <w:rFonts w:hint="eastAsia" w:ascii="宋体" w:hAnsi="宋体" w:eastAsia="宋体" w:cs="宋体"/>
                <w:color w:val="000000"/>
                <w:kern w:val="0"/>
                <w:szCs w:val="21"/>
              </w:rPr>
              <w:t>6</w:t>
            </w:r>
            <w:r>
              <w:rPr>
                <w:rFonts w:ascii="宋体" w:hAnsi="宋体" w:eastAsia="宋体" w:cs="宋体"/>
                <w:color w:val="000000"/>
                <w:kern w:val="0"/>
                <w:szCs w:val="21"/>
              </w:rPr>
              <w:t>m展台，</w:t>
            </w:r>
            <w:r>
              <w:rPr>
                <w:rFonts w:hint="eastAsia" w:ascii="宋体" w:hAnsi="宋体" w:eastAsia="宋体" w:cs="宋体"/>
                <w:color w:val="000000"/>
                <w:kern w:val="0"/>
                <w:szCs w:val="21"/>
              </w:rPr>
              <w:t>根据甲方展品清单（参考附表二）组织</w:t>
            </w:r>
            <w:r>
              <w:rPr>
                <w:rFonts w:ascii="宋体" w:hAnsi="宋体" w:eastAsia="宋体" w:cs="宋体"/>
                <w:color w:val="000000"/>
                <w:kern w:val="0"/>
                <w:szCs w:val="21"/>
              </w:rPr>
              <w:t>并运输</w:t>
            </w:r>
            <w:r>
              <w:rPr>
                <w:rFonts w:hint="eastAsia" w:ascii="宋体" w:hAnsi="宋体" w:eastAsia="宋体" w:cs="宋体"/>
                <w:color w:val="000000"/>
                <w:kern w:val="0"/>
                <w:szCs w:val="21"/>
              </w:rPr>
              <w:t>34</w:t>
            </w:r>
            <w:r>
              <w:rPr>
                <w:rFonts w:ascii="宋体" w:hAnsi="宋体" w:eastAsia="宋体" w:cs="宋体"/>
                <w:color w:val="000000"/>
                <w:kern w:val="0"/>
                <w:szCs w:val="21"/>
              </w:rPr>
              <w:t>件广货优质展品。广货展品分为智能科技类、潮玩文创类、预包装农特产品类，展品如智能无弦吉他、AI翻译眼镜、醒狮潮玩、荔枝酥、酥心糖、月饼等，以静态陈列、互动体验形式展示，凸显广东智造、文创实力；设计并制作约</w:t>
            </w:r>
            <w:r>
              <w:rPr>
                <w:rFonts w:hint="eastAsia" w:ascii="宋体" w:hAnsi="宋体" w:eastAsia="宋体" w:cs="宋体"/>
                <w:color w:val="000000"/>
                <w:kern w:val="0"/>
                <w:szCs w:val="21"/>
              </w:rPr>
              <w:t>40</w:t>
            </w:r>
            <w:r>
              <w:rPr>
                <w:rFonts w:ascii="宋体" w:hAnsi="宋体" w:eastAsia="宋体" w:cs="宋体"/>
                <w:color w:val="000000"/>
                <w:kern w:val="0"/>
                <w:szCs w:val="21"/>
              </w:rPr>
              <w:t>个15*10cm展签、15～20个40～60cmKT板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9</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组织4-5位印尼模特身穿香云纱、手持“广货”，在活动主舞台进行约5分钟走秀，并在活动期间向现场观众推介“广货”展品、充分调动现场气氛，展现广货魅力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0</w:t>
            </w:r>
          </w:p>
        </w:tc>
        <w:tc>
          <w:tcPr>
            <w:tcW w:w="1559" w:type="dxa"/>
            <w:vMerge w:val="restar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团组A行程保障服务（9月19日至9月24日）</w:t>
            </w: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国际机票服务（1人，公务舱标准，优先使用国内航空公司航班），据实结算：</w:t>
            </w:r>
            <w:r>
              <w:rPr>
                <w:rFonts w:ascii="宋体" w:hAnsi="宋体" w:eastAsia="宋体" w:cs="宋体"/>
                <w:color w:val="000000"/>
                <w:kern w:val="0"/>
                <w:szCs w:val="21"/>
              </w:rPr>
              <w:br w:type="textWrapping"/>
            </w:r>
            <w:r>
              <w:rPr>
                <w:rFonts w:ascii="宋体" w:hAnsi="宋体" w:eastAsia="宋体" w:cs="宋体"/>
                <w:color w:val="000000"/>
                <w:kern w:val="0"/>
                <w:szCs w:val="21"/>
              </w:rPr>
              <w:t>9月19日：广州-金边-暹粒</w:t>
            </w:r>
            <w:r>
              <w:rPr>
                <w:rFonts w:ascii="宋体" w:hAnsi="宋体" w:eastAsia="宋体" w:cs="宋体"/>
                <w:color w:val="000000"/>
                <w:kern w:val="0"/>
                <w:szCs w:val="21"/>
              </w:rPr>
              <w:br w:type="textWrapping"/>
            </w:r>
            <w:r>
              <w:rPr>
                <w:rFonts w:ascii="宋体" w:hAnsi="宋体" w:eastAsia="宋体" w:cs="宋体"/>
                <w:color w:val="000000"/>
                <w:kern w:val="0"/>
                <w:szCs w:val="21"/>
              </w:rPr>
              <w:t>9月21日：暹粒-金边</w:t>
            </w:r>
            <w:r>
              <w:rPr>
                <w:rFonts w:ascii="宋体" w:hAnsi="宋体" w:eastAsia="宋体" w:cs="宋体"/>
                <w:color w:val="000000"/>
                <w:kern w:val="0"/>
                <w:szCs w:val="21"/>
              </w:rPr>
              <w:br w:type="textWrapping"/>
            </w:r>
            <w:r>
              <w:rPr>
                <w:rFonts w:ascii="宋体" w:hAnsi="宋体" w:eastAsia="宋体" w:cs="宋体"/>
                <w:color w:val="000000"/>
                <w:kern w:val="0"/>
                <w:szCs w:val="21"/>
              </w:rPr>
              <w:t>9月22日：金边-吉隆坡-雅加达</w:t>
            </w:r>
            <w:r>
              <w:rPr>
                <w:rFonts w:ascii="宋体" w:hAnsi="宋体" w:eastAsia="宋体" w:cs="宋体"/>
                <w:color w:val="000000"/>
                <w:kern w:val="0"/>
                <w:szCs w:val="21"/>
              </w:rPr>
              <w:br w:type="textWrapping"/>
            </w:r>
            <w:r>
              <w:rPr>
                <w:rFonts w:ascii="宋体" w:hAnsi="宋体" w:eastAsia="宋体" w:cs="宋体"/>
                <w:color w:val="000000"/>
                <w:kern w:val="0"/>
                <w:szCs w:val="21"/>
              </w:rPr>
              <w:t>9月23日：雅加达-日惹</w:t>
            </w:r>
            <w:r>
              <w:rPr>
                <w:rFonts w:ascii="宋体" w:hAnsi="宋体" w:eastAsia="宋体" w:cs="宋体"/>
                <w:color w:val="000000"/>
                <w:kern w:val="0"/>
                <w:szCs w:val="21"/>
              </w:rPr>
              <w:br w:type="textWrapping"/>
            </w:r>
            <w:r>
              <w:rPr>
                <w:rFonts w:ascii="宋体" w:hAnsi="宋体" w:eastAsia="宋体" w:cs="宋体"/>
                <w:color w:val="000000"/>
                <w:kern w:val="0"/>
                <w:szCs w:val="21"/>
              </w:rPr>
              <w:t>9月24日：日惹-雅加达-广州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1</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国际机票服务（5人，经济舱标准，优先使用国内航空公司航班），据实结算：</w:t>
            </w:r>
            <w:r>
              <w:rPr>
                <w:rFonts w:ascii="宋体" w:hAnsi="宋体" w:eastAsia="宋体" w:cs="宋体"/>
                <w:color w:val="000000"/>
                <w:kern w:val="0"/>
                <w:szCs w:val="21"/>
              </w:rPr>
              <w:br w:type="textWrapping"/>
            </w:r>
            <w:r>
              <w:rPr>
                <w:rFonts w:ascii="宋体" w:hAnsi="宋体" w:eastAsia="宋体" w:cs="宋体"/>
                <w:color w:val="000000"/>
                <w:kern w:val="0"/>
                <w:szCs w:val="21"/>
              </w:rPr>
              <w:t>9月19日：广州-金边-暹粒</w:t>
            </w:r>
            <w:r>
              <w:rPr>
                <w:rFonts w:ascii="宋体" w:hAnsi="宋体" w:eastAsia="宋体" w:cs="宋体"/>
                <w:color w:val="000000"/>
                <w:kern w:val="0"/>
                <w:szCs w:val="21"/>
              </w:rPr>
              <w:br w:type="textWrapping"/>
            </w:r>
            <w:r>
              <w:rPr>
                <w:rFonts w:ascii="宋体" w:hAnsi="宋体" w:eastAsia="宋体" w:cs="宋体"/>
                <w:color w:val="000000"/>
                <w:kern w:val="0"/>
                <w:szCs w:val="21"/>
              </w:rPr>
              <w:t>9月21日：暹粒-金边</w:t>
            </w:r>
            <w:r>
              <w:rPr>
                <w:rFonts w:ascii="宋体" w:hAnsi="宋体" w:eastAsia="宋体" w:cs="宋体"/>
                <w:color w:val="000000"/>
                <w:kern w:val="0"/>
                <w:szCs w:val="21"/>
              </w:rPr>
              <w:br w:type="textWrapping"/>
            </w:r>
            <w:r>
              <w:rPr>
                <w:rFonts w:ascii="宋体" w:hAnsi="宋体" w:eastAsia="宋体" w:cs="宋体"/>
                <w:color w:val="000000"/>
                <w:kern w:val="0"/>
                <w:szCs w:val="21"/>
              </w:rPr>
              <w:t>9月22日：金边-吉隆坡-雅加达</w:t>
            </w:r>
            <w:r>
              <w:rPr>
                <w:rFonts w:ascii="宋体" w:hAnsi="宋体" w:eastAsia="宋体" w:cs="宋体"/>
                <w:color w:val="000000"/>
                <w:kern w:val="0"/>
                <w:szCs w:val="21"/>
              </w:rPr>
              <w:br w:type="textWrapping"/>
            </w:r>
            <w:r>
              <w:rPr>
                <w:rFonts w:ascii="宋体" w:hAnsi="宋体" w:eastAsia="宋体" w:cs="宋体"/>
                <w:color w:val="000000"/>
                <w:kern w:val="0"/>
                <w:szCs w:val="21"/>
              </w:rPr>
              <w:t>9月23日：雅加达-日惹</w:t>
            </w:r>
            <w:r>
              <w:rPr>
                <w:rFonts w:ascii="宋体" w:hAnsi="宋体" w:eastAsia="宋体" w:cs="宋体"/>
                <w:color w:val="000000"/>
                <w:kern w:val="0"/>
                <w:szCs w:val="21"/>
              </w:rPr>
              <w:br w:type="textWrapping"/>
            </w:r>
            <w:r>
              <w:rPr>
                <w:rFonts w:ascii="宋体" w:hAnsi="宋体" w:eastAsia="宋体" w:cs="宋体"/>
                <w:color w:val="000000"/>
                <w:kern w:val="0"/>
                <w:szCs w:val="21"/>
              </w:rPr>
              <w:t>9月24日：日惹-雅加达-广州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2</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酒店住宿：预计暹粒2晚、金边1晚、雅加达1晚、日惹1晚（共6人），住宿标准符合因公出差相关经费管理规定，住宿地点需靠近活动/交流场地，交通便利、安保条件达标，具备基础商务接待与办公条件，据实结算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3</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柬埔寨和印尼行程期间的餐饮、市内交通保障等城市内行程保障服务（包括餐饮服务、市内交通保障服务等，按照柬埔寨3天、印尼3天，共6人）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4</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保险服务（6人），据实结算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5</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签证服务（6人），据实结算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6</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中柬英三语翻译1位（3天）、中英印尼三语翻译1位（3天），每日工作时长不低于14小时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5"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7</w:t>
            </w:r>
          </w:p>
        </w:tc>
        <w:tc>
          <w:tcPr>
            <w:tcW w:w="1559" w:type="dxa"/>
            <w:vMerge w:val="restart"/>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团组B行程保障服务（9月18日至9月23日）</w:t>
            </w: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国际机票服务（4人，经济舱标准，优先使用国内航空公司航班），据实结算：</w:t>
            </w:r>
            <w:r>
              <w:rPr>
                <w:rFonts w:ascii="宋体" w:hAnsi="宋体" w:eastAsia="宋体" w:cs="宋体"/>
                <w:color w:val="000000"/>
                <w:kern w:val="0"/>
                <w:szCs w:val="21"/>
              </w:rPr>
              <w:br w:type="textWrapping"/>
            </w:r>
            <w:r>
              <w:rPr>
                <w:rFonts w:ascii="宋体" w:hAnsi="宋体" w:eastAsia="宋体" w:cs="宋体"/>
                <w:color w:val="000000"/>
                <w:kern w:val="0"/>
                <w:szCs w:val="21"/>
              </w:rPr>
              <w:t>9月18日：广州-金边-暹粒</w:t>
            </w:r>
            <w:r>
              <w:rPr>
                <w:rFonts w:ascii="宋体" w:hAnsi="宋体" w:eastAsia="宋体" w:cs="宋体"/>
                <w:color w:val="000000"/>
                <w:kern w:val="0"/>
                <w:szCs w:val="21"/>
              </w:rPr>
              <w:br w:type="textWrapping"/>
            </w:r>
            <w:r>
              <w:rPr>
                <w:rFonts w:ascii="宋体" w:hAnsi="宋体" w:eastAsia="宋体" w:cs="宋体"/>
                <w:color w:val="000000"/>
                <w:kern w:val="0"/>
                <w:szCs w:val="21"/>
              </w:rPr>
              <w:t>9月20日：暹粒-新加坡-雅加达</w:t>
            </w:r>
            <w:r>
              <w:rPr>
                <w:rFonts w:ascii="宋体" w:hAnsi="宋体" w:eastAsia="宋体" w:cs="宋体"/>
                <w:color w:val="000000"/>
                <w:kern w:val="0"/>
                <w:szCs w:val="21"/>
              </w:rPr>
              <w:br w:type="textWrapping"/>
            </w:r>
            <w:r>
              <w:rPr>
                <w:rFonts w:ascii="宋体" w:hAnsi="宋体" w:eastAsia="宋体" w:cs="宋体"/>
                <w:color w:val="000000"/>
                <w:kern w:val="0"/>
                <w:szCs w:val="21"/>
              </w:rPr>
              <w:t>9月23日：雅加达-广州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w:t>
            </w:r>
            <w:r>
              <w:rPr>
                <w:rFonts w:hint="eastAsia" w:ascii="宋体" w:hAnsi="宋体" w:eastAsia="宋体" w:cs="宋体"/>
                <w:color w:val="000000"/>
                <w:kern w:val="0"/>
                <w:szCs w:val="21"/>
              </w:rPr>
              <w:t>8</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酒店住宿：预计暹粒2晚、雅加达3晚（共4人），住宿标准符合因公出差相关经费管理规定，住宿地点需靠近活动/交流场地，交通便利、安保条件达标，具备基础商务接待与办公条件，据实结算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trPr>
        <w:tc>
          <w:tcPr>
            <w:tcW w:w="568"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19</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柬埔寨和印尼行程期间的餐饮、市内交通保障等城市内行程保障服务（包括餐饮服务、市内交通保障服务等，按照柬埔寨3天、印尼3天，共4人）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0</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保险服务（4人），据实结算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1</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签证服务（4人），据实结算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568"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2</w:t>
            </w:r>
          </w:p>
        </w:tc>
        <w:tc>
          <w:tcPr>
            <w:tcW w:w="1559" w:type="dxa"/>
            <w:vMerge w:val="continue"/>
            <w:vAlign w:val="center"/>
          </w:tcPr>
          <w:p>
            <w:pPr>
              <w:widowControl/>
              <w:jc w:val="left"/>
              <w:rPr>
                <w:rFonts w:hint="eastAsia" w:ascii="宋体" w:hAnsi="宋体" w:eastAsia="宋体" w:cs="宋体"/>
                <w:color w:val="000000"/>
                <w:kern w:val="0"/>
                <w:szCs w:val="21"/>
              </w:rPr>
            </w:pPr>
          </w:p>
        </w:tc>
        <w:tc>
          <w:tcPr>
            <w:tcW w:w="6946"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中柬英三语翻译1位（3天）、中英印尼三语翻译1位（3天），每日工作时长不低于14小时</w:t>
            </w:r>
          </w:p>
        </w:tc>
      </w:tr>
    </w:tbl>
    <w:p>
      <w:pPr>
        <w:widowControl/>
        <w:jc w:val="left"/>
        <w:rPr>
          <w:rFonts w:hint="eastAsia" w:ascii="宋体" w:hAnsi="宋体" w:eastAsia="宋体" w:cs="宋体"/>
          <w:szCs w:val="21"/>
        </w:rPr>
      </w:pPr>
    </w:p>
    <w:p>
      <w:pPr>
        <w:widowControl/>
        <w:jc w:val="left"/>
        <w:rPr>
          <w:rFonts w:hint="eastAsia" w:ascii="宋体" w:hAnsi="宋体" w:eastAsia="宋体"/>
          <w:b/>
          <w:bCs/>
          <w:szCs w:val="21"/>
        </w:rPr>
      </w:pPr>
      <w:r>
        <w:rPr>
          <w:rFonts w:hint="eastAsia" w:ascii="宋体" w:hAnsi="宋体" w:eastAsia="宋体"/>
          <w:b/>
          <w:bCs/>
          <w:szCs w:val="21"/>
        </w:rPr>
        <w:br w:type="page"/>
      </w:r>
    </w:p>
    <w:p>
      <w:pPr>
        <w:widowControl/>
        <w:jc w:val="center"/>
        <w:rPr>
          <w:rFonts w:hint="eastAsia" w:ascii="宋体" w:hAnsi="宋体" w:eastAsia="宋体" w:cs="宋体"/>
          <w:szCs w:val="21"/>
        </w:rPr>
      </w:pPr>
      <w:r>
        <w:rPr>
          <w:rFonts w:hint="eastAsia" w:ascii="宋体" w:hAnsi="宋体" w:eastAsia="宋体"/>
          <w:b/>
          <w:bCs/>
          <w:szCs w:val="21"/>
        </w:rPr>
        <w:t>附表二：柬埔寨、印尼广货展品清单</w:t>
      </w:r>
    </w:p>
    <w:tbl>
      <w:tblPr>
        <w:tblStyle w:val="41"/>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704"/>
        <w:gridCol w:w="1422"/>
        <w:gridCol w:w="567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序号</w:t>
            </w:r>
          </w:p>
        </w:tc>
        <w:tc>
          <w:tcPr>
            <w:tcW w:w="1422"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展品类别</w:t>
            </w:r>
          </w:p>
        </w:tc>
        <w:tc>
          <w:tcPr>
            <w:tcW w:w="5670"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展品名称</w:t>
            </w:r>
          </w:p>
        </w:tc>
        <w:tc>
          <w:tcPr>
            <w:tcW w:w="1134" w:type="dxa"/>
            <w:noWrap/>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展品</w:t>
            </w:r>
            <w:r>
              <w:rPr>
                <w:rFonts w:hint="eastAsia" w:ascii="宋体" w:hAnsi="宋体" w:eastAsia="宋体" w:cs="宋体"/>
                <w:color w:val="000000"/>
                <w:kern w:val="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1422" w:type="dxa"/>
            <w:vMerge w:val="restart"/>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预包装农特产品类</w:t>
            </w: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广州酒家荔枝酥</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ascii="宋体" w:hAnsi="宋体" w:eastAsia="宋体" w:cs="宋体"/>
                <w:color w:val="000000"/>
                <w:kern w:val="0"/>
                <w:szCs w:val="21"/>
              </w:rPr>
              <w:t>盒</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olor w:val="000000"/>
                <w:kern w:val="0"/>
                <w:szCs w:val="21"/>
              </w:rPr>
            </w:pPr>
            <w:r>
              <w:rPr>
                <w:rFonts w:hint="eastAsia" w:ascii="宋体" w:hAnsi="宋体" w:eastAsia="宋体"/>
                <w:color w:val="000000"/>
                <w:szCs w:val="21"/>
              </w:rPr>
              <w:t>“</w:t>
            </w:r>
            <w:r>
              <w:rPr>
                <w:rFonts w:ascii="宋体" w:hAnsi="宋体" w:eastAsia="宋体"/>
                <w:color w:val="000000"/>
                <w:szCs w:val="21"/>
              </w:rPr>
              <w:t>广州礼物·花城好礼”糕点</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ascii="宋体" w:hAnsi="宋体" w:eastAsia="宋体" w:cs="宋体"/>
                <w:color w:val="000000"/>
                <w:kern w:val="0"/>
                <w:szCs w:val="21"/>
              </w:rPr>
              <w:t>盒</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“广州礼物·花城锦绣”糕点</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3盒/国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4</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广州酒家月饼</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2盒/国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5</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徐福记酥心糖</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w:t>
            </w:r>
            <w:r>
              <w:rPr>
                <w:rFonts w:ascii="宋体" w:hAnsi="宋体" w:eastAsia="宋体" w:cs="宋体"/>
                <w:color w:val="000000"/>
                <w:kern w:val="0"/>
                <w:szCs w:val="21"/>
              </w:rPr>
              <w:t>包</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6</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徐福记凤梨酥</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5包/国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7</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徐福记沙琪玛</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5包/国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8</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徐福记剥皮软糖/果汁橡皮糖</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w:t>
            </w:r>
            <w:r>
              <w:rPr>
                <w:rFonts w:ascii="宋体" w:hAnsi="宋体" w:eastAsia="宋体" w:cs="宋体"/>
                <w:color w:val="000000"/>
                <w:kern w:val="0"/>
                <w:szCs w:val="21"/>
              </w:rPr>
              <w:t>包</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9</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阿麦斯音乐棒棒糖</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15</w:t>
            </w:r>
            <w:r>
              <w:rPr>
                <w:rFonts w:ascii="宋体" w:hAnsi="宋体" w:eastAsia="宋体" w:cs="宋体"/>
                <w:color w:val="000000"/>
                <w:kern w:val="0"/>
                <w:szCs w:val="21"/>
              </w:rPr>
              <w:t>根</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10</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培林化橘红糖</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w:t>
            </w:r>
            <w:r>
              <w:rPr>
                <w:rFonts w:ascii="宋体" w:hAnsi="宋体" w:eastAsia="宋体" w:cs="宋体"/>
                <w:color w:val="000000"/>
                <w:kern w:val="0"/>
                <w:szCs w:val="21"/>
              </w:rPr>
              <w:t>罐</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11</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白切鸡味、玫瑰豉油鸡、五指毛桃、猪脚姜牛奶</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4盒/国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12</w:t>
            </w:r>
          </w:p>
        </w:tc>
        <w:tc>
          <w:tcPr>
            <w:tcW w:w="1422" w:type="dxa"/>
            <w:vMerge w:val="restart"/>
            <w:vAlign w:val="center"/>
          </w:tcPr>
          <w:p>
            <w:pPr>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潮玩</w:t>
            </w:r>
            <w:r>
              <w:rPr>
                <w:rFonts w:ascii="宋体" w:hAnsi="宋体" w:eastAsia="宋体" w:cs="宋体"/>
                <w:color w:val="000000"/>
                <w:kern w:val="0"/>
                <w:szCs w:val="21"/>
              </w:rPr>
              <w:t>文创产品</w:t>
            </w: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广州酒家美食文创公仔</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1套/国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13</w:t>
            </w:r>
          </w:p>
        </w:tc>
        <w:tc>
          <w:tcPr>
            <w:tcW w:w="1422" w:type="dxa"/>
            <w:vMerge w:val="continue"/>
            <w:vAlign w:val="center"/>
          </w:tcPr>
          <w:p>
            <w:pPr>
              <w:jc w:val="center"/>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十五运会吉祥物</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1对/国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14</w:t>
            </w:r>
          </w:p>
        </w:tc>
        <w:tc>
          <w:tcPr>
            <w:tcW w:w="1422" w:type="dxa"/>
            <w:vMerge w:val="continue"/>
            <w:vAlign w:val="center"/>
          </w:tcPr>
          <w:p>
            <w:pPr>
              <w:jc w:val="center"/>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广东省第十七届运动会</w:t>
            </w:r>
            <w:r>
              <w:rPr>
                <w:rFonts w:hint="eastAsia" w:ascii="宋体" w:hAnsi="宋体" w:eastAsia="宋体" w:cs="宋体"/>
                <w:color w:val="000000"/>
                <w:kern w:val="0"/>
                <w:szCs w:val="21"/>
              </w:rPr>
              <w:t>吉祥物</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15</w:t>
            </w:r>
          </w:p>
        </w:tc>
        <w:tc>
          <w:tcPr>
            <w:tcW w:w="1422" w:type="dxa"/>
            <w:vMerge w:val="continue"/>
            <w:vAlign w:val="center"/>
          </w:tcPr>
          <w:p>
            <w:pPr>
              <w:jc w:val="center"/>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广东省第十七届运动会</w:t>
            </w:r>
            <w:r>
              <w:rPr>
                <w:rFonts w:hint="eastAsia" w:ascii="宋体" w:hAnsi="宋体" w:eastAsia="宋体" w:cs="宋体"/>
                <w:color w:val="000000"/>
                <w:kern w:val="0"/>
                <w:szCs w:val="21"/>
              </w:rPr>
              <w:t>冰箱贴</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16</w:t>
            </w:r>
          </w:p>
        </w:tc>
        <w:tc>
          <w:tcPr>
            <w:tcW w:w="1422" w:type="dxa"/>
            <w:vMerge w:val="continue"/>
            <w:vAlign w:val="center"/>
          </w:tcPr>
          <w:p>
            <w:pPr>
              <w:widowControl/>
              <w:jc w:val="center"/>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“醒狮”系列3D金属拼图</w:t>
            </w:r>
            <w:r>
              <w:rPr>
                <w:rFonts w:hint="eastAsia" w:ascii="宋体" w:hAnsi="宋体" w:eastAsia="宋体" w:cs="宋体"/>
                <w:color w:val="000000"/>
                <w:kern w:val="0"/>
                <w:szCs w:val="21"/>
              </w:rPr>
              <w:t>（拼酷）</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1对/国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17</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“十里红妆”系列3D金属拼图</w:t>
            </w:r>
            <w:r>
              <w:rPr>
                <w:rFonts w:hint="eastAsia" w:ascii="宋体" w:hAnsi="宋体" w:eastAsia="宋体" w:cs="宋体"/>
                <w:color w:val="000000"/>
                <w:kern w:val="0"/>
                <w:szCs w:val="21"/>
              </w:rPr>
              <w:t>（拼酷）</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18</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疏影螺钿折扇3D金属拼图</w:t>
            </w:r>
            <w:r>
              <w:rPr>
                <w:rFonts w:hint="eastAsia" w:ascii="宋体" w:hAnsi="宋体" w:eastAsia="宋体" w:cs="宋体"/>
                <w:color w:val="000000"/>
                <w:kern w:val="0"/>
                <w:szCs w:val="21"/>
              </w:rPr>
              <w:t>（拼酷）</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19</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本潮纲目·“中医药养生”系列玩偶</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20</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本潮纲目·大药煲</w:t>
            </w:r>
            <w:r>
              <w:rPr>
                <w:rFonts w:hint="eastAsia" w:ascii="宋体" w:hAnsi="宋体" w:eastAsia="宋体" w:cs="宋体"/>
                <w:color w:val="000000"/>
                <w:kern w:val="0"/>
                <w:szCs w:val="21"/>
              </w:rPr>
              <w:t>玩偶</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21</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哈记“烧鹅”系列玩偶</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22</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顺顺荔荔.荔枝系列玩偶</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23</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荔马有梗系列毛绒盲盒</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24</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龙行</w:t>
            </w:r>
            <w:r>
              <w:rPr>
                <w:rFonts w:hint="eastAsia" w:ascii="宋体" w:hAnsi="宋体" w:eastAsia="宋体" w:cs="微软雅黑"/>
                <w:color w:val="000000"/>
                <w:kern w:val="0"/>
                <w:szCs w:val="21"/>
              </w:rPr>
              <w:t>龘龘</w:t>
            </w:r>
            <w:r>
              <w:rPr>
                <w:rFonts w:ascii="宋体" w:hAnsi="宋体" w:eastAsia="宋体" w:cs="宋体"/>
                <w:color w:val="000000"/>
                <w:kern w:val="0"/>
                <w:szCs w:val="21"/>
              </w:rPr>
              <w:t>·龙舟系列包</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25</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春晚</w:t>
            </w:r>
            <w:r>
              <w:rPr>
                <w:rFonts w:ascii="宋体" w:hAnsi="宋体" w:eastAsia="宋体" w:cs="宋体"/>
                <w:color w:val="000000"/>
                <w:kern w:val="0"/>
                <w:szCs w:val="21"/>
              </w:rPr>
              <w:t>吉祥物毛绒包挂</w:t>
            </w:r>
            <w:r>
              <w:rPr>
                <w:rFonts w:hint="eastAsia" w:ascii="宋体" w:hAnsi="宋体" w:eastAsia="宋体" w:cs="宋体"/>
                <w:color w:val="000000"/>
                <w:kern w:val="0"/>
                <w:szCs w:val="21"/>
              </w:rPr>
              <w:t>（</w:t>
            </w:r>
            <w:r>
              <w:rPr>
                <w:rFonts w:ascii="宋体" w:hAnsi="宋体" w:eastAsia="宋体" w:cs="宋体"/>
                <w:color w:val="000000"/>
                <w:kern w:val="0"/>
                <w:szCs w:val="21"/>
              </w:rPr>
              <w:t>骐骐、骥骥、骋骋、驰驰</w:t>
            </w:r>
            <w:r>
              <w:rPr>
                <w:rFonts w:hint="eastAsia" w:ascii="宋体" w:hAnsi="宋体" w:eastAsia="宋体" w:cs="宋体"/>
                <w:color w:val="000000"/>
                <w:kern w:val="0"/>
                <w:szCs w:val="21"/>
              </w:rPr>
              <w:t>）</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套</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26</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汕头美食佳肴积木</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27</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汕头积木花</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20根/国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28</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汕头红头船积木</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29</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汕头英歌舞积木</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3个/国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30</w:t>
            </w:r>
          </w:p>
        </w:tc>
        <w:tc>
          <w:tcPr>
            <w:tcW w:w="1422" w:type="dxa"/>
            <w:vMerge w:val="restart"/>
            <w:vAlign w:val="center"/>
          </w:tcPr>
          <w:p>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智能科技</w:t>
            </w:r>
            <w:r>
              <w:rPr>
                <w:rFonts w:hint="eastAsia" w:ascii="宋体" w:hAnsi="宋体" w:eastAsia="宋体" w:cs="宋体"/>
                <w:color w:val="000000"/>
                <w:kern w:val="0"/>
                <w:szCs w:val="21"/>
              </w:rPr>
              <w:t>产品</w:t>
            </w: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深圳</w:t>
            </w:r>
            <w:r>
              <w:rPr>
                <w:rFonts w:ascii="宋体" w:hAnsi="宋体" w:eastAsia="宋体" w:cs="宋体"/>
                <w:color w:val="000000"/>
                <w:kern w:val="0"/>
                <w:szCs w:val="21"/>
              </w:rPr>
              <w:t>AI同传蓝牙翻译耳机</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31</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ascii="宋体" w:hAnsi="宋体" w:eastAsia="宋体" w:cs="宋体"/>
                <w:color w:val="000000"/>
                <w:kern w:val="0"/>
                <w:szCs w:val="21"/>
              </w:rPr>
              <w:t>欧达M5手持云台口袋相机</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32</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深圳</w:t>
            </w:r>
            <w:r>
              <w:rPr>
                <w:rFonts w:ascii="宋体" w:hAnsi="宋体" w:eastAsia="宋体" w:cs="宋体"/>
                <w:color w:val="000000"/>
                <w:kern w:val="0"/>
                <w:szCs w:val="21"/>
              </w:rPr>
              <w:t>AI翻译眼镜</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33</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感音空气架子鼓</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ascii="宋体" w:hAnsi="宋体" w:eastAsia="宋体" w:cs="宋体"/>
                <w:color w:val="000000"/>
                <w:kern w:val="0"/>
                <w:szCs w:val="21"/>
              </w:rPr>
              <w:t>个</w:t>
            </w:r>
            <w:r>
              <w:rPr>
                <w:rFonts w:hint="eastAsia" w:ascii="宋体" w:hAnsi="宋体" w:eastAsia="宋体" w:cs="宋体"/>
                <w:color w:val="000000"/>
                <w:kern w:val="0"/>
                <w:szCs w:val="21"/>
              </w:rPr>
              <w:t>/国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jc w:val="center"/>
        </w:trPr>
        <w:tc>
          <w:tcPr>
            <w:tcW w:w="704" w:type="dxa"/>
            <w:noWrap/>
            <w:vAlign w:val="center"/>
          </w:tcPr>
          <w:p>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34</w:t>
            </w:r>
          </w:p>
        </w:tc>
        <w:tc>
          <w:tcPr>
            <w:tcW w:w="1422" w:type="dxa"/>
            <w:vMerge w:val="continue"/>
            <w:vAlign w:val="center"/>
          </w:tcPr>
          <w:p>
            <w:pPr>
              <w:widowControl/>
              <w:jc w:val="left"/>
              <w:rPr>
                <w:rFonts w:hint="eastAsia" w:ascii="宋体" w:hAnsi="宋体" w:eastAsia="宋体" w:cs="宋体"/>
                <w:color w:val="000000"/>
                <w:kern w:val="0"/>
                <w:szCs w:val="21"/>
              </w:rPr>
            </w:pPr>
          </w:p>
        </w:tc>
        <w:tc>
          <w:tcPr>
            <w:tcW w:w="5670"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Liberlive</w:t>
            </w:r>
            <w:r>
              <w:rPr>
                <w:rFonts w:ascii="宋体" w:hAnsi="宋体" w:eastAsia="宋体" w:cs="宋体"/>
                <w:color w:val="000000"/>
                <w:kern w:val="0"/>
                <w:szCs w:val="21"/>
              </w:rPr>
              <w:t>无弦智能吉他</w:t>
            </w:r>
          </w:p>
        </w:tc>
        <w:tc>
          <w:tcPr>
            <w:tcW w:w="1134" w:type="dxa"/>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个</w:t>
            </w:r>
            <w:r>
              <w:rPr>
                <w:rFonts w:hint="eastAsia" w:ascii="宋体" w:hAnsi="宋体" w:eastAsia="宋体" w:cs="宋体"/>
                <w:color w:val="000000"/>
                <w:kern w:val="0"/>
                <w:szCs w:val="21"/>
              </w:rPr>
              <w:t>（1大1小）/国</w:t>
            </w:r>
          </w:p>
        </w:tc>
      </w:tr>
    </w:tbl>
    <w:p>
      <w:pPr>
        <w:snapToGrid w:val="0"/>
        <w:spacing w:line="360" w:lineRule="auto"/>
        <w:jc w:val="left"/>
        <w:rPr>
          <w:rFonts w:hint="eastAsia" w:ascii="宋体" w:hAnsi="宋体" w:eastAsia="宋体" w:cs="宋体"/>
          <w:szCs w:val="21"/>
          <w:shd w:val="clear" w:color="auto" w:fill="FFFFFF"/>
        </w:rPr>
      </w:pPr>
    </w:p>
    <w:p>
      <w:pPr>
        <w:rPr>
          <w:rFonts w:hint="eastAsia" w:ascii="宋体" w:hAnsi="宋体" w:eastAsia="宋体"/>
        </w:rPr>
      </w:pPr>
    </w:p>
    <w:p>
      <w:pPr>
        <w:jc w:val="left"/>
        <w:rPr>
          <w:rFonts w:hint="eastAsia" w:ascii="宋体" w:hAnsi="宋体" w:eastAsia="宋体"/>
          <w:b/>
          <w:sz w:val="22"/>
          <w:szCs w:val="24"/>
          <w:lang w:eastAsia="zh-CN"/>
        </w:rPr>
      </w:pPr>
      <w:r>
        <w:rPr>
          <w:rFonts w:ascii="宋体" w:hAnsi="宋体" w:eastAsia="宋体"/>
          <w:b/>
          <w:sz w:val="22"/>
          <w:szCs w:val="24"/>
        </w:rPr>
        <w:t>注：合同具体事项须根据</w:t>
      </w:r>
      <w:r>
        <w:rPr>
          <w:rFonts w:hint="eastAsia" w:ascii="宋体" w:hAnsi="宋体" w:eastAsia="宋体"/>
          <w:b/>
          <w:sz w:val="22"/>
          <w:szCs w:val="24"/>
        </w:rPr>
        <w:t>招标</w:t>
      </w:r>
      <w:r>
        <w:rPr>
          <w:rFonts w:ascii="宋体" w:hAnsi="宋体" w:eastAsia="宋体"/>
          <w:b/>
          <w:sz w:val="22"/>
          <w:szCs w:val="24"/>
        </w:rPr>
        <w:t>文件的约定及乙方投标文件的承诺执行</w:t>
      </w:r>
      <w:r>
        <w:rPr>
          <w:rFonts w:hint="eastAsia" w:ascii="宋体" w:hAnsi="宋体" w:eastAsia="宋体"/>
          <w:b/>
          <w:sz w:val="22"/>
          <w:szCs w:val="24"/>
          <w:lang w:eastAsia="zh-CN"/>
        </w:rPr>
        <w:t>。</w:t>
      </w:r>
    </w:p>
    <w:p>
      <w:pPr>
        <w:jc w:val="left"/>
        <w:rPr>
          <w:rFonts w:hint="eastAsia" w:ascii="宋体" w:hAnsi="宋体" w:eastAsia="宋体"/>
          <w:sz w:val="22"/>
          <w:szCs w:val="24"/>
        </w:rPr>
      </w:pPr>
    </w:p>
    <w:p>
      <w:pPr>
        <w:pStyle w:val="2"/>
        <w:keepNext w:val="0"/>
        <w:keepLines w:val="0"/>
        <w:pageBreakBefore/>
        <w:spacing w:line="360" w:lineRule="auto"/>
        <w:jc w:val="center"/>
        <w:rPr>
          <w:rFonts w:hint="eastAsia" w:ascii="宋体" w:hAnsi="宋体" w:eastAsia="宋体"/>
          <w:color w:val="000000" w:themeColor="text1"/>
          <w:spacing w:val="20"/>
          <w:sz w:val="36"/>
          <w:szCs w:val="36"/>
          <w14:textFill>
            <w14:solidFill>
              <w14:schemeClr w14:val="tx1"/>
            </w14:solidFill>
          </w14:textFill>
        </w:rPr>
      </w:pPr>
      <w:bookmarkStart w:id="113" w:name="_Toc25500"/>
      <w:bookmarkStart w:id="114" w:name="_Toc30800"/>
      <w:bookmarkStart w:id="115" w:name="_Toc17392"/>
      <w:r>
        <w:rPr>
          <w:rFonts w:hint="eastAsia" w:ascii="宋体" w:hAnsi="宋体" w:eastAsia="宋体"/>
          <w:color w:val="000000" w:themeColor="text1"/>
          <w:spacing w:val="20"/>
          <w:sz w:val="36"/>
          <w:szCs w:val="36"/>
          <w14:textFill>
            <w14:solidFill>
              <w14:schemeClr w14:val="tx1"/>
            </w14:solidFill>
          </w14:textFill>
        </w:rPr>
        <w:t>第七部分 投标文件格式</w:t>
      </w:r>
      <w:bookmarkEnd w:id="110"/>
      <w:bookmarkEnd w:id="111"/>
      <w:bookmarkEnd w:id="113"/>
      <w:bookmarkEnd w:id="114"/>
      <w:bookmarkEnd w:id="115"/>
    </w:p>
    <w:p>
      <w:pPr>
        <w:pStyle w:val="63"/>
        <w:spacing w:after="312" w:afterLines="100" w:line="360" w:lineRule="auto"/>
        <w:ind w:left="420" w:right="108"/>
        <w:jc w:val="right"/>
        <w:rPr>
          <w:rFonts w:hint="eastAsia" w:ascii="宋体" w:hAnsi="宋体" w:eastAsia="宋体"/>
          <w:b/>
          <w:color w:val="000000" w:themeColor="text1"/>
          <w:sz w:val="40"/>
          <w:szCs w:val="40"/>
          <w14:textFill>
            <w14:solidFill>
              <w14:schemeClr w14:val="tx1"/>
            </w14:solidFill>
          </w14:textFill>
        </w:rPr>
      </w:pPr>
      <w:r>
        <w:rPr>
          <w:rFonts w:hint="eastAsia" w:ascii="宋体" w:hAnsi="宋体" w:eastAsia="宋体"/>
          <w:b/>
          <w:color w:val="000000" w:themeColor="text1"/>
          <w:sz w:val="40"/>
          <w:szCs w:val="40"/>
          <w14:textFill>
            <w14:solidFill>
              <w14:schemeClr w14:val="tx1"/>
            </w14:solidFill>
          </w14:textFill>
        </w:rPr>
        <w:t>正本</w:t>
      </w:r>
      <w:r>
        <w:rPr>
          <w:rFonts w:ascii="宋体" w:hAnsi="宋体" w:eastAsia="宋体"/>
          <w:b/>
          <w:color w:val="000000" w:themeColor="text1"/>
          <w:sz w:val="40"/>
          <w:szCs w:val="40"/>
          <w14:textFill>
            <w14:solidFill>
              <w14:schemeClr w14:val="tx1"/>
            </w14:solidFill>
          </w14:textFill>
        </w:rPr>
        <w:t>/副本</w:t>
      </w:r>
    </w:p>
    <w:p>
      <w:pPr>
        <w:spacing w:line="360" w:lineRule="auto"/>
        <w:jc w:val="center"/>
        <w:rPr>
          <w:rFonts w:hint="eastAsia" w:ascii="宋体" w:hAnsi="宋体" w:eastAsia="宋体"/>
          <w:bCs/>
          <w:color w:val="000000" w:themeColor="text1"/>
          <w:sz w:val="52"/>
          <w:szCs w:val="52"/>
          <w14:textFill>
            <w14:solidFill>
              <w14:schemeClr w14:val="tx1"/>
            </w14:solidFill>
          </w14:textFill>
        </w:rPr>
      </w:pPr>
      <w:r>
        <w:rPr>
          <w:rFonts w:hint="eastAsia" w:ascii="宋体" w:hAnsi="宋体" w:eastAsia="宋体"/>
          <w:bCs/>
          <w:color w:val="000000" w:themeColor="text1"/>
          <w:sz w:val="52"/>
          <w:szCs w:val="52"/>
          <w14:textFill>
            <w14:solidFill>
              <w14:schemeClr w14:val="tx1"/>
            </w14:solidFill>
          </w14:textFill>
        </w:rPr>
        <w:t>赴柬埔寨、印尼开展文化交流活动及行程服务项目</w:t>
      </w:r>
    </w:p>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（项目编号：</w:t>
      </w:r>
      <w:r>
        <w:rPr>
          <w:rFonts w:ascii="宋体" w:hAnsi="宋体" w:eastAsia="宋体"/>
          <w:b/>
          <w:color w:val="000000" w:themeColor="text1"/>
          <w:sz w:val="22"/>
          <w:u w:val="single"/>
          <w14:textFill>
            <w14:solidFill>
              <w14:schemeClr w14:val="tx1"/>
            </w14:solidFill>
          </w14:textFill>
        </w:rPr>
        <w:t xml:space="preserve">             </w:t>
      </w:r>
      <w:r>
        <w:rPr>
          <w:rFonts w:hint="eastAsia" w:ascii="宋体" w:hAnsi="宋体" w:eastAsia="宋体"/>
          <w:b/>
          <w:color w:val="000000" w:themeColor="text1"/>
          <w:sz w:val="22"/>
          <w14:textFill>
            <w14:solidFill>
              <w14:schemeClr w14:val="tx1"/>
            </w14:solidFill>
          </w14:textFill>
        </w:rPr>
        <w:t>）</w:t>
      </w:r>
    </w:p>
    <w:p>
      <w:pPr>
        <w:spacing w:before="1248" w:beforeLines="400" w:line="360" w:lineRule="auto"/>
        <w:jc w:val="center"/>
        <w:rPr>
          <w:rFonts w:hint="eastAsia" w:ascii="宋体" w:hAnsi="宋体" w:eastAsia="宋体"/>
          <w:b/>
          <w:color w:val="000000" w:themeColor="text1"/>
          <w:spacing w:val="60"/>
          <w:sz w:val="96"/>
          <w:szCs w:val="96"/>
          <w14:textFill>
            <w14:solidFill>
              <w14:schemeClr w14:val="tx1"/>
            </w14:solidFill>
          </w14:textFill>
        </w:rPr>
      </w:pPr>
      <w:r>
        <w:rPr>
          <w:rFonts w:hint="eastAsia" w:ascii="宋体" w:hAnsi="宋体" w:eastAsia="宋体"/>
          <w:b/>
          <w:color w:val="000000" w:themeColor="text1"/>
          <w:spacing w:val="60"/>
          <w:sz w:val="96"/>
          <w:szCs w:val="96"/>
          <w14:textFill>
            <w14:solidFill>
              <w14:schemeClr w14:val="tx1"/>
            </w14:solidFill>
          </w14:textFill>
        </w:rPr>
        <w:t>投标文件</w:t>
      </w:r>
    </w:p>
    <w:p>
      <w:pPr>
        <w:spacing w:after="1560" w:afterLines="500"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（封面格式仅供参考）</w:t>
      </w:r>
    </w:p>
    <w:tbl>
      <w:tblPr>
        <w:tblStyle w:val="42"/>
        <w:tblW w:w="418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85"/>
        <w:gridCol w:w="52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421" w:type="pct"/>
            <w:vAlign w:val="center"/>
          </w:tcPr>
          <w:p>
            <w:pPr>
              <w:spacing w:line="360" w:lineRule="auto"/>
              <w:jc w:val="right"/>
              <w:rPr>
                <w:rFonts w:hint="eastAsia"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投标人名称：</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421" w:type="pct"/>
            <w:vAlign w:val="center"/>
          </w:tcPr>
          <w:p>
            <w:pPr>
              <w:spacing w:line="360" w:lineRule="auto"/>
              <w:jc w:val="right"/>
              <w:rPr>
                <w:rFonts w:hint="eastAsia"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投标人地址：</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421" w:type="pct"/>
            <w:vAlign w:val="center"/>
          </w:tcPr>
          <w:p>
            <w:pPr>
              <w:spacing w:line="360" w:lineRule="auto"/>
              <w:jc w:val="right"/>
              <w:rPr>
                <w:rFonts w:hint="eastAsia" w:ascii="宋体" w:hAnsi="宋体" w:eastAsia="宋体" w:cs="Times New Roman"/>
                <w:color w:val="000000" w:themeColor="text1"/>
                <w:spacing w:val="-10"/>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投标联系人</w:t>
            </w:r>
            <w:r>
              <w:rPr>
                <w:rFonts w:hint="eastAsia" w:ascii="宋体" w:hAnsi="宋体" w:eastAsia="宋体" w:cs="Times New Roman"/>
                <w:color w:val="000000" w:themeColor="text1"/>
                <w:spacing w:val="-10"/>
                <w:kern w:val="0"/>
                <w:sz w:val="28"/>
                <w:szCs w:val="28"/>
                <w14:textFill>
                  <w14:solidFill>
                    <w14:schemeClr w14:val="tx1"/>
                  </w14:solidFill>
                </w14:textFill>
              </w:rPr>
              <w:t>：</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421" w:type="pct"/>
            <w:vAlign w:val="center"/>
          </w:tcPr>
          <w:p>
            <w:pPr>
              <w:tabs>
                <w:tab w:val="left" w:pos="170"/>
              </w:tabs>
              <w:spacing w:line="360" w:lineRule="auto"/>
              <w:jc w:val="right"/>
              <w:rPr>
                <w:rFonts w:hint="eastAsia"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spacing w:val="24"/>
                <w:kern w:val="0"/>
                <w:sz w:val="28"/>
                <w:szCs w:val="28"/>
                <w14:textFill>
                  <w14:solidFill>
                    <w14:schemeClr w14:val="tx1"/>
                  </w14:solidFill>
                </w14:textFill>
              </w:rPr>
              <w:t>联系电话</w:t>
            </w:r>
            <w:r>
              <w:rPr>
                <w:rFonts w:hint="eastAsia" w:ascii="宋体" w:hAnsi="宋体" w:eastAsia="宋体" w:cs="Times New Roman"/>
                <w:color w:val="000000" w:themeColor="text1"/>
                <w:kern w:val="0"/>
                <w:sz w:val="28"/>
                <w:szCs w:val="28"/>
                <w14:textFill>
                  <w14:solidFill>
                    <w14:schemeClr w14:val="tx1"/>
                  </w14:solidFill>
                </w14:textFill>
              </w:rPr>
              <w:t>：</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bl>
    <w:p>
      <w:pPr>
        <w:spacing w:before="936" w:beforeLines="300" w:line="600" w:lineRule="exact"/>
        <w:jc w:val="center"/>
        <w:rPr>
          <w:rFonts w:hint="eastAsia" w:ascii="宋体" w:hAnsi="宋体" w:eastAsia="宋体"/>
          <w:b/>
          <w:color w:val="000000" w:themeColor="text1"/>
          <w:spacing w:val="40"/>
          <w:sz w:val="28"/>
          <w:szCs w:val="28"/>
          <w14:textFill>
            <w14:solidFill>
              <w14:schemeClr w14:val="tx1"/>
            </w14:solidFill>
          </w14:textFill>
        </w:rPr>
      </w:pPr>
      <w:r>
        <w:rPr>
          <w:rFonts w:hint="eastAsia" w:ascii="宋体" w:hAnsi="宋体" w:eastAsia="宋体"/>
          <w:b/>
          <w:color w:val="000000" w:themeColor="text1"/>
          <w:spacing w:val="40"/>
          <w:sz w:val="28"/>
          <w:szCs w:val="28"/>
          <w14:textFill>
            <w14:solidFill>
              <w14:schemeClr w14:val="tx1"/>
            </w14:solidFill>
          </w14:textFill>
        </w:rPr>
        <w:t>日期：</w:t>
      </w:r>
      <w:r>
        <w:rPr>
          <w:rFonts w:hint="eastAsia" w:ascii="宋体" w:hAnsi="宋体" w:eastAsia="宋体"/>
          <w:b/>
          <w:color w:val="000000" w:themeColor="text1"/>
          <w:spacing w:val="20"/>
          <w:sz w:val="22"/>
          <w14:textFill>
            <w14:solidFill>
              <w14:schemeClr w14:val="tx1"/>
            </w14:solidFill>
          </w14:textFill>
        </w:rPr>
        <w:t xml:space="preserve">    </w:t>
      </w:r>
      <w:r>
        <w:rPr>
          <w:rFonts w:hint="eastAsia" w:ascii="宋体" w:hAnsi="宋体" w:eastAsia="宋体"/>
          <w:b/>
          <w:color w:val="000000" w:themeColor="text1"/>
          <w:spacing w:val="40"/>
          <w:sz w:val="28"/>
          <w:szCs w:val="28"/>
          <w14:textFill>
            <w14:solidFill>
              <w14:schemeClr w14:val="tx1"/>
            </w14:solidFill>
          </w14:textFill>
        </w:rPr>
        <w:t>年</w:t>
      </w:r>
      <w:r>
        <w:rPr>
          <w:rFonts w:ascii="宋体" w:hAnsi="宋体" w:eastAsia="宋体"/>
          <w:b/>
          <w:color w:val="000000" w:themeColor="text1"/>
          <w:spacing w:val="40"/>
          <w:sz w:val="28"/>
          <w:szCs w:val="28"/>
          <w14:textFill>
            <w14:solidFill>
              <w14:schemeClr w14:val="tx1"/>
            </w14:solidFill>
          </w14:textFill>
        </w:rPr>
        <w:t xml:space="preserve">  </w:t>
      </w:r>
      <w:r>
        <w:rPr>
          <w:rFonts w:hint="eastAsia" w:ascii="宋体" w:hAnsi="宋体" w:eastAsia="宋体"/>
          <w:b/>
          <w:color w:val="000000" w:themeColor="text1"/>
          <w:spacing w:val="40"/>
          <w:sz w:val="28"/>
          <w:szCs w:val="28"/>
          <w14:textFill>
            <w14:solidFill>
              <w14:schemeClr w14:val="tx1"/>
            </w14:solidFill>
          </w14:textFill>
        </w:rPr>
        <w:t>月</w:t>
      </w:r>
      <w:r>
        <w:rPr>
          <w:rFonts w:ascii="宋体" w:hAnsi="宋体" w:eastAsia="宋体"/>
          <w:b/>
          <w:color w:val="000000" w:themeColor="text1"/>
          <w:spacing w:val="40"/>
          <w:sz w:val="28"/>
          <w:szCs w:val="28"/>
          <w14:textFill>
            <w14:solidFill>
              <w14:schemeClr w14:val="tx1"/>
            </w14:solidFill>
          </w14:textFill>
        </w:rPr>
        <w:t xml:space="preserve">  </w:t>
      </w:r>
      <w:r>
        <w:rPr>
          <w:rFonts w:hint="eastAsia" w:ascii="宋体" w:hAnsi="宋体" w:eastAsia="宋体"/>
          <w:b/>
          <w:color w:val="000000" w:themeColor="text1"/>
          <w:spacing w:val="40"/>
          <w:sz w:val="28"/>
          <w:szCs w:val="28"/>
          <w14:textFill>
            <w14:solidFill>
              <w14:schemeClr w14:val="tx1"/>
            </w14:solidFill>
          </w14:textFill>
        </w:rPr>
        <w:t>日</w:t>
      </w:r>
    </w:p>
    <w:p>
      <w:pPr>
        <w:widowControl/>
        <w:jc w:val="left"/>
        <w:rPr>
          <w:rFonts w:hint="eastAsia" w:ascii="宋体" w:hAnsi="宋体" w:eastAsia="宋体"/>
          <w:b/>
          <w:color w:val="000000" w:themeColor="text1"/>
          <w:spacing w:val="40"/>
          <w:sz w:val="28"/>
          <w:szCs w:val="28"/>
          <w14:textFill>
            <w14:solidFill>
              <w14:schemeClr w14:val="tx1"/>
            </w14:solidFill>
          </w14:textFill>
        </w:rPr>
      </w:pPr>
      <w:bookmarkStart w:id="116" w:name="_Toc391627754"/>
      <w:bookmarkStart w:id="117" w:name="_Toc405313958"/>
      <w:bookmarkStart w:id="118" w:name="_Hlk81205692"/>
      <w:r>
        <w:rPr>
          <w:rFonts w:ascii="宋体" w:hAnsi="宋体" w:eastAsia="宋体"/>
          <w:b/>
          <w:color w:val="000000" w:themeColor="text1"/>
          <w:spacing w:val="40"/>
          <w:sz w:val="28"/>
          <w:szCs w:val="28"/>
          <w14:textFill>
            <w14:solidFill>
              <w14:schemeClr w14:val="tx1"/>
            </w14:solidFill>
          </w14:textFill>
        </w:rPr>
        <w:br w:type="page"/>
      </w:r>
    </w:p>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19" w:name="_Toc18745"/>
      <w:bookmarkStart w:id="120" w:name="_Toc21846"/>
      <w:r>
        <w:rPr>
          <w:rFonts w:hint="eastAsia" w:ascii="宋体" w:hAnsi="宋体"/>
          <w:color w:val="000000" w:themeColor="text1"/>
          <w:spacing w:val="12"/>
          <w:sz w:val="22"/>
          <w:szCs w:val="22"/>
          <w14:textFill>
            <w14:solidFill>
              <w14:schemeClr w14:val="tx1"/>
            </w14:solidFill>
          </w14:textFill>
        </w:rPr>
        <w:t>1.</w:t>
      </w:r>
      <w:r>
        <w:rPr>
          <w:rStyle w:val="44"/>
          <w:rFonts w:hint="eastAsia" w:ascii="宋体" w:hAnsi="宋体"/>
          <w:b w:val="0"/>
          <w:bCs w:val="0"/>
          <w:color w:val="000000" w:themeColor="text1"/>
          <w:spacing w:val="12"/>
          <w:sz w:val="22"/>
          <w:szCs w:val="22"/>
          <w14:textFill>
            <w14:solidFill>
              <w14:schemeClr w14:val="tx1"/>
            </w14:solidFill>
          </w14:textFill>
        </w:rPr>
        <w:t>资格性自查索引表</w:t>
      </w:r>
      <w:bookmarkEnd w:id="119"/>
      <w:bookmarkEnd w:id="120"/>
    </w:p>
    <w:p>
      <w:pPr>
        <w:spacing w:before="312" w:beforeLines="100" w:after="312" w:afterLines="100"/>
        <w:jc w:val="center"/>
        <w:rPr>
          <w:rFonts w:hint="eastAsia" w:ascii="宋体" w:hAnsi="宋体" w:eastAsia="宋体" w:cs="Times New Roman"/>
          <w:b/>
          <w:color w:val="000000" w:themeColor="text1"/>
          <w:spacing w:val="20"/>
          <w:sz w:val="32"/>
          <w:szCs w:val="32"/>
          <w14:textFill>
            <w14:solidFill>
              <w14:schemeClr w14:val="tx1"/>
            </w14:solidFill>
          </w14:textFill>
        </w:rPr>
      </w:pPr>
      <w:r>
        <w:rPr>
          <w:rFonts w:hint="eastAsia" w:ascii="宋体" w:hAnsi="宋体" w:eastAsia="宋体" w:cs="Times New Roman"/>
          <w:b/>
          <w:color w:val="000000" w:themeColor="text1"/>
          <w:spacing w:val="20"/>
          <w:sz w:val="32"/>
          <w:szCs w:val="32"/>
          <w14:textFill>
            <w14:solidFill>
              <w14:schemeClr w14:val="tx1"/>
            </w14:solidFill>
          </w14:textFill>
        </w:rPr>
        <w:t>资格性自查索引表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4936"/>
        <w:gridCol w:w="1312"/>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07"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序号</w:t>
            </w:r>
          </w:p>
        </w:tc>
        <w:tc>
          <w:tcPr>
            <w:tcW w:w="2815" w:type="pct"/>
            <w:tcBorders>
              <w:bottom w:val="single" w:color="auto" w:sz="4" w:space="0"/>
              <w:tl2br w:val="nil"/>
            </w:tcBorders>
            <w:vAlign w:val="center"/>
          </w:tcPr>
          <w:p>
            <w:pPr>
              <w:spacing w:line="360" w:lineRule="auto"/>
              <w:ind w:left="221" w:hanging="221" w:hangingChars="100"/>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审查内容</w:t>
            </w: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自查</w:t>
            </w:r>
          </w:p>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结论</w:t>
            </w:r>
          </w:p>
        </w:tc>
        <w:tc>
          <w:tcPr>
            <w:tcW w:w="1030" w:type="pct"/>
            <w:vAlign w:val="center"/>
          </w:tcPr>
          <w:p>
            <w:pPr>
              <w:spacing w:line="360" w:lineRule="auto"/>
              <w:jc w:val="center"/>
              <w:rPr>
                <w:rFonts w:hint="eastAsia" w:ascii="宋体" w:hAnsi="宋体" w:eastAsia="宋体"/>
                <w:b/>
                <w:bCs/>
                <w:color w:val="000000" w:themeColor="text1"/>
                <w:spacing w:val="-10"/>
                <w:sz w:val="22"/>
                <w14:textFill>
                  <w14:solidFill>
                    <w14:schemeClr w14:val="tx1"/>
                  </w14:solidFill>
                </w14:textFill>
              </w:rPr>
            </w:pPr>
            <w:r>
              <w:rPr>
                <w:rFonts w:ascii="宋体" w:hAnsi="宋体" w:eastAsia="宋体"/>
                <w:b/>
                <w:bCs/>
                <w:color w:val="000000" w:themeColor="text1"/>
                <w:spacing w:val="-10"/>
                <w:sz w:val="22"/>
                <w14:textFill>
                  <w14:solidFill>
                    <w14:schemeClr w14:val="tx1"/>
                  </w14:solidFill>
                </w14:textFill>
              </w:rPr>
              <w:t>投标文件响应页码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1</w:t>
            </w:r>
          </w:p>
        </w:tc>
        <w:tc>
          <w:tcPr>
            <w:tcW w:w="2815" w:type="pct"/>
            <w:tcBorders>
              <w:tl2br w:val="nil"/>
            </w:tcBorders>
            <w:vAlign w:val="center"/>
          </w:tcPr>
          <w:p>
            <w:pPr>
              <w:jc w:val="left"/>
              <w:rPr>
                <w:rFonts w:hint="eastAsia" w:ascii="宋体" w:hAnsi="宋体" w:eastAsia="宋体"/>
                <w:color w:val="000000" w:themeColor="text1"/>
                <w:sz w:val="22"/>
                <w:szCs w:val="24"/>
                <w14:textFill>
                  <w14:solidFill>
                    <w14:schemeClr w14:val="tx1"/>
                  </w14:solidFill>
                </w14:textFill>
              </w:rPr>
            </w:pPr>
          </w:p>
        </w:tc>
        <w:tc>
          <w:tcPr>
            <w:tcW w:w="748"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2</w:t>
            </w:r>
          </w:p>
        </w:tc>
        <w:tc>
          <w:tcPr>
            <w:tcW w:w="2815" w:type="pct"/>
            <w:vAlign w:val="center"/>
          </w:tcPr>
          <w:p>
            <w:pPr>
              <w:spacing w:line="360" w:lineRule="auto"/>
              <w:jc w:val="left"/>
              <w:rPr>
                <w:rFonts w:hint="eastAsia" w:ascii="宋体" w:hAnsi="宋体" w:eastAsia="宋体"/>
                <w:b/>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3</w:t>
            </w:r>
          </w:p>
        </w:tc>
        <w:tc>
          <w:tcPr>
            <w:tcW w:w="2815" w:type="pct"/>
            <w:vAlign w:val="center"/>
          </w:tcPr>
          <w:p>
            <w:pPr>
              <w:spacing w:line="360" w:lineRule="auto"/>
              <w:jc w:val="left"/>
              <w:rPr>
                <w:rFonts w:hint="eastAsia" w:ascii="宋体" w:hAnsi="宋体" w:eastAsia="宋体"/>
                <w:b/>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4</w:t>
            </w:r>
          </w:p>
        </w:tc>
        <w:tc>
          <w:tcPr>
            <w:tcW w:w="2815" w:type="pct"/>
            <w:vAlign w:val="center"/>
          </w:tcPr>
          <w:p>
            <w:pPr>
              <w:spacing w:line="360" w:lineRule="auto"/>
              <w:jc w:val="left"/>
              <w:rPr>
                <w:rFonts w:hint="eastAsia" w:ascii="宋体" w:hAnsi="宋体" w:eastAsia="宋体"/>
                <w:b/>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bl>
    <w:p>
      <w:pPr>
        <w:spacing w:before="156" w:beforeLines="50" w:line="360" w:lineRule="auto"/>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注明：</w:t>
      </w:r>
    </w:p>
    <w:p>
      <w:pPr>
        <w:pStyle w:val="63"/>
        <w:numPr>
          <w:ilvl w:val="0"/>
          <w:numId w:val="31"/>
        </w:numPr>
        <w:spacing w:line="360" w:lineRule="auto"/>
        <w:contextualSpacing w:val="0"/>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自查结论处请填写：通过</w:t>
      </w:r>
      <w:r>
        <w:rPr>
          <w:rFonts w:ascii="宋体" w:hAnsi="宋体" w:eastAsia="宋体"/>
          <w:color w:val="000000" w:themeColor="text1"/>
          <w:sz w:val="22"/>
          <w:szCs w:val="24"/>
          <w14:textFill>
            <w14:solidFill>
              <w14:schemeClr w14:val="tx1"/>
            </w14:solidFill>
          </w14:textFill>
        </w:rPr>
        <w:t>/不通过；</w:t>
      </w:r>
    </w:p>
    <w:p>
      <w:pPr>
        <w:pStyle w:val="63"/>
        <w:numPr>
          <w:ilvl w:val="0"/>
          <w:numId w:val="31"/>
        </w:numPr>
        <w:spacing w:line="360" w:lineRule="auto"/>
        <w:contextualSpacing w:val="0"/>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按招标文件第五部分</w:t>
      </w: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评标方法、步骤、标准之附表资格性审查表（</w:t>
      </w:r>
      <w:r>
        <w:rPr>
          <w:rFonts w:hint="eastAsia" w:ascii="宋体" w:hAnsi="宋体" w:eastAsia="宋体"/>
          <w:color w:val="000000" w:themeColor="text1"/>
          <w:kern w:val="0"/>
          <w:sz w:val="22"/>
          <w14:textFill>
            <w14:solidFill>
              <w14:schemeClr w14:val="tx1"/>
            </w14:solidFill>
          </w14:textFill>
        </w:rPr>
        <w:t>附表一）</w:t>
      </w:r>
      <w:r>
        <w:rPr>
          <w:rFonts w:hint="eastAsia" w:ascii="宋体" w:hAnsi="宋体" w:eastAsia="宋体"/>
          <w:color w:val="000000" w:themeColor="text1"/>
          <w:sz w:val="22"/>
          <w14:textFill>
            <w14:solidFill>
              <w14:schemeClr w14:val="tx1"/>
            </w14:solidFill>
          </w14:textFill>
        </w:rPr>
        <w:t>相对应条款填写</w:t>
      </w:r>
      <w:r>
        <w:rPr>
          <w:rFonts w:hint="eastAsia" w:ascii="宋体" w:hAnsi="宋体" w:eastAsia="宋体"/>
          <w:color w:val="000000" w:themeColor="text1"/>
          <w:sz w:val="22"/>
          <w:szCs w:val="24"/>
          <w14:textFill>
            <w14:solidFill>
              <w14:schemeClr w14:val="tx1"/>
            </w14:solidFill>
          </w14:textFill>
        </w:rPr>
        <w:t>。</w:t>
      </w:r>
    </w:p>
    <w:p>
      <w:pPr>
        <w:spacing w:line="360" w:lineRule="auto"/>
        <w:rPr>
          <w:rFonts w:hint="eastAsia" w:ascii="宋体" w:hAnsi="宋体" w:eastAsia="宋体"/>
          <w:color w:val="000000" w:themeColor="text1"/>
          <w:sz w:val="22"/>
          <w:szCs w:val="24"/>
          <w14:textFill>
            <w14:solidFill>
              <w14:schemeClr w14:val="tx1"/>
            </w14:solidFill>
          </w14:textFill>
        </w:rPr>
      </w:pPr>
    </w:p>
    <w:p>
      <w:pPr>
        <w:spacing w:line="360" w:lineRule="auto"/>
        <w:rPr>
          <w:rFonts w:hint="eastAsia" w:ascii="宋体" w:hAnsi="宋体" w:eastAsia="宋体"/>
          <w:color w:val="000000" w:themeColor="text1"/>
          <w:sz w:val="22"/>
          <w:szCs w:val="24"/>
          <w14:textFill>
            <w14:solidFill>
              <w14:schemeClr w14:val="tx1"/>
            </w14:solidFill>
          </w14:textFill>
        </w:rPr>
      </w:pPr>
    </w:p>
    <w:p>
      <w:pPr>
        <w:spacing w:line="360" w:lineRule="auto"/>
        <w:rPr>
          <w:rFonts w:hint="eastAsia" w:ascii="宋体" w:hAnsi="宋体" w:eastAsia="宋体"/>
          <w:color w:val="000000" w:themeColor="text1"/>
          <w:sz w:val="22"/>
          <w:szCs w:val="24"/>
          <w14:textFill>
            <w14:solidFill>
              <w14:schemeClr w14:val="tx1"/>
            </w14:solidFill>
          </w14:textFill>
        </w:rPr>
      </w:pPr>
    </w:p>
    <w:tbl>
      <w:tblPr>
        <w:tblStyle w:val="41"/>
        <w:tblW w:w="0" w:type="auto"/>
        <w:tblInd w:w="0" w:type="dxa"/>
        <w:tblLayout w:type="autofit"/>
        <w:tblCellMar>
          <w:top w:w="0" w:type="dxa"/>
          <w:left w:w="108" w:type="dxa"/>
          <w:bottom w:w="0" w:type="dxa"/>
          <w:right w:w="108" w:type="dxa"/>
        </w:tblCellMar>
      </w:tblPr>
      <w:tblGrid>
        <w:gridCol w:w="5958"/>
        <w:gridCol w:w="2570"/>
      </w:tblGrid>
      <w:tr>
        <w:tblPrEx>
          <w:tblCellMar>
            <w:top w:w="0" w:type="dxa"/>
            <w:left w:w="108" w:type="dxa"/>
            <w:bottom w:w="0" w:type="dxa"/>
            <w:right w:w="108" w:type="dxa"/>
          </w:tblCellMar>
        </w:tblPrEx>
        <w:tc>
          <w:tcPr>
            <w:tcW w:w="5958" w:type="dxa"/>
          </w:tcPr>
          <w:p>
            <w:pPr>
              <w:overflowPunct w:val="0"/>
              <w:adjustRightInd w:val="0"/>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投标人名称（加盖公章）：</w:t>
            </w:r>
            <w:r>
              <w:rPr>
                <w:rFonts w:ascii="宋体" w:hAnsi="宋体" w:eastAsia="宋体"/>
                <w:color w:val="000000" w:themeColor="text1"/>
                <w:sz w:val="22"/>
                <w:u w:val="single"/>
                <w14:textFill>
                  <w14:solidFill>
                    <w14:schemeClr w14:val="tx1"/>
                  </w14:solidFill>
                </w14:textFill>
              </w:rPr>
              <w:t xml:space="preserve">                         </w:t>
            </w:r>
          </w:p>
        </w:tc>
        <w:tc>
          <w:tcPr>
            <w:tcW w:w="2570" w:type="dxa"/>
          </w:tcPr>
          <w:p>
            <w:pPr>
              <w:spacing w:line="360" w:lineRule="auto"/>
              <w:rPr>
                <w:rFonts w:hint="eastAsia" w:ascii="宋体" w:hAnsi="宋体" w:eastAsia="宋体"/>
                <w:color w:val="000000" w:themeColor="text1"/>
                <w:sz w:val="22"/>
                <w14:textFill>
                  <w14:solidFill>
                    <w14:schemeClr w14:val="tx1"/>
                  </w14:solidFill>
                </w14:textFill>
              </w:rPr>
            </w:pPr>
          </w:p>
        </w:tc>
      </w:tr>
      <w:tr>
        <w:tblPrEx>
          <w:tblCellMar>
            <w:top w:w="0" w:type="dxa"/>
            <w:left w:w="108" w:type="dxa"/>
            <w:bottom w:w="0" w:type="dxa"/>
            <w:right w:w="108" w:type="dxa"/>
          </w:tblCellMar>
        </w:tblPrEx>
        <w:tc>
          <w:tcPr>
            <w:tcW w:w="5958" w:type="dxa"/>
          </w:tcPr>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日期：</w:t>
            </w:r>
            <w:r>
              <w:rPr>
                <w:rFonts w:ascii="宋体" w:hAnsi="宋体" w:eastAsia="宋体"/>
                <w:color w:val="000000" w:themeColor="text1"/>
                <w:sz w:val="22"/>
                <w:u w:val="single"/>
                <w14:textFill>
                  <w14:solidFill>
                    <w14:schemeClr w14:val="tx1"/>
                  </w14:solidFill>
                </w14:textFill>
              </w:rPr>
              <w:t xml:space="preserve">             年           月            日</w:t>
            </w:r>
          </w:p>
        </w:tc>
        <w:tc>
          <w:tcPr>
            <w:tcW w:w="2570" w:type="dxa"/>
          </w:tcPr>
          <w:p>
            <w:pPr>
              <w:spacing w:line="360" w:lineRule="auto"/>
              <w:rPr>
                <w:rFonts w:hint="eastAsia" w:ascii="宋体" w:hAnsi="宋体" w:eastAsia="宋体"/>
                <w:color w:val="000000" w:themeColor="text1"/>
                <w:sz w:val="22"/>
                <w14:textFill>
                  <w14:solidFill>
                    <w14:schemeClr w14:val="tx1"/>
                  </w14:solidFill>
                </w14:textFill>
              </w:rPr>
            </w:pPr>
          </w:p>
        </w:tc>
      </w:tr>
    </w:tbl>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color w:val="000000" w:themeColor="text1"/>
          <w:sz w:val="22"/>
          <w:szCs w:val="24"/>
          <w14:textFill>
            <w14:solidFill>
              <w14:schemeClr w14:val="tx1"/>
            </w14:solidFill>
          </w14:textFill>
        </w:rPr>
      </w:pPr>
    </w:p>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21" w:name="_Toc17301"/>
      <w:bookmarkStart w:id="122" w:name="_Toc16575"/>
      <w:r>
        <w:rPr>
          <w:rFonts w:hint="eastAsia" w:ascii="宋体" w:hAnsi="宋体"/>
          <w:color w:val="000000" w:themeColor="text1"/>
          <w:spacing w:val="12"/>
          <w:sz w:val="22"/>
          <w:szCs w:val="22"/>
          <w14:textFill>
            <w14:solidFill>
              <w14:schemeClr w14:val="tx1"/>
            </w14:solidFill>
          </w14:textFill>
        </w:rPr>
        <w:t>2.</w:t>
      </w:r>
      <w:r>
        <w:rPr>
          <w:rStyle w:val="44"/>
          <w:rFonts w:hint="eastAsia" w:ascii="宋体" w:hAnsi="宋体"/>
          <w:b w:val="0"/>
          <w:bCs w:val="0"/>
          <w:color w:val="000000" w:themeColor="text1"/>
          <w:spacing w:val="12"/>
          <w:sz w:val="22"/>
          <w:szCs w:val="22"/>
          <w14:textFill>
            <w14:solidFill>
              <w14:schemeClr w14:val="tx1"/>
            </w14:solidFill>
          </w14:textFill>
        </w:rPr>
        <w:t>符合性自查索引表</w:t>
      </w:r>
      <w:bookmarkEnd w:id="121"/>
      <w:bookmarkEnd w:id="122"/>
    </w:p>
    <w:p>
      <w:pPr>
        <w:spacing w:before="312" w:beforeLines="100" w:after="312" w:afterLines="100"/>
        <w:jc w:val="center"/>
        <w:rPr>
          <w:rFonts w:hint="eastAsia" w:ascii="宋体" w:hAnsi="宋体" w:eastAsia="宋体" w:cs="Times New Roman"/>
          <w:b/>
          <w:color w:val="000000" w:themeColor="text1"/>
          <w:spacing w:val="20"/>
          <w:sz w:val="32"/>
          <w:szCs w:val="32"/>
          <w14:textFill>
            <w14:solidFill>
              <w14:schemeClr w14:val="tx1"/>
            </w14:solidFill>
          </w14:textFill>
        </w:rPr>
      </w:pPr>
      <w:r>
        <w:rPr>
          <w:rFonts w:hint="eastAsia" w:ascii="宋体" w:hAnsi="宋体" w:eastAsia="宋体" w:cs="Times New Roman"/>
          <w:b/>
          <w:color w:val="000000" w:themeColor="text1"/>
          <w:spacing w:val="20"/>
          <w:sz w:val="32"/>
          <w:szCs w:val="32"/>
          <w14:textFill>
            <w14:solidFill>
              <w14:schemeClr w14:val="tx1"/>
            </w14:solidFill>
          </w14:textFill>
        </w:rPr>
        <w:t>符合性自查索引表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4936"/>
        <w:gridCol w:w="1312"/>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07"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序号</w:t>
            </w:r>
          </w:p>
        </w:tc>
        <w:tc>
          <w:tcPr>
            <w:tcW w:w="2815" w:type="pct"/>
            <w:tcBorders>
              <w:bottom w:val="single" w:color="auto" w:sz="4" w:space="0"/>
              <w:tl2br w:val="nil"/>
            </w:tcBorders>
            <w:vAlign w:val="center"/>
          </w:tcPr>
          <w:p>
            <w:pPr>
              <w:spacing w:line="360" w:lineRule="auto"/>
              <w:ind w:left="221" w:hanging="221" w:hangingChars="100"/>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审查内容</w:t>
            </w: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自查</w:t>
            </w:r>
          </w:p>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结论</w:t>
            </w:r>
          </w:p>
        </w:tc>
        <w:tc>
          <w:tcPr>
            <w:tcW w:w="1030" w:type="pct"/>
            <w:vAlign w:val="center"/>
          </w:tcPr>
          <w:p>
            <w:pPr>
              <w:spacing w:line="360" w:lineRule="auto"/>
              <w:jc w:val="center"/>
              <w:rPr>
                <w:rFonts w:hint="eastAsia" w:ascii="宋体" w:hAnsi="宋体" w:eastAsia="宋体"/>
                <w:b/>
                <w:bCs/>
                <w:color w:val="000000" w:themeColor="text1"/>
                <w:spacing w:val="-10"/>
                <w:sz w:val="22"/>
                <w14:textFill>
                  <w14:solidFill>
                    <w14:schemeClr w14:val="tx1"/>
                  </w14:solidFill>
                </w14:textFill>
              </w:rPr>
            </w:pPr>
            <w:r>
              <w:rPr>
                <w:rFonts w:ascii="宋体" w:hAnsi="宋体" w:eastAsia="宋体"/>
                <w:b/>
                <w:bCs/>
                <w:color w:val="000000" w:themeColor="text1"/>
                <w:spacing w:val="-10"/>
                <w:sz w:val="22"/>
                <w14:textFill>
                  <w14:solidFill>
                    <w14:schemeClr w14:val="tx1"/>
                  </w14:solidFill>
                </w14:textFill>
              </w:rPr>
              <w:t>投标文件响应页码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1</w:t>
            </w:r>
          </w:p>
        </w:tc>
        <w:tc>
          <w:tcPr>
            <w:tcW w:w="2815" w:type="pct"/>
            <w:tcBorders>
              <w:tl2br w:val="nil"/>
            </w:tcBorders>
            <w:vAlign w:val="center"/>
          </w:tcPr>
          <w:p>
            <w:pPr>
              <w:jc w:val="left"/>
              <w:rPr>
                <w:rFonts w:hint="eastAsia" w:ascii="宋体" w:hAnsi="宋体" w:eastAsia="宋体"/>
                <w:color w:val="000000" w:themeColor="text1"/>
                <w:sz w:val="22"/>
                <w:szCs w:val="24"/>
                <w14:textFill>
                  <w14:solidFill>
                    <w14:schemeClr w14:val="tx1"/>
                  </w14:solidFill>
                </w14:textFill>
              </w:rPr>
            </w:pPr>
          </w:p>
        </w:tc>
        <w:tc>
          <w:tcPr>
            <w:tcW w:w="748"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2</w:t>
            </w:r>
          </w:p>
        </w:tc>
        <w:tc>
          <w:tcPr>
            <w:tcW w:w="2815" w:type="pct"/>
            <w:vAlign w:val="center"/>
          </w:tcPr>
          <w:p>
            <w:pPr>
              <w:spacing w:line="360" w:lineRule="auto"/>
              <w:jc w:val="left"/>
              <w:rPr>
                <w:rFonts w:hint="eastAsia" w:ascii="宋体" w:hAnsi="宋体" w:eastAsia="宋体"/>
                <w:b/>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3</w:t>
            </w:r>
          </w:p>
        </w:tc>
        <w:tc>
          <w:tcPr>
            <w:tcW w:w="2815" w:type="pct"/>
            <w:vAlign w:val="center"/>
          </w:tcPr>
          <w:p>
            <w:pPr>
              <w:spacing w:line="360" w:lineRule="auto"/>
              <w:jc w:val="left"/>
              <w:rPr>
                <w:rFonts w:hint="eastAsia" w:ascii="宋体" w:hAnsi="宋体" w:eastAsia="宋体"/>
                <w:b/>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4</w:t>
            </w:r>
          </w:p>
        </w:tc>
        <w:tc>
          <w:tcPr>
            <w:tcW w:w="2815" w:type="pct"/>
            <w:vAlign w:val="center"/>
          </w:tcPr>
          <w:p>
            <w:pPr>
              <w:spacing w:line="360" w:lineRule="auto"/>
              <w:jc w:val="left"/>
              <w:rPr>
                <w:rFonts w:hint="eastAsia" w:ascii="宋体" w:hAnsi="宋体" w:eastAsia="宋体"/>
                <w:b/>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5</w:t>
            </w:r>
          </w:p>
        </w:tc>
        <w:tc>
          <w:tcPr>
            <w:tcW w:w="2815" w:type="pct"/>
            <w:vAlign w:val="center"/>
          </w:tcPr>
          <w:p>
            <w:pPr>
              <w:spacing w:line="360" w:lineRule="auto"/>
              <w:jc w:val="left"/>
              <w:rPr>
                <w:rFonts w:hint="eastAsia" w:ascii="宋体" w:hAnsi="宋体" w:eastAsia="宋体"/>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6</w:t>
            </w:r>
          </w:p>
        </w:tc>
        <w:tc>
          <w:tcPr>
            <w:tcW w:w="2815" w:type="pct"/>
            <w:vAlign w:val="center"/>
          </w:tcPr>
          <w:p>
            <w:pPr>
              <w:spacing w:line="360" w:lineRule="auto"/>
              <w:jc w:val="left"/>
              <w:rPr>
                <w:rFonts w:hint="eastAsia" w:ascii="宋体" w:hAnsi="宋体" w:eastAsia="宋体"/>
                <w:b/>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7</w:t>
            </w:r>
          </w:p>
        </w:tc>
        <w:tc>
          <w:tcPr>
            <w:tcW w:w="2815" w:type="pct"/>
            <w:vAlign w:val="center"/>
          </w:tcPr>
          <w:p>
            <w:pPr>
              <w:spacing w:line="360" w:lineRule="auto"/>
              <w:jc w:val="left"/>
              <w:rPr>
                <w:rFonts w:hint="eastAsia" w:ascii="宋体" w:hAnsi="宋体" w:eastAsia="宋体"/>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8</w:t>
            </w:r>
          </w:p>
        </w:tc>
        <w:tc>
          <w:tcPr>
            <w:tcW w:w="2815" w:type="pct"/>
            <w:vAlign w:val="center"/>
          </w:tcPr>
          <w:p>
            <w:pPr>
              <w:spacing w:line="360" w:lineRule="auto"/>
              <w:jc w:val="left"/>
              <w:rPr>
                <w:rFonts w:hint="eastAsia" w:ascii="宋体" w:hAnsi="宋体" w:eastAsia="宋体"/>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407" w:type="pct"/>
            <w:vAlign w:val="center"/>
          </w:tcPr>
          <w:p>
            <w:pPr>
              <w:spacing w:line="360" w:lineRule="auto"/>
              <w:jc w:val="center"/>
              <w:rPr>
                <w:rFonts w:hint="eastAsia" w:ascii="宋体" w:hAnsi="宋体" w:eastAsia="宋体"/>
                <w:bCs/>
                <w:color w:val="000000" w:themeColor="text1"/>
                <w:sz w:val="22"/>
                <w14:textFill>
                  <w14:solidFill>
                    <w14:schemeClr w14:val="tx1"/>
                  </w14:solidFill>
                </w14:textFill>
              </w:rPr>
            </w:pPr>
            <w:r>
              <w:rPr>
                <w:rFonts w:ascii="宋体" w:hAnsi="宋体" w:eastAsia="宋体"/>
                <w:bCs/>
                <w:color w:val="000000" w:themeColor="text1"/>
                <w:sz w:val="22"/>
                <w14:textFill>
                  <w14:solidFill>
                    <w14:schemeClr w14:val="tx1"/>
                  </w14:solidFill>
                </w14:textFill>
              </w:rPr>
              <w:t>9</w:t>
            </w:r>
          </w:p>
        </w:tc>
        <w:tc>
          <w:tcPr>
            <w:tcW w:w="2815" w:type="pct"/>
            <w:vAlign w:val="center"/>
          </w:tcPr>
          <w:p>
            <w:pPr>
              <w:spacing w:line="360" w:lineRule="auto"/>
              <w:jc w:val="left"/>
              <w:rPr>
                <w:rFonts w:hint="eastAsia" w:ascii="宋体" w:hAnsi="宋体" w:eastAsia="宋体"/>
                <w:bCs/>
                <w:color w:val="000000" w:themeColor="text1"/>
                <w:sz w:val="22"/>
                <w14:textFill>
                  <w14:solidFill>
                    <w14:schemeClr w14:val="tx1"/>
                  </w14:solidFill>
                </w14:textFill>
              </w:rPr>
            </w:pPr>
          </w:p>
        </w:tc>
        <w:tc>
          <w:tcPr>
            <w:tcW w:w="748"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c>
          <w:tcPr>
            <w:tcW w:w="1030" w:type="pct"/>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p>
        </w:tc>
      </w:tr>
    </w:tbl>
    <w:p>
      <w:pPr>
        <w:spacing w:before="156" w:beforeLines="50" w:line="360" w:lineRule="auto"/>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注明：</w:t>
      </w:r>
    </w:p>
    <w:p>
      <w:pPr>
        <w:pStyle w:val="63"/>
        <w:numPr>
          <w:ilvl w:val="0"/>
          <w:numId w:val="32"/>
        </w:numPr>
        <w:spacing w:line="360" w:lineRule="auto"/>
        <w:contextualSpacing w:val="0"/>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自查结论处请填写：通过</w:t>
      </w:r>
      <w:r>
        <w:rPr>
          <w:rFonts w:ascii="宋体" w:hAnsi="宋体" w:eastAsia="宋体"/>
          <w:color w:val="000000" w:themeColor="text1"/>
          <w:sz w:val="22"/>
          <w:szCs w:val="24"/>
          <w14:textFill>
            <w14:solidFill>
              <w14:schemeClr w14:val="tx1"/>
            </w14:solidFill>
          </w14:textFill>
        </w:rPr>
        <w:t>/不通过</w:t>
      </w:r>
      <w:r>
        <w:rPr>
          <w:rFonts w:hint="eastAsia" w:ascii="宋体" w:hAnsi="宋体" w:eastAsia="宋体"/>
          <w:color w:val="000000" w:themeColor="text1"/>
          <w:sz w:val="22"/>
          <w:szCs w:val="24"/>
          <w14:textFill>
            <w14:solidFill>
              <w14:schemeClr w14:val="tx1"/>
            </w14:solidFill>
          </w14:textFill>
        </w:rPr>
        <w:t>；</w:t>
      </w:r>
    </w:p>
    <w:p>
      <w:pPr>
        <w:pStyle w:val="63"/>
        <w:numPr>
          <w:ilvl w:val="0"/>
          <w:numId w:val="32"/>
        </w:numPr>
        <w:spacing w:line="360" w:lineRule="auto"/>
        <w:contextualSpacing w:val="0"/>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按招标文件第五部分</w:t>
      </w: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评标方法、步骤、标准之符合性审查表（</w:t>
      </w:r>
      <w:r>
        <w:rPr>
          <w:rFonts w:hint="eastAsia" w:ascii="宋体" w:hAnsi="宋体" w:eastAsia="宋体"/>
          <w:color w:val="000000" w:themeColor="text1"/>
          <w:kern w:val="0"/>
          <w:sz w:val="22"/>
          <w14:textFill>
            <w14:solidFill>
              <w14:schemeClr w14:val="tx1"/>
            </w14:solidFill>
          </w14:textFill>
        </w:rPr>
        <w:t>附表二）</w:t>
      </w:r>
      <w:r>
        <w:rPr>
          <w:rFonts w:hint="eastAsia" w:ascii="宋体" w:hAnsi="宋体" w:eastAsia="宋体"/>
          <w:color w:val="000000" w:themeColor="text1"/>
          <w:sz w:val="22"/>
          <w14:textFill>
            <w14:solidFill>
              <w14:schemeClr w14:val="tx1"/>
            </w14:solidFill>
          </w14:textFill>
        </w:rPr>
        <w:t>相对应条款填写</w:t>
      </w:r>
      <w:r>
        <w:rPr>
          <w:rFonts w:hint="eastAsia" w:ascii="宋体" w:hAnsi="宋体" w:eastAsia="宋体"/>
          <w:color w:val="000000" w:themeColor="text1"/>
          <w:sz w:val="22"/>
          <w:szCs w:val="24"/>
          <w14:textFill>
            <w14:solidFill>
              <w14:schemeClr w14:val="tx1"/>
            </w14:solidFill>
          </w14:textFill>
        </w:rPr>
        <w:t>。</w:t>
      </w:r>
    </w:p>
    <w:p>
      <w:pPr>
        <w:spacing w:line="360" w:lineRule="auto"/>
        <w:rPr>
          <w:rFonts w:hint="eastAsia" w:ascii="宋体" w:hAnsi="宋体" w:eastAsia="宋体"/>
          <w:color w:val="000000" w:themeColor="text1"/>
          <w:sz w:val="22"/>
          <w:szCs w:val="24"/>
          <w14:textFill>
            <w14:solidFill>
              <w14:schemeClr w14:val="tx1"/>
            </w14:solidFill>
          </w14:textFill>
        </w:rPr>
      </w:pPr>
    </w:p>
    <w:p>
      <w:pPr>
        <w:spacing w:line="360" w:lineRule="auto"/>
        <w:rPr>
          <w:rFonts w:hint="eastAsia" w:ascii="宋体" w:hAnsi="宋体" w:eastAsia="宋体"/>
          <w:color w:val="000000" w:themeColor="text1"/>
          <w:sz w:val="22"/>
          <w:szCs w:val="24"/>
          <w14:textFill>
            <w14:solidFill>
              <w14:schemeClr w14:val="tx1"/>
            </w14:solidFill>
          </w14:textFill>
        </w:rPr>
      </w:pPr>
    </w:p>
    <w:tbl>
      <w:tblPr>
        <w:tblStyle w:val="41"/>
        <w:tblW w:w="0" w:type="auto"/>
        <w:tblInd w:w="0" w:type="dxa"/>
        <w:tblLayout w:type="autofit"/>
        <w:tblCellMar>
          <w:top w:w="0" w:type="dxa"/>
          <w:left w:w="108" w:type="dxa"/>
          <w:bottom w:w="0" w:type="dxa"/>
          <w:right w:w="108" w:type="dxa"/>
        </w:tblCellMar>
      </w:tblPr>
      <w:tblGrid>
        <w:gridCol w:w="6627"/>
      </w:tblGrid>
      <w:tr>
        <w:tblPrEx>
          <w:tblCellMar>
            <w:top w:w="0" w:type="dxa"/>
            <w:left w:w="108" w:type="dxa"/>
            <w:bottom w:w="0" w:type="dxa"/>
            <w:right w:w="108" w:type="dxa"/>
          </w:tblCellMar>
        </w:tblPrEx>
        <w:tc>
          <w:tcPr>
            <w:tcW w:w="6627" w:type="dxa"/>
          </w:tcPr>
          <w:p>
            <w:pPr>
              <w:overflowPunct w:val="0"/>
              <w:adjustRightInd w:val="0"/>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投标人名称（加盖公章）：</w:t>
            </w:r>
            <w:r>
              <w:rPr>
                <w:rFonts w:ascii="宋体" w:hAnsi="宋体" w:eastAsia="宋体"/>
                <w:color w:val="000000" w:themeColor="text1"/>
                <w:sz w:val="22"/>
                <w:u w:val="single"/>
                <w14:textFill>
                  <w14:solidFill>
                    <w14:schemeClr w14:val="tx1"/>
                  </w14:solidFill>
                </w14:textFill>
              </w:rPr>
              <w:t xml:space="preserve">                         </w:t>
            </w:r>
          </w:p>
        </w:tc>
      </w:tr>
      <w:tr>
        <w:tblPrEx>
          <w:tblCellMar>
            <w:top w:w="0" w:type="dxa"/>
            <w:left w:w="108" w:type="dxa"/>
            <w:bottom w:w="0" w:type="dxa"/>
            <w:right w:w="108" w:type="dxa"/>
          </w:tblCellMar>
        </w:tblPrEx>
        <w:tc>
          <w:tcPr>
            <w:tcW w:w="6627" w:type="dxa"/>
          </w:tcPr>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日期：</w:t>
            </w:r>
            <w:r>
              <w:rPr>
                <w:rFonts w:ascii="宋体" w:hAnsi="宋体" w:eastAsia="宋体"/>
                <w:color w:val="000000" w:themeColor="text1"/>
                <w:sz w:val="22"/>
                <w:u w:val="single"/>
                <w14:textFill>
                  <w14:solidFill>
                    <w14:schemeClr w14:val="tx1"/>
                  </w14:solidFill>
                </w14:textFill>
              </w:rPr>
              <w:t xml:space="preserve">             年           月            日</w:t>
            </w:r>
          </w:p>
        </w:tc>
      </w:tr>
    </w:tbl>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23" w:name="_Toc17539"/>
      <w:bookmarkStart w:id="124" w:name="_Toc15421"/>
      <w:r>
        <w:rPr>
          <w:rFonts w:hint="eastAsia" w:ascii="宋体" w:hAnsi="宋体"/>
          <w:color w:val="000000" w:themeColor="text1"/>
          <w:spacing w:val="12"/>
          <w:sz w:val="22"/>
          <w:szCs w:val="22"/>
          <w14:textFill>
            <w14:solidFill>
              <w14:schemeClr w14:val="tx1"/>
            </w14:solidFill>
          </w14:textFill>
        </w:rPr>
        <w:t>3.</w:t>
      </w:r>
      <w:r>
        <w:rPr>
          <w:rStyle w:val="44"/>
          <w:rFonts w:hint="eastAsia" w:ascii="宋体" w:hAnsi="宋体"/>
          <w:b w:val="0"/>
          <w:bCs w:val="0"/>
          <w:color w:val="000000" w:themeColor="text1"/>
          <w:spacing w:val="12"/>
          <w:sz w:val="22"/>
          <w:szCs w:val="22"/>
          <w14:textFill>
            <w14:solidFill>
              <w14:schemeClr w14:val="tx1"/>
            </w14:solidFill>
          </w14:textFill>
        </w:rPr>
        <w:t>详细评审索引表</w:t>
      </w:r>
      <w:bookmarkEnd w:id="123"/>
      <w:bookmarkEnd w:id="124"/>
    </w:p>
    <w:p>
      <w:pPr>
        <w:spacing w:before="312" w:beforeLines="100" w:after="312" w:afterLines="100"/>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详细评审索引表</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551"/>
        <w:gridCol w:w="3382"/>
        <w:gridCol w:w="2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2" w:type="dxa"/>
            <w:gridSpan w:val="4"/>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商务评审细则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序号</w:t>
            </w: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评分内容</w:t>
            </w: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评分标准</w:t>
            </w: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投标文件响应页码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2" w:type="dxa"/>
            <w:gridSpan w:val="4"/>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技术评审细则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序号</w:t>
            </w: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评分内容</w:t>
            </w: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评分标准</w:t>
            </w: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投标文件响应页码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7"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1551"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338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c>
          <w:tcPr>
            <w:tcW w:w="2452" w:type="dxa"/>
            <w:vAlign w:val="center"/>
          </w:tcPr>
          <w:p>
            <w:pPr>
              <w:spacing w:line="360" w:lineRule="auto"/>
              <w:jc w:val="center"/>
              <w:rPr>
                <w:rFonts w:hint="eastAsia" w:ascii="宋体" w:hAnsi="宋体" w:eastAsia="宋体"/>
                <w:b/>
                <w:color w:val="000000" w:themeColor="text1"/>
                <w:sz w:val="22"/>
                <w14:textFill>
                  <w14:solidFill>
                    <w14:schemeClr w14:val="tx1"/>
                  </w14:solidFill>
                </w14:textFill>
              </w:rPr>
            </w:pPr>
          </w:p>
        </w:tc>
      </w:tr>
    </w:tbl>
    <w:p>
      <w:pPr>
        <w:spacing w:before="156" w:beforeLines="50" w:line="360" w:lineRule="auto"/>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注明：按招标文件第五部分</w:t>
      </w:r>
      <w:r>
        <w:rPr>
          <w:rFonts w:ascii="宋体" w:hAnsi="宋体" w:eastAsia="宋体"/>
          <w:color w:val="000000" w:themeColor="text1"/>
          <w:sz w:val="22"/>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评标方法、步骤、标准之附表三详细评审表相对应条款填写。</w:t>
      </w:r>
    </w:p>
    <w:p>
      <w:pPr>
        <w:spacing w:line="360" w:lineRule="auto"/>
        <w:rPr>
          <w:rFonts w:hint="eastAsia" w:ascii="宋体" w:hAnsi="宋体" w:eastAsia="宋体"/>
          <w:color w:val="000000" w:themeColor="text1"/>
          <w:sz w:val="22"/>
          <w:szCs w:val="24"/>
          <w14:textFill>
            <w14:solidFill>
              <w14:schemeClr w14:val="tx1"/>
            </w14:solidFill>
          </w14:textFill>
        </w:rPr>
      </w:pPr>
    </w:p>
    <w:p>
      <w:pPr>
        <w:spacing w:line="360" w:lineRule="auto"/>
        <w:rPr>
          <w:rFonts w:hint="eastAsia" w:ascii="宋体" w:hAnsi="宋体" w:eastAsia="宋体"/>
          <w:color w:val="000000" w:themeColor="text1"/>
          <w:sz w:val="22"/>
          <w:szCs w:val="24"/>
          <w14:textFill>
            <w14:solidFill>
              <w14:schemeClr w14:val="tx1"/>
            </w14:solidFill>
          </w14:textFill>
        </w:rPr>
      </w:pPr>
    </w:p>
    <w:p>
      <w:pPr>
        <w:spacing w:line="360" w:lineRule="auto"/>
        <w:rPr>
          <w:rFonts w:hint="eastAsia" w:ascii="宋体" w:hAnsi="宋体" w:eastAsia="宋体"/>
          <w:color w:val="000000" w:themeColor="text1"/>
          <w:sz w:val="22"/>
          <w:szCs w:val="24"/>
          <w14:textFill>
            <w14:solidFill>
              <w14:schemeClr w14:val="tx1"/>
            </w14:solidFill>
          </w14:textFill>
        </w:rPr>
      </w:pPr>
    </w:p>
    <w:tbl>
      <w:tblPr>
        <w:tblStyle w:val="41"/>
        <w:tblW w:w="0" w:type="auto"/>
        <w:tblInd w:w="0" w:type="dxa"/>
        <w:tblLayout w:type="autofit"/>
        <w:tblCellMar>
          <w:top w:w="0" w:type="dxa"/>
          <w:left w:w="108" w:type="dxa"/>
          <w:bottom w:w="0" w:type="dxa"/>
          <w:right w:w="108" w:type="dxa"/>
        </w:tblCellMar>
      </w:tblPr>
      <w:tblGrid>
        <w:gridCol w:w="6627"/>
      </w:tblGrid>
      <w:tr>
        <w:tblPrEx>
          <w:tblCellMar>
            <w:top w:w="0" w:type="dxa"/>
            <w:left w:w="108" w:type="dxa"/>
            <w:bottom w:w="0" w:type="dxa"/>
            <w:right w:w="108" w:type="dxa"/>
          </w:tblCellMar>
        </w:tblPrEx>
        <w:tc>
          <w:tcPr>
            <w:tcW w:w="6627" w:type="dxa"/>
          </w:tcPr>
          <w:p>
            <w:pPr>
              <w:overflowPunct w:val="0"/>
              <w:adjustRightInd w:val="0"/>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投标人名称（加盖公章）：</w:t>
            </w:r>
            <w:r>
              <w:rPr>
                <w:rFonts w:ascii="宋体" w:hAnsi="宋体" w:eastAsia="宋体"/>
                <w:color w:val="000000" w:themeColor="text1"/>
                <w:sz w:val="22"/>
                <w:u w:val="single"/>
                <w14:textFill>
                  <w14:solidFill>
                    <w14:schemeClr w14:val="tx1"/>
                  </w14:solidFill>
                </w14:textFill>
              </w:rPr>
              <w:t xml:space="preserve">                         </w:t>
            </w:r>
          </w:p>
        </w:tc>
      </w:tr>
      <w:tr>
        <w:tc>
          <w:tcPr>
            <w:tcW w:w="6627" w:type="dxa"/>
          </w:tcPr>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日期：</w:t>
            </w:r>
            <w:r>
              <w:rPr>
                <w:rFonts w:ascii="宋体" w:hAnsi="宋体" w:eastAsia="宋体"/>
                <w:color w:val="000000" w:themeColor="text1"/>
                <w:sz w:val="22"/>
                <w:u w:val="single"/>
                <w14:textFill>
                  <w14:solidFill>
                    <w14:schemeClr w14:val="tx1"/>
                  </w14:solidFill>
                </w14:textFill>
              </w:rPr>
              <w:t xml:space="preserve">             年           月            日</w:t>
            </w:r>
          </w:p>
        </w:tc>
      </w:tr>
    </w:tbl>
    <w:p>
      <w:pPr>
        <w:spacing w:line="360" w:lineRule="auto"/>
        <w:rPr>
          <w:rFonts w:hint="eastAsia" w:ascii="宋体" w:hAnsi="宋体" w:eastAsia="宋体"/>
        </w:rPr>
        <w:sectPr>
          <w:footerReference r:id="rId6" w:type="first"/>
          <w:headerReference r:id="rId4" w:type="default"/>
          <w:footerReference r:id="rId5" w:type="default"/>
          <w:pgSz w:w="11906" w:h="16838"/>
          <w:pgMar w:top="1521" w:right="1558" w:bottom="993" w:left="1797" w:header="851" w:footer="680" w:gutter="0"/>
          <w:cols w:space="425" w:num="1"/>
          <w:titlePg/>
          <w:docGrid w:type="lines" w:linePitch="312" w:charSpace="0"/>
        </w:sectPr>
      </w:pPr>
    </w:p>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25" w:name="_Toc31493"/>
      <w:bookmarkStart w:id="126" w:name="_Toc23786"/>
      <w:r>
        <w:rPr>
          <w:rFonts w:hint="eastAsia" w:ascii="宋体" w:hAnsi="宋体"/>
          <w:color w:val="000000" w:themeColor="text1"/>
          <w:spacing w:val="12"/>
          <w:sz w:val="22"/>
          <w:szCs w:val="22"/>
          <w14:textFill>
            <w14:solidFill>
              <w14:schemeClr w14:val="tx1"/>
            </w14:solidFill>
          </w14:textFill>
        </w:rPr>
        <w:t>4.</w:t>
      </w:r>
      <w:r>
        <w:rPr>
          <w:rStyle w:val="44"/>
          <w:rFonts w:hint="eastAsia" w:ascii="宋体" w:hAnsi="宋体"/>
          <w:b w:val="0"/>
          <w:bCs w:val="0"/>
          <w:color w:val="000000" w:themeColor="text1"/>
          <w:spacing w:val="12"/>
          <w:sz w:val="22"/>
          <w:szCs w:val="22"/>
          <w14:textFill>
            <w14:solidFill>
              <w14:schemeClr w14:val="tx1"/>
            </w14:solidFill>
          </w14:textFill>
        </w:rPr>
        <w:t>开标一览表</w:t>
      </w:r>
      <w:bookmarkEnd w:id="125"/>
      <w:bookmarkEnd w:id="126"/>
      <w:r>
        <w:rPr>
          <w:rStyle w:val="44"/>
          <w:rFonts w:hint="eastAsia" w:ascii="宋体" w:hAnsi="宋体"/>
          <w:b w:val="0"/>
          <w:bCs w:val="0"/>
          <w:color w:val="000000" w:themeColor="text1"/>
          <w:spacing w:val="12"/>
          <w:sz w:val="22"/>
          <w:szCs w:val="22"/>
          <w14:textFill>
            <w14:solidFill>
              <w14:schemeClr w14:val="tx1"/>
            </w14:solidFill>
          </w14:textFill>
        </w:rPr>
        <w:t>（适用于本项目）</w:t>
      </w:r>
    </w:p>
    <w:p>
      <w:pPr>
        <w:spacing w:before="624" w:beforeLines="200" w:after="312" w:afterLines="100"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开标一览表</w:t>
      </w:r>
    </w:p>
    <w:tbl>
      <w:tblPr>
        <w:tblStyle w:val="41"/>
        <w:tblW w:w="492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5"/>
        <w:gridCol w:w="2271"/>
        <w:gridCol w:w="808"/>
        <w:gridCol w:w="1633"/>
        <w:gridCol w:w="2356"/>
        <w:gridCol w:w="111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3" w:hRule="atLeast"/>
        </w:trPr>
        <w:tc>
          <w:tcPr>
            <w:tcW w:w="269" w:type="pct"/>
            <w:vAlign w:val="center"/>
          </w:tcPr>
          <w:p>
            <w:pPr>
              <w:jc w:val="center"/>
              <w:rPr>
                <w:rFonts w:hint="eastAsia" w:ascii="宋体" w:hAnsi="宋体" w:eastAsia="宋体" w:cs="黑体"/>
                <w:b/>
                <w:bCs/>
                <w:sz w:val="22"/>
              </w:rPr>
            </w:pPr>
            <w:r>
              <w:rPr>
                <w:rFonts w:hint="eastAsia" w:ascii="宋体" w:hAnsi="宋体" w:eastAsia="宋体" w:cs="黑体"/>
                <w:b/>
                <w:bCs/>
                <w:sz w:val="22"/>
              </w:rPr>
              <w:t>序号</w:t>
            </w:r>
          </w:p>
        </w:tc>
        <w:tc>
          <w:tcPr>
            <w:tcW w:w="1313" w:type="pct"/>
            <w:vAlign w:val="center"/>
          </w:tcPr>
          <w:p>
            <w:pPr>
              <w:jc w:val="center"/>
              <w:rPr>
                <w:rFonts w:hint="eastAsia" w:ascii="宋体" w:hAnsi="宋体" w:eastAsia="宋体" w:cs="黑体"/>
                <w:b/>
                <w:bCs/>
                <w:sz w:val="22"/>
              </w:rPr>
            </w:pPr>
            <w:r>
              <w:rPr>
                <w:rFonts w:hint="eastAsia" w:ascii="宋体" w:hAnsi="宋体" w:eastAsia="宋体" w:cs="黑体"/>
                <w:b/>
                <w:bCs/>
                <w:sz w:val="22"/>
              </w:rPr>
              <w:t>服务内容</w:t>
            </w:r>
          </w:p>
        </w:tc>
        <w:tc>
          <w:tcPr>
            <w:tcW w:w="467" w:type="pct"/>
            <w:vAlign w:val="center"/>
          </w:tcPr>
          <w:p>
            <w:pPr>
              <w:jc w:val="center"/>
              <w:rPr>
                <w:rFonts w:hint="eastAsia" w:ascii="宋体" w:hAnsi="宋体" w:eastAsia="宋体" w:cs="黑体"/>
                <w:b/>
                <w:bCs/>
                <w:sz w:val="22"/>
              </w:rPr>
            </w:pPr>
            <w:r>
              <w:rPr>
                <w:rFonts w:hint="eastAsia" w:ascii="宋体" w:hAnsi="宋体" w:eastAsia="宋体" w:cs="黑体"/>
                <w:b/>
                <w:bCs/>
                <w:sz w:val="22"/>
              </w:rPr>
              <w:t>数量/</w:t>
            </w:r>
          </w:p>
          <w:p>
            <w:pPr>
              <w:jc w:val="center"/>
              <w:rPr>
                <w:rFonts w:hint="eastAsia" w:ascii="宋体" w:hAnsi="宋体" w:eastAsia="宋体" w:cs="黑体"/>
                <w:b/>
                <w:bCs/>
                <w:sz w:val="22"/>
              </w:rPr>
            </w:pPr>
            <w:r>
              <w:rPr>
                <w:rFonts w:hint="eastAsia" w:ascii="宋体" w:hAnsi="宋体" w:eastAsia="宋体" w:cs="黑体"/>
                <w:b/>
                <w:bCs/>
                <w:sz w:val="22"/>
              </w:rPr>
              <w:t>单位</w:t>
            </w:r>
          </w:p>
        </w:tc>
        <w:tc>
          <w:tcPr>
            <w:tcW w:w="944" w:type="pct"/>
            <w:vAlign w:val="center"/>
          </w:tcPr>
          <w:p>
            <w:pPr>
              <w:jc w:val="center"/>
              <w:rPr>
                <w:rFonts w:hint="eastAsia" w:ascii="宋体" w:hAnsi="宋体" w:eastAsia="宋体" w:cs="黑体"/>
                <w:b/>
                <w:bCs/>
                <w:sz w:val="22"/>
              </w:rPr>
            </w:pPr>
            <w:r>
              <w:rPr>
                <w:rFonts w:hint="eastAsia" w:ascii="宋体" w:hAnsi="宋体" w:eastAsia="宋体" w:cs="黑体"/>
                <w:b/>
                <w:bCs/>
                <w:sz w:val="22"/>
              </w:rPr>
              <w:t>服务地点</w:t>
            </w:r>
          </w:p>
        </w:tc>
        <w:tc>
          <w:tcPr>
            <w:tcW w:w="1362" w:type="pct"/>
            <w:vAlign w:val="center"/>
          </w:tcPr>
          <w:p>
            <w:pPr>
              <w:jc w:val="center"/>
              <w:rPr>
                <w:rFonts w:hint="eastAsia" w:ascii="宋体" w:hAnsi="宋体" w:eastAsia="宋体" w:cs="黑体"/>
                <w:b/>
                <w:bCs/>
                <w:sz w:val="22"/>
              </w:rPr>
            </w:pPr>
            <w:r>
              <w:rPr>
                <w:rFonts w:hint="eastAsia" w:ascii="宋体" w:hAnsi="宋体" w:eastAsia="宋体" w:cs="黑体"/>
                <w:b/>
                <w:bCs/>
                <w:sz w:val="22"/>
              </w:rPr>
              <w:t>投标总报价</w:t>
            </w:r>
          </w:p>
          <w:p>
            <w:pPr>
              <w:jc w:val="center"/>
              <w:rPr>
                <w:rFonts w:hint="eastAsia" w:ascii="宋体" w:hAnsi="宋体" w:eastAsia="宋体" w:cs="黑体"/>
                <w:b/>
                <w:bCs/>
                <w:sz w:val="22"/>
              </w:rPr>
            </w:pPr>
            <w:r>
              <w:rPr>
                <w:rFonts w:hint="eastAsia" w:ascii="宋体" w:hAnsi="宋体" w:eastAsia="宋体" w:cs="黑体"/>
                <w:b/>
                <w:bCs/>
                <w:sz w:val="22"/>
              </w:rPr>
              <w:t>（元，含税）</w:t>
            </w:r>
          </w:p>
        </w:tc>
        <w:tc>
          <w:tcPr>
            <w:tcW w:w="641" w:type="pct"/>
            <w:vAlign w:val="center"/>
          </w:tcPr>
          <w:p>
            <w:pPr>
              <w:jc w:val="center"/>
              <w:rPr>
                <w:rFonts w:hint="eastAsia" w:ascii="宋体" w:hAnsi="宋体" w:eastAsia="宋体" w:cs="黑体"/>
                <w:b/>
                <w:bCs/>
                <w:sz w:val="22"/>
              </w:rPr>
            </w:pPr>
            <w:r>
              <w:rPr>
                <w:rFonts w:hint="eastAsia" w:ascii="宋体" w:hAnsi="宋体" w:eastAsia="宋体" w:cs="黑体"/>
                <w:b/>
                <w:bCs/>
                <w:sz w:val="22"/>
              </w:rPr>
              <w:t>税率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67" w:hRule="atLeast"/>
        </w:trPr>
        <w:tc>
          <w:tcPr>
            <w:tcW w:w="269" w:type="pct"/>
            <w:vAlign w:val="center"/>
          </w:tcPr>
          <w:p>
            <w:pPr>
              <w:jc w:val="center"/>
              <w:rPr>
                <w:rFonts w:hint="eastAsia" w:ascii="宋体" w:hAnsi="宋体" w:eastAsia="宋体" w:cs="黑体"/>
                <w:sz w:val="22"/>
              </w:rPr>
            </w:pPr>
            <w:r>
              <w:rPr>
                <w:rFonts w:hint="eastAsia" w:ascii="宋体" w:hAnsi="宋体" w:eastAsia="宋体" w:cs="黑体"/>
                <w:sz w:val="22"/>
              </w:rPr>
              <w:t>1</w:t>
            </w:r>
          </w:p>
        </w:tc>
        <w:tc>
          <w:tcPr>
            <w:tcW w:w="1313" w:type="pct"/>
            <w:vAlign w:val="center"/>
          </w:tcPr>
          <w:p>
            <w:pPr>
              <w:jc w:val="center"/>
              <w:rPr>
                <w:rFonts w:hint="eastAsia" w:ascii="宋体" w:hAnsi="宋体" w:eastAsia="宋体" w:cs="黑体"/>
                <w:sz w:val="22"/>
              </w:rPr>
            </w:pPr>
            <w:r>
              <w:rPr>
                <w:rFonts w:hint="eastAsia" w:ascii="宋体" w:hAnsi="宋体" w:eastAsia="宋体" w:cs="黑体"/>
                <w:sz w:val="22"/>
              </w:rPr>
              <w:t>赴柬埔寨、印尼开展文化交流活动及行程服务</w:t>
            </w:r>
          </w:p>
        </w:tc>
        <w:tc>
          <w:tcPr>
            <w:tcW w:w="467" w:type="pct"/>
            <w:vAlign w:val="center"/>
          </w:tcPr>
          <w:p>
            <w:pPr>
              <w:jc w:val="center"/>
              <w:rPr>
                <w:rFonts w:hint="eastAsia" w:ascii="宋体" w:hAnsi="宋体" w:eastAsia="宋体" w:cs="黑体"/>
                <w:sz w:val="22"/>
              </w:rPr>
            </w:pPr>
            <w:r>
              <w:rPr>
                <w:rFonts w:hint="eastAsia" w:ascii="宋体" w:hAnsi="宋体" w:eastAsia="宋体" w:cs="黑体"/>
                <w:sz w:val="22"/>
              </w:rPr>
              <w:t>1/项</w:t>
            </w:r>
          </w:p>
        </w:tc>
        <w:tc>
          <w:tcPr>
            <w:tcW w:w="944" w:type="pct"/>
            <w:vAlign w:val="center"/>
          </w:tcPr>
          <w:p>
            <w:pPr>
              <w:jc w:val="center"/>
              <w:rPr>
                <w:rFonts w:hint="eastAsia" w:ascii="宋体" w:hAnsi="宋体" w:eastAsia="宋体" w:cs="黑体"/>
                <w:sz w:val="22"/>
              </w:rPr>
            </w:pPr>
            <w:r>
              <w:rPr>
                <w:rFonts w:hint="eastAsia" w:ascii="宋体" w:hAnsi="宋体" w:eastAsia="宋体" w:cs="黑体"/>
                <w:sz w:val="22"/>
              </w:rPr>
              <w:t xml:space="preserve">招标人指定地点   </w:t>
            </w:r>
          </w:p>
        </w:tc>
        <w:tc>
          <w:tcPr>
            <w:tcW w:w="1362" w:type="pct"/>
            <w:vAlign w:val="center"/>
          </w:tcPr>
          <w:p>
            <w:pPr>
              <w:spacing w:line="360" w:lineRule="auto"/>
              <w:jc w:val="left"/>
              <w:rPr>
                <w:rFonts w:hint="eastAsia" w:ascii="宋体" w:hAnsi="宋体" w:eastAsia="宋体" w:cs="黑体"/>
                <w:sz w:val="22"/>
                <w:u w:val="single"/>
              </w:rPr>
            </w:pPr>
            <w:r>
              <w:rPr>
                <w:rFonts w:hint="eastAsia" w:ascii="宋体" w:hAnsi="宋体" w:eastAsia="宋体" w:cs="黑体"/>
                <w:sz w:val="22"/>
              </w:rPr>
              <w:t xml:space="preserve">大写：            </w:t>
            </w:r>
            <w:r>
              <w:rPr>
                <w:rFonts w:hint="eastAsia" w:ascii="宋体" w:hAnsi="宋体" w:eastAsia="宋体" w:cs="黑体"/>
                <w:sz w:val="22"/>
                <w:u w:val="single"/>
              </w:rPr>
              <w:t xml:space="preserve">      </w:t>
            </w:r>
          </w:p>
          <w:p>
            <w:pPr>
              <w:pStyle w:val="40"/>
              <w:spacing w:line="360" w:lineRule="auto"/>
              <w:ind w:firstLine="0" w:firstLineChars="0"/>
              <w:jc w:val="left"/>
              <w:rPr>
                <w:rFonts w:hint="eastAsia" w:ascii="宋体" w:hAnsi="宋体" w:eastAsia="宋体" w:cs="黑体"/>
                <w:sz w:val="22"/>
              </w:rPr>
            </w:pPr>
            <w:r>
              <w:rPr>
                <w:rFonts w:hint="eastAsia" w:ascii="宋体" w:hAnsi="宋体" w:eastAsia="宋体" w:cs="黑体"/>
                <w:sz w:val="22"/>
                <w:szCs w:val="22"/>
              </w:rPr>
              <w:t>小写：</w:t>
            </w:r>
            <w:r>
              <w:rPr>
                <w:rFonts w:ascii="宋体" w:hAnsi="宋体" w:eastAsia="宋体" w:cs="Calibri"/>
                <w:sz w:val="22"/>
                <w:szCs w:val="22"/>
                <w:u w:val="single"/>
              </w:rPr>
              <w:t>¥</w:t>
            </w:r>
            <w:r>
              <w:rPr>
                <w:rFonts w:hint="eastAsia" w:ascii="宋体" w:hAnsi="宋体" w:eastAsia="宋体" w:cs="黑体"/>
                <w:sz w:val="22"/>
                <w:szCs w:val="22"/>
                <w:u w:val="single"/>
              </w:rPr>
              <w:t xml:space="preserve">：        </w:t>
            </w:r>
            <w:r>
              <w:rPr>
                <w:rFonts w:hint="eastAsia" w:ascii="宋体" w:hAnsi="宋体" w:eastAsia="宋体" w:cs="黑体"/>
                <w:sz w:val="22"/>
                <w:szCs w:val="22"/>
              </w:rPr>
              <w:t xml:space="preserve">             </w:t>
            </w:r>
            <w:r>
              <w:rPr>
                <w:rFonts w:hint="eastAsia" w:ascii="宋体" w:hAnsi="宋体" w:eastAsia="宋体" w:cs="黑体"/>
                <w:sz w:val="22"/>
                <w:szCs w:val="22"/>
                <w:u w:val="single"/>
              </w:rPr>
              <w:t xml:space="preserve">          </w:t>
            </w:r>
          </w:p>
        </w:tc>
        <w:tc>
          <w:tcPr>
            <w:tcW w:w="641" w:type="pct"/>
            <w:vAlign w:val="center"/>
          </w:tcPr>
          <w:p>
            <w:pPr>
              <w:pStyle w:val="40"/>
              <w:spacing w:line="360" w:lineRule="auto"/>
              <w:ind w:firstLine="0" w:firstLineChars="0"/>
              <w:jc w:val="center"/>
              <w:rPr>
                <w:rFonts w:hint="eastAsia" w:ascii="宋体" w:hAnsi="宋体" w:eastAsia="宋体" w:cs="黑体"/>
                <w:sz w:val="22"/>
                <w:szCs w:val="22"/>
              </w:rPr>
            </w:pPr>
            <w:r>
              <w:rPr>
                <w:rFonts w:hint="eastAsia" w:ascii="宋体" w:hAnsi="宋体" w:eastAsia="宋体" w:cs="黑体"/>
                <w:sz w:val="22"/>
                <w:szCs w:val="22"/>
                <w:u w:val="single"/>
              </w:rPr>
              <w:t>%</w:t>
            </w:r>
          </w:p>
        </w:tc>
      </w:tr>
    </w:tbl>
    <w:p>
      <w:pPr>
        <w:spacing w:before="312" w:beforeLines="1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注明：</w:t>
      </w:r>
    </w:p>
    <w:p>
      <w:pPr>
        <w:pStyle w:val="63"/>
        <w:numPr>
          <w:ilvl w:val="0"/>
          <w:numId w:val="33"/>
        </w:numPr>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投标总价栏须用文字和数字两种方式表示的投标报价。投标报价为固定报价（含税），不接受区间报价。</w:t>
      </w:r>
    </w:p>
    <w:p>
      <w:pPr>
        <w:pStyle w:val="63"/>
        <w:numPr>
          <w:ilvl w:val="0"/>
          <w:numId w:val="33"/>
        </w:numPr>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投标报价货币：人民币；金额单位：元。</w:t>
      </w:r>
    </w:p>
    <w:p>
      <w:pPr>
        <w:pStyle w:val="63"/>
        <w:numPr>
          <w:ilvl w:val="0"/>
          <w:numId w:val="33"/>
        </w:numPr>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项目总价最高限价为915,034.00元人民币（含税）。如投标人所报价格高于最高投标限价的，其投标将被否决。</w:t>
      </w:r>
    </w:p>
    <w:p>
      <w:pPr>
        <w:pStyle w:val="63"/>
        <w:numPr>
          <w:ilvl w:val="0"/>
          <w:numId w:val="33"/>
        </w:numPr>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开标一览表内容与投标文件中相应内容不一致的，以开标一览表为准。</w:t>
      </w:r>
    </w:p>
    <w:p>
      <w:pPr>
        <w:pStyle w:val="63"/>
        <w:numPr>
          <w:ilvl w:val="0"/>
          <w:numId w:val="33"/>
        </w:numPr>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大写金额和小写金额不一致的，以大写金额为准。</w:t>
      </w:r>
    </w:p>
    <w:p>
      <w:pPr>
        <w:pStyle w:val="63"/>
        <w:numPr>
          <w:ilvl w:val="0"/>
          <w:numId w:val="33"/>
        </w:numPr>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投标人需对本采购项目的服务进行整体投标，</w:t>
      </w:r>
      <w:r>
        <w:rPr>
          <w:rFonts w:hint="eastAsia" w:ascii="宋体" w:hAnsi="宋体" w:eastAsia="宋体"/>
          <w:b/>
          <w:bCs/>
          <w:color w:val="FF0000"/>
          <w:sz w:val="22"/>
        </w:rPr>
        <w:t>任何只对其中一部分内容进行的投标都被视为无效投标。</w:t>
      </w:r>
    </w:p>
    <w:tbl>
      <w:tblPr>
        <w:tblStyle w:val="4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18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29" w:type="dxa"/>
          </w:tcPr>
          <w:p>
            <w:pPr>
              <w:overflowPunct w:val="0"/>
              <w:adjustRightInd w:val="0"/>
              <w:spacing w:line="48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c>
          <w:tcPr>
            <w:tcW w:w="1899" w:type="dxa"/>
          </w:tcPr>
          <w:p>
            <w:pPr>
              <w:spacing w:line="48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29" w:type="dxa"/>
          </w:tcPr>
          <w:p>
            <w:pPr>
              <w:spacing w:line="48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投标人法定代表人或被授权人（签名或签章）：</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c>
          <w:tcPr>
            <w:tcW w:w="1899" w:type="dxa"/>
          </w:tcPr>
          <w:p>
            <w:pPr>
              <w:spacing w:line="48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29" w:type="dxa"/>
          </w:tcPr>
          <w:p>
            <w:pPr>
              <w:spacing w:line="48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1899" w:type="dxa"/>
          </w:tcPr>
          <w:p>
            <w:pPr>
              <w:spacing w:line="480" w:lineRule="auto"/>
              <w:rPr>
                <w:rFonts w:hint="eastAsia" w:ascii="宋体" w:hAnsi="宋体" w:eastAsia="宋体" w:cs="Times New Roman"/>
                <w:color w:val="000000" w:themeColor="text1"/>
                <w:kern w:val="0"/>
                <w:sz w:val="22"/>
                <w:szCs w:val="20"/>
                <w14:textFill>
                  <w14:solidFill>
                    <w14:schemeClr w14:val="tx1"/>
                  </w14:solidFill>
                </w14:textFill>
              </w:rPr>
            </w:pPr>
          </w:p>
        </w:tc>
      </w:tr>
      <w:bookmarkEnd w:id="116"/>
      <w:bookmarkEnd w:id="117"/>
    </w:tbl>
    <w:p>
      <w:pPr>
        <w:rPr>
          <w:rFonts w:hint="eastAsia" w:ascii="宋体" w:hAnsi="宋体" w:eastAsia="宋体"/>
          <w:color w:val="000000" w:themeColor="text1"/>
          <w:sz w:val="22"/>
          <w14:textFill>
            <w14:solidFill>
              <w14:schemeClr w14:val="tx1"/>
            </w14:solidFill>
          </w14:textFill>
        </w:rPr>
        <w:sectPr>
          <w:footerReference r:id="rId7" w:type="first"/>
          <w:pgSz w:w="11906" w:h="16838"/>
          <w:pgMar w:top="1521" w:right="1558" w:bottom="993" w:left="1797" w:header="851" w:footer="680" w:gutter="0"/>
          <w:cols w:space="425" w:num="1"/>
          <w:titlePg/>
          <w:docGrid w:type="lines" w:linePitch="312" w:charSpace="0"/>
        </w:sectPr>
      </w:pPr>
    </w:p>
    <w:p>
      <w:pPr>
        <w:spacing w:before="624" w:beforeLines="200" w:after="312" w:afterLines="100" w:line="360" w:lineRule="auto"/>
        <w:jc w:val="center"/>
        <w:rPr>
          <w:rFonts w:hint="eastAsia" w:eastAsia="宋体"/>
          <w:spacing w:val="20"/>
          <w:sz w:val="32"/>
          <w:szCs w:val="32"/>
        </w:rPr>
      </w:pPr>
      <w:bookmarkStart w:id="127" w:name="_Toc405313961"/>
      <w:bookmarkStart w:id="128" w:name="_Toc391627757"/>
      <w:bookmarkStart w:id="129" w:name="_Toc16140"/>
      <w:bookmarkStart w:id="130" w:name="_Toc7114"/>
      <w:r>
        <w:rPr>
          <w:rFonts w:hint="eastAsia" w:eastAsia="宋体"/>
          <w:spacing w:val="20"/>
          <w:sz w:val="32"/>
          <w:szCs w:val="32"/>
        </w:rPr>
        <w:t>详细</w:t>
      </w:r>
      <w:r>
        <w:rPr>
          <w:rFonts w:eastAsia="宋体"/>
          <w:spacing w:val="20"/>
          <w:sz w:val="32"/>
          <w:szCs w:val="32"/>
        </w:rPr>
        <w:t>报价表</w:t>
      </w:r>
    </w:p>
    <w:tbl>
      <w:tblPr>
        <w:tblStyle w:val="41"/>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32"/>
        <w:gridCol w:w="887"/>
        <w:gridCol w:w="4252"/>
        <w:gridCol w:w="1559"/>
        <w:gridCol w:w="141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1" w:hRule="atLeast"/>
          <w:jc w:val="center"/>
        </w:trPr>
        <w:tc>
          <w:tcPr>
            <w:tcW w:w="532" w:type="dxa"/>
            <w:vAlign w:val="center"/>
          </w:tcPr>
          <w:p>
            <w:pPr>
              <w:widowControl/>
              <w:jc w:val="center"/>
              <w:rPr>
                <w:rFonts w:hint="eastAsia" w:ascii="宋体" w:hAnsi="宋体" w:eastAsia="宋体" w:cs="宋体"/>
                <w:b/>
                <w:bCs/>
                <w:color w:val="000000"/>
                <w:kern w:val="0"/>
                <w:szCs w:val="21"/>
                <w14:ligatures w14:val="none"/>
              </w:rPr>
            </w:pPr>
            <w:r>
              <w:rPr>
                <w:rFonts w:ascii="宋体" w:hAnsi="宋体" w:eastAsia="宋体" w:cs="宋体"/>
                <w:b/>
                <w:bCs/>
                <w:color w:val="000000"/>
                <w:kern w:val="0"/>
                <w:szCs w:val="21"/>
                <w14:ligatures w14:val="none"/>
              </w:rPr>
              <w:t>序号</w:t>
            </w:r>
          </w:p>
        </w:tc>
        <w:tc>
          <w:tcPr>
            <w:tcW w:w="887" w:type="dxa"/>
            <w:vAlign w:val="center"/>
          </w:tcPr>
          <w:p>
            <w:pPr>
              <w:widowControl/>
              <w:jc w:val="center"/>
              <w:rPr>
                <w:rFonts w:hint="eastAsia" w:ascii="宋体" w:hAnsi="宋体" w:eastAsia="宋体" w:cs="宋体"/>
                <w:b/>
                <w:bCs/>
                <w:color w:val="000000"/>
                <w:kern w:val="0"/>
                <w:szCs w:val="21"/>
                <w14:ligatures w14:val="none"/>
              </w:rPr>
            </w:pPr>
            <w:r>
              <w:rPr>
                <w:rFonts w:ascii="宋体" w:hAnsi="宋体" w:eastAsia="宋体" w:cs="宋体"/>
                <w:b/>
                <w:bCs/>
                <w:color w:val="000000"/>
                <w:kern w:val="0"/>
                <w:szCs w:val="21"/>
                <w14:ligatures w14:val="none"/>
              </w:rPr>
              <w:t>项目需求</w:t>
            </w:r>
          </w:p>
        </w:tc>
        <w:tc>
          <w:tcPr>
            <w:tcW w:w="4252" w:type="dxa"/>
            <w:vAlign w:val="center"/>
          </w:tcPr>
          <w:p>
            <w:pPr>
              <w:widowControl/>
              <w:jc w:val="center"/>
              <w:rPr>
                <w:rFonts w:hint="eastAsia" w:ascii="宋体" w:hAnsi="宋体" w:eastAsia="宋体" w:cs="宋体"/>
                <w:b/>
                <w:bCs/>
                <w:color w:val="000000"/>
                <w:kern w:val="0"/>
                <w:szCs w:val="21"/>
                <w14:ligatures w14:val="none"/>
              </w:rPr>
            </w:pPr>
            <w:r>
              <w:rPr>
                <w:rFonts w:ascii="宋体" w:hAnsi="宋体" w:eastAsia="宋体" w:cs="宋体"/>
                <w:b/>
                <w:bCs/>
                <w:color w:val="000000"/>
                <w:kern w:val="0"/>
                <w:szCs w:val="21"/>
                <w14:ligatures w14:val="none"/>
              </w:rPr>
              <w:t>具体需求</w:t>
            </w:r>
          </w:p>
        </w:tc>
        <w:tc>
          <w:tcPr>
            <w:tcW w:w="1559" w:type="dxa"/>
            <w:noWrap/>
            <w:vAlign w:val="center"/>
          </w:tcPr>
          <w:p>
            <w:pPr>
              <w:widowControl/>
              <w:jc w:val="center"/>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单项限价</w:t>
            </w:r>
          </w:p>
          <w:p>
            <w:pPr>
              <w:widowControl/>
              <w:jc w:val="center"/>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（元，含税）</w:t>
            </w:r>
          </w:p>
        </w:tc>
        <w:tc>
          <w:tcPr>
            <w:tcW w:w="1418" w:type="dxa"/>
            <w:vAlign w:val="center"/>
          </w:tcPr>
          <w:p>
            <w:pPr>
              <w:widowControl/>
              <w:jc w:val="center"/>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明细报价（元，含税）</w:t>
            </w:r>
          </w:p>
        </w:tc>
        <w:tc>
          <w:tcPr>
            <w:tcW w:w="1417" w:type="dxa"/>
            <w:vAlign w:val="center"/>
          </w:tcPr>
          <w:p>
            <w:pPr>
              <w:widowControl/>
              <w:jc w:val="center"/>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单项报价（元，含税）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p>
        </w:tc>
        <w:tc>
          <w:tcPr>
            <w:tcW w:w="887" w:type="dxa"/>
            <w:vMerge w:val="restart"/>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rPr>
              <w:t>柬埔寨文化交流活动执行</w:t>
            </w:r>
            <w:r>
              <w:rPr>
                <w:rFonts w:hint="eastAsia" w:ascii="宋体" w:hAnsi="宋体" w:eastAsia="宋体" w:cs="宋体"/>
                <w:color w:val="000000"/>
                <w:kern w:val="0"/>
                <w:szCs w:val="21"/>
              </w:rPr>
              <w:t>服务</w:t>
            </w:r>
            <w:r>
              <w:rPr>
                <w:rFonts w:ascii="宋体" w:hAnsi="宋体" w:eastAsia="宋体" w:cs="宋体"/>
                <w:color w:val="000000"/>
                <w:kern w:val="0"/>
                <w:szCs w:val="21"/>
              </w:rPr>
              <w:t>（9月19日下午，暹粒公立中山学校）</w:t>
            </w: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举办1场“粤见亚太·遇见中国（广东）好物”——广货行天下走进柬埔寨活动，包括场地租赁（可容纳不少于50人）、制作一块约6m*3m的彩色</w:t>
            </w:r>
            <w:r>
              <w:rPr>
                <w:rFonts w:hint="eastAsia" w:ascii="宋体" w:hAnsi="宋体" w:eastAsia="宋体" w:cs="宋体"/>
                <w:color w:val="000000"/>
                <w:kern w:val="0"/>
                <w:szCs w:val="21"/>
              </w:rPr>
              <w:t>PVC</w:t>
            </w:r>
            <w:r>
              <w:rPr>
                <w:rFonts w:ascii="宋体" w:hAnsi="宋体" w:eastAsia="宋体" w:cs="宋体"/>
                <w:color w:val="000000"/>
                <w:kern w:val="0"/>
                <w:szCs w:val="21"/>
              </w:rPr>
              <w:t>布作为活动主背景、制作不少于2个80cm*180cm易拉宝，现场需布置不少于40把观众椅、一块约6</w:t>
            </w:r>
            <w:r>
              <w:rPr>
                <w:rFonts w:hint="eastAsia" w:ascii="宋体" w:hAnsi="宋体" w:eastAsia="宋体" w:cs="宋体"/>
                <w:color w:val="000000"/>
                <w:kern w:val="0"/>
                <w:szCs w:val="21"/>
              </w:rPr>
              <w:t>m</w:t>
            </w:r>
            <w:r>
              <w:rPr>
                <w:rFonts w:ascii="宋体" w:hAnsi="宋体" w:eastAsia="宋体" w:cs="宋体"/>
                <w:color w:val="000000"/>
                <w:kern w:val="0"/>
                <w:szCs w:val="21"/>
              </w:rPr>
              <w:t>*2</w:t>
            </w:r>
            <w:r>
              <w:rPr>
                <w:rFonts w:hint="eastAsia" w:ascii="宋体" w:hAnsi="宋体" w:eastAsia="宋体" w:cs="宋体"/>
                <w:color w:val="000000"/>
                <w:kern w:val="0"/>
                <w:szCs w:val="21"/>
              </w:rPr>
              <w:t>m</w:t>
            </w:r>
            <w:r>
              <w:rPr>
                <w:rFonts w:ascii="宋体" w:hAnsi="宋体" w:eastAsia="宋体" w:cs="宋体"/>
                <w:color w:val="000000"/>
                <w:kern w:val="0"/>
                <w:szCs w:val="21"/>
              </w:rPr>
              <w:t>地毯；需准备不少于2个麦克风、1套音响设备、主持手卡、座位贴、讲话台等会务物资；现场配备1位中柬双语主持人、2位礼仪、2位双语翻译、不少于2位工作人员等；包含布场撤场、清洁维护等</w:t>
            </w:r>
          </w:p>
        </w:tc>
        <w:tc>
          <w:tcPr>
            <w:tcW w:w="1559" w:type="dxa"/>
            <w:vMerge w:val="restart"/>
            <w:noWrap/>
            <w:vAlign w:val="center"/>
          </w:tcPr>
          <w:p>
            <w:pPr>
              <w:widowControl/>
              <w:jc w:val="center"/>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130,000.00</w:t>
            </w: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restart"/>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2</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举办1场文化创意展，制作20幅广东优秀图片作品（图片素材由招标人提供），展线约15m。单幅图片采用KT板材质，保障画面清晰展示，图片长度不低于90cm；展陈形式采用金属展架，单组展架规格要求宽1.4m、高 2.4m，每组展架最多可悬挂2幅图文作品</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3</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rPr>
            </w:pPr>
            <w:r>
              <w:rPr>
                <w:rFonts w:ascii="宋体" w:hAnsi="宋体" w:eastAsia="宋体" w:cs="宋体"/>
                <w:color w:val="000000"/>
                <w:kern w:val="0"/>
                <w:szCs w:val="21"/>
              </w:rPr>
              <w:t>举办1场“广货行天下”主题展，租赁2张约6m展台，</w:t>
            </w:r>
            <w:r>
              <w:rPr>
                <w:rFonts w:hint="eastAsia" w:ascii="宋体" w:hAnsi="宋体" w:eastAsia="宋体" w:cs="宋体"/>
                <w:color w:val="000000"/>
                <w:kern w:val="0"/>
                <w:szCs w:val="21"/>
              </w:rPr>
              <w:t>根据招标人展品清单（参考附表）组织</w:t>
            </w:r>
            <w:r>
              <w:rPr>
                <w:rFonts w:ascii="宋体" w:hAnsi="宋体" w:eastAsia="宋体" w:cs="宋体"/>
                <w:color w:val="000000"/>
                <w:kern w:val="0"/>
                <w:szCs w:val="21"/>
              </w:rPr>
              <w:t>并运输</w:t>
            </w:r>
            <w:r>
              <w:rPr>
                <w:rFonts w:hint="eastAsia" w:ascii="宋体" w:hAnsi="宋体" w:eastAsia="宋体" w:cs="宋体"/>
                <w:color w:val="000000"/>
                <w:kern w:val="0"/>
                <w:szCs w:val="21"/>
              </w:rPr>
              <w:t>34件</w:t>
            </w:r>
            <w:r>
              <w:rPr>
                <w:rFonts w:ascii="宋体" w:hAnsi="宋体" w:eastAsia="宋体" w:cs="宋体"/>
                <w:color w:val="000000"/>
                <w:kern w:val="0"/>
                <w:szCs w:val="21"/>
              </w:rPr>
              <w:t>广货优质展品</w:t>
            </w:r>
            <w:r>
              <w:rPr>
                <w:rFonts w:hint="eastAsia" w:ascii="宋体" w:hAnsi="宋体" w:eastAsia="宋体" w:cs="宋体"/>
                <w:color w:val="000000"/>
                <w:kern w:val="0"/>
                <w:szCs w:val="21"/>
              </w:rPr>
              <w:t>，运输</w:t>
            </w:r>
            <w:r>
              <w:rPr>
                <w:rFonts w:ascii="宋体" w:hAnsi="宋体" w:eastAsia="宋体" w:cs="宋体"/>
                <w:color w:val="000000"/>
                <w:kern w:val="0"/>
                <w:szCs w:val="21"/>
              </w:rPr>
              <w:t>约40本广东书籍前往柬埔寨（书籍由招标人提供）。广货展品分为智能科技类、潮玩文创类、预包装农特产品类，展品如智能无弦吉他、AI翻译眼镜、醒狮潮玩、荔枝酥、酥心糖、月饼等，以静态陈列、互动体验形式展示，凸显广东智造、文创实力；设计并制作约40个15*10cm展签、10～15个40～60cmKT板</w:t>
            </w:r>
            <w:r>
              <w:rPr>
                <w:rFonts w:hint="eastAsia" w:ascii="宋体" w:hAnsi="宋体" w:eastAsia="宋体" w:cs="宋体"/>
                <w:color w:val="000000"/>
                <w:kern w:val="0"/>
                <w:szCs w:val="21"/>
              </w:rPr>
              <w:t>。</w:t>
            </w:r>
          </w:p>
          <w:p>
            <w:pPr>
              <w:widowControl/>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rPr>
              <w:t>注：</w:t>
            </w:r>
            <w:r>
              <w:rPr>
                <w:rFonts w:ascii="宋体" w:hAnsi="宋体" w:eastAsia="宋体" w:cs="宋体"/>
                <w:color w:val="000000"/>
                <w:kern w:val="0"/>
                <w:szCs w:val="21"/>
              </w:rPr>
              <w:t>40本广东书籍</w:t>
            </w:r>
            <w:r>
              <w:rPr>
                <w:rFonts w:hint="eastAsia" w:ascii="宋体" w:hAnsi="宋体" w:eastAsia="宋体" w:cs="宋体"/>
                <w:color w:val="000000"/>
                <w:kern w:val="0"/>
                <w:szCs w:val="21"/>
              </w:rPr>
              <w:t>总重量约30公斤，投标人须结合项目情况及空运成本进行合理报价。</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4</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举办1场积木拼搭体验活动，租赁1张约5m展桌、约10把椅子，组织并海外运输约20件广东积木玩具，现场进行广东积木拼搭体验</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5</w:t>
            </w:r>
          </w:p>
        </w:tc>
        <w:tc>
          <w:tcPr>
            <w:tcW w:w="887" w:type="dxa"/>
            <w:vMerge w:val="restart"/>
            <w:vAlign w:val="center"/>
          </w:tcPr>
          <w:p>
            <w:pPr>
              <w:widowControl/>
              <w:jc w:val="center"/>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rPr>
              <w:t>印尼</w:t>
            </w:r>
            <w:r>
              <w:rPr>
                <w:rFonts w:ascii="宋体" w:hAnsi="宋体" w:eastAsia="宋体" w:cs="宋体"/>
                <w:color w:val="000000"/>
                <w:kern w:val="0"/>
                <w:szCs w:val="21"/>
              </w:rPr>
              <w:t>文化交流活动执行</w:t>
            </w:r>
            <w:r>
              <w:rPr>
                <w:rFonts w:hint="eastAsia" w:ascii="宋体" w:hAnsi="宋体" w:eastAsia="宋体" w:cs="宋体"/>
                <w:color w:val="000000"/>
                <w:kern w:val="0"/>
                <w:szCs w:val="21"/>
              </w:rPr>
              <w:t>服务</w:t>
            </w:r>
            <w:r>
              <w:rPr>
                <w:rFonts w:ascii="宋体" w:hAnsi="宋体" w:eastAsia="宋体" w:cs="宋体"/>
                <w:color w:val="000000"/>
                <w:kern w:val="0"/>
                <w:szCs w:val="21"/>
              </w:rPr>
              <w:t>（9月22日下午，雅加达核心商圈）</w:t>
            </w: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场地租赁服务：在雅加达市内人流密集的核心商圈租赁开放/半开放空间，场地面积约200</w:t>
            </w:r>
            <w:r>
              <w:rPr>
                <w:rFonts w:hint="eastAsia" w:ascii="宋体" w:hAnsi="宋体" w:eastAsia="宋体" w:cs="微软雅黑"/>
                <w:color w:val="000000"/>
                <w:kern w:val="0"/>
                <w:szCs w:val="21"/>
              </w:rPr>
              <w:t>㎡</w:t>
            </w:r>
            <w:r>
              <w:rPr>
                <w:rFonts w:ascii="宋体" w:hAnsi="宋体" w:eastAsia="宋体" w:cs="宋体"/>
                <w:color w:val="000000"/>
                <w:kern w:val="0"/>
                <w:szCs w:val="21"/>
              </w:rPr>
              <w:t>，使用时长包含1天搭建（9月21日晚可提前入场搭建）、1天正式活动（9月22日）。场地需交通便利、安保条件良好，可灵活布局主活动舞台、展览区域，场地需适配文化创意展及现场交流活动</w:t>
            </w:r>
          </w:p>
        </w:tc>
        <w:tc>
          <w:tcPr>
            <w:tcW w:w="1559" w:type="dxa"/>
            <w:vMerge w:val="restart"/>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454,599.00</w:t>
            </w: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restart"/>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3"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6</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举办1场“粤见亚太·遇见中国（广东）好物”——广货行天下走进印尼活动，现场需搭建不小于6m*3m LED屏幕、不小于6m*4m舞台、至少2组灯光、1套专业音响、不少于4个麦克风、1个讲话台、不少于50把观众椅、不少于2个80cm*180cm易拉宝等，现场需准备主持手卡、座位贴等会务物资，现场配备1位中印尼语双语主持人、4位礼仪、2位双语翻译、不少于2位工作人员等；包含布场撤场、清洁维护等</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0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7</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举办1场文化创意展，</w:t>
            </w:r>
            <w:r>
              <w:rPr>
                <w:rFonts w:hint="eastAsia" w:ascii="宋体" w:hAnsi="宋体" w:eastAsia="宋体" w:cs="宋体"/>
                <w:color w:val="000000"/>
                <w:kern w:val="0"/>
                <w:szCs w:val="21"/>
              </w:rPr>
              <w:t>制</w:t>
            </w:r>
            <w:r>
              <w:rPr>
                <w:rFonts w:ascii="宋体" w:hAnsi="宋体" w:eastAsia="宋体" w:cs="宋体"/>
                <w:color w:val="000000"/>
                <w:kern w:val="0"/>
                <w:szCs w:val="21"/>
              </w:rPr>
              <w:t>作30幅广东优秀图片作品（图片素材由招标人提供），展线约20m。单幅图片采用KT板材质，保障画面清晰展示，图片长度不低于90cm；展陈形式采用金属展架，单组展架规格要求宽1.4m、高 2.4m，每组展架最多可悬挂2幅图文作品，所有展架均需配套专业照明灯具，保障画面清晰展示、提升现场视觉氛围感</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8</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举办1场“广货行天下”主题展，租赁2张约</w:t>
            </w:r>
            <w:r>
              <w:rPr>
                <w:rFonts w:hint="eastAsia" w:ascii="宋体" w:hAnsi="宋体" w:eastAsia="宋体" w:cs="宋体"/>
                <w:color w:val="000000"/>
                <w:kern w:val="0"/>
                <w:szCs w:val="21"/>
              </w:rPr>
              <w:t>6</w:t>
            </w:r>
            <w:r>
              <w:rPr>
                <w:rFonts w:ascii="宋体" w:hAnsi="宋体" w:eastAsia="宋体" w:cs="宋体"/>
                <w:color w:val="000000"/>
                <w:kern w:val="0"/>
                <w:szCs w:val="21"/>
              </w:rPr>
              <w:t>m展台，</w:t>
            </w:r>
            <w:r>
              <w:rPr>
                <w:rFonts w:hint="eastAsia" w:ascii="宋体" w:hAnsi="宋体" w:eastAsia="宋体" w:cs="宋体"/>
                <w:color w:val="000000"/>
                <w:kern w:val="0"/>
                <w:szCs w:val="21"/>
              </w:rPr>
              <w:t>根据</w:t>
            </w:r>
            <w:r>
              <w:rPr>
                <w:rFonts w:ascii="宋体" w:hAnsi="宋体" w:eastAsia="宋体" w:cs="宋体"/>
                <w:color w:val="000000"/>
                <w:kern w:val="0"/>
                <w:szCs w:val="21"/>
              </w:rPr>
              <w:t>招</w:t>
            </w:r>
            <w:r>
              <w:rPr>
                <w:rFonts w:hint="eastAsia" w:ascii="宋体" w:hAnsi="宋体" w:eastAsia="宋体" w:cs="宋体"/>
                <w:color w:val="000000"/>
                <w:kern w:val="0"/>
                <w:szCs w:val="21"/>
              </w:rPr>
              <w:t>标人展品清单（参考附表）组织</w:t>
            </w:r>
            <w:r>
              <w:rPr>
                <w:rFonts w:ascii="宋体" w:hAnsi="宋体" w:eastAsia="宋体" w:cs="宋体"/>
                <w:color w:val="000000"/>
                <w:kern w:val="0"/>
                <w:szCs w:val="21"/>
              </w:rPr>
              <w:t>并运输</w:t>
            </w:r>
            <w:r>
              <w:rPr>
                <w:rFonts w:hint="eastAsia" w:ascii="宋体" w:hAnsi="宋体" w:eastAsia="宋体" w:cs="宋体"/>
                <w:color w:val="000000"/>
                <w:kern w:val="0"/>
                <w:szCs w:val="21"/>
              </w:rPr>
              <w:t>34</w:t>
            </w:r>
            <w:r>
              <w:rPr>
                <w:rFonts w:ascii="宋体" w:hAnsi="宋体" w:eastAsia="宋体" w:cs="宋体"/>
                <w:color w:val="000000"/>
                <w:kern w:val="0"/>
                <w:szCs w:val="21"/>
              </w:rPr>
              <w:t>件广货优质展品。广货展品分为智能科技类、潮玩文创类、预包装农特产品类，展品如智能无弦吉他、AI翻译眼镜、醒狮潮玩、荔枝酥、酥心糖、月饼等，以静态陈列、互动体验形式展示，凸显广东智造、文创实力；设计并制作约</w:t>
            </w:r>
            <w:r>
              <w:rPr>
                <w:rFonts w:hint="eastAsia" w:ascii="宋体" w:hAnsi="宋体" w:eastAsia="宋体" w:cs="宋体"/>
                <w:color w:val="000000"/>
                <w:kern w:val="0"/>
                <w:szCs w:val="21"/>
              </w:rPr>
              <w:t>40</w:t>
            </w:r>
            <w:r>
              <w:rPr>
                <w:rFonts w:ascii="宋体" w:hAnsi="宋体" w:eastAsia="宋体" w:cs="宋体"/>
                <w:color w:val="000000"/>
                <w:kern w:val="0"/>
                <w:szCs w:val="21"/>
              </w:rPr>
              <w:t>个15*10cm展签、15～20个40～60cmKT板</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9</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rPr>
              <w:t>组织4-5位印尼模特身穿香云纱、手持“广货”，在活动主舞台进行约5分钟走秀，并在活动期间向现场观众推介“广货”展品、充分调动现场气氛，展现广货魅力</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3"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0</w:t>
            </w:r>
          </w:p>
        </w:tc>
        <w:tc>
          <w:tcPr>
            <w:tcW w:w="887" w:type="dxa"/>
            <w:vMerge w:val="restart"/>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团组A行程保障服务（9月19日至9月24日）</w:t>
            </w: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国际机票服务（1人，公务舱标准，优先使用国内航空公司航班），据实结算：</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9月19日：广州-金边-暹粒</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9月21日：暹粒-金边</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9月22日：金边-吉隆坡-雅加达</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9月23日：雅加达-日惹</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9月24日：日惹-雅加达-广州</w:t>
            </w:r>
          </w:p>
        </w:tc>
        <w:tc>
          <w:tcPr>
            <w:tcW w:w="1559" w:type="dxa"/>
            <w:vMerge w:val="restart"/>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200,851.00</w:t>
            </w: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restart"/>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3"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1</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国际机票服务（5人，经济舱标准，优先使用国内航空公司航班），据实结算：</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9月19日：广州-金边-暹粒</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9月21日：暹粒-金边</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9月22日：金边-吉隆坡-雅加达</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9月23日：雅加达-日惹</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9月24日：日惹-雅加达-广州</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2</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酒店住宿：预计暹粒2晚、金边1晚、雅加达1晚、日惹1晚（共6人），住宿标准符合因公出差相关经费管理规定，住宿地点需靠近活动/交流场地，交通便利、安保条件达标，具备基础商务接待与办公条件，据实结算</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3</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柬埔寨和印尼行程期间的餐饮、市内交通保障等城市内行程保障服务（包括餐饮服务、市内交通保障服务等，按照柬埔寨3天、印尼3天，共6人）</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4</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保险服务（6人），据实结算</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5</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签证服务（6人），据实结算</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6</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中柬英三语翻译1位（3天）、中英印尼三语翻译1位（3天），每日工作时长不低于14小时</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4"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7</w:t>
            </w:r>
          </w:p>
        </w:tc>
        <w:tc>
          <w:tcPr>
            <w:tcW w:w="887" w:type="dxa"/>
            <w:vMerge w:val="restart"/>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团组B行程保障服务（9月18日至9月23日）</w:t>
            </w: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国际机票服务（4人，经济舱标准，优先使用国内航空公司航班），据实结算：</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9月18日：广州-金边-暹粒</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9月20日：暹粒-新加坡-雅加达</w:t>
            </w:r>
            <w:r>
              <w:rPr>
                <w:rFonts w:ascii="宋体" w:hAnsi="宋体" w:eastAsia="宋体" w:cs="宋体"/>
                <w:color w:val="000000"/>
                <w:kern w:val="0"/>
                <w:szCs w:val="21"/>
                <w14:ligatures w14:val="none"/>
              </w:rPr>
              <w:br w:type="textWrapping"/>
            </w:r>
            <w:r>
              <w:rPr>
                <w:rFonts w:ascii="宋体" w:hAnsi="宋体" w:eastAsia="宋体" w:cs="宋体"/>
                <w:color w:val="000000"/>
                <w:kern w:val="0"/>
                <w:szCs w:val="21"/>
                <w14:ligatures w14:val="none"/>
              </w:rPr>
              <w:t>9月23日：雅加达-广州</w:t>
            </w:r>
          </w:p>
        </w:tc>
        <w:tc>
          <w:tcPr>
            <w:tcW w:w="1559" w:type="dxa"/>
            <w:vMerge w:val="restart"/>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129,584.00</w:t>
            </w: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restart"/>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1</w:t>
            </w:r>
            <w:r>
              <w:rPr>
                <w:rFonts w:hint="eastAsia" w:ascii="宋体" w:hAnsi="宋体" w:eastAsia="宋体" w:cs="宋体"/>
                <w:color w:val="000000"/>
                <w:kern w:val="0"/>
                <w:szCs w:val="21"/>
                <w14:ligatures w14:val="none"/>
              </w:rPr>
              <w:t>8</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酒店住宿：预计暹粒2晚、雅加达3晚（共4人），住宿标准符合因公出差相关经费管理规定，住宿地点需靠近活动/交流场地，交通便利、安保条件达标，具备基础商务接待与办公条件，据实结算</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hint="eastAsia" w:ascii="宋体" w:hAnsi="宋体" w:eastAsia="宋体" w:cs="宋体"/>
                <w:color w:val="000000"/>
                <w:kern w:val="0"/>
                <w:szCs w:val="21"/>
                <w14:ligatures w14:val="none"/>
              </w:rPr>
              <w:t>19</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柬埔寨和印尼行程期间的餐饮、市内交通保障等城市内行程保障服务（包括餐饮服务、市内交通保障服务等，按照柬埔寨3天、印尼3天，共4人）</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2</w:t>
            </w:r>
            <w:r>
              <w:rPr>
                <w:rFonts w:hint="eastAsia" w:ascii="宋体" w:hAnsi="宋体" w:eastAsia="宋体" w:cs="宋体"/>
                <w:color w:val="000000"/>
                <w:kern w:val="0"/>
                <w:szCs w:val="21"/>
                <w14:ligatures w14:val="none"/>
              </w:rPr>
              <w:t>0</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保险服务（4人），据实结算</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2</w:t>
            </w:r>
            <w:r>
              <w:rPr>
                <w:rFonts w:hint="eastAsia" w:ascii="宋体" w:hAnsi="宋体" w:eastAsia="宋体" w:cs="宋体"/>
                <w:color w:val="000000"/>
                <w:kern w:val="0"/>
                <w:szCs w:val="21"/>
                <w14:ligatures w14:val="none"/>
              </w:rPr>
              <w:t>1</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签证服务（4人），据实结算</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9" w:hRule="atLeast"/>
          <w:jc w:val="center"/>
        </w:trPr>
        <w:tc>
          <w:tcPr>
            <w:tcW w:w="532" w:type="dxa"/>
            <w:noWrap/>
            <w:vAlign w:val="center"/>
          </w:tcPr>
          <w:p>
            <w:pPr>
              <w:widowControl/>
              <w:jc w:val="center"/>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2</w:t>
            </w:r>
            <w:r>
              <w:rPr>
                <w:rFonts w:hint="eastAsia" w:ascii="宋体" w:hAnsi="宋体" w:eastAsia="宋体" w:cs="宋体"/>
                <w:color w:val="000000"/>
                <w:kern w:val="0"/>
                <w:szCs w:val="21"/>
                <w14:ligatures w14:val="none"/>
              </w:rPr>
              <w:t>2</w:t>
            </w:r>
          </w:p>
        </w:tc>
        <w:tc>
          <w:tcPr>
            <w:tcW w:w="887" w:type="dxa"/>
            <w:vMerge w:val="continue"/>
            <w:vAlign w:val="center"/>
          </w:tcPr>
          <w:p>
            <w:pPr>
              <w:widowControl/>
              <w:jc w:val="center"/>
              <w:rPr>
                <w:rFonts w:hint="eastAsia" w:ascii="宋体" w:hAnsi="宋体" w:eastAsia="宋体" w:cs="宋体"/>
                <w:color w:val="000000"/>
                <w:kern w:val="0"/>
                <w:szCs w:val="21"/>
                <w14:ligatures w14:val="none"/>
              </w:rPr>
            </w:pPr>
          </w:p>
        </w:tc>
        <w:tc>
          <w:tcPr>
            <w:tcW w:w="4252" w:type="dxa"/>
            <w:vAlign w:val="center"/>
          </w:tcPr>
          <w:p>
            <w:pPr>
              <w:widowControl/>
              <w:rPr>
                <w:rFonts w:hint="eastAsia" w:ascii="宋体" w:hAnsi="宋体" w:eastAsia="宋体" w:cs="宋体"/>
                <w:color w:val="000000"/>
                <w:kern w:val="0"/>
                <w:szCs w:val="21"/>
                <w14:ligatures w14:val="none"/>
              </w:rPr>
            </w:pPr>
            <w:r>
              <w:rPr>
                <w:rFonts w:ascii="宋体" w:hAnsi="宋体" w:eastAsia="宋体" w:cs="宋体"/>
                <w:color w:val="000000"/>
                <w:kern w:val="0"/>
                <w:szCs w:val="21"/>
                <w14:ligatures w14:val="none"/>
              </w:rPr>
              <w:t>中柬英三语翻译1位（3天）、中英印尼三语翻译1位（3天），每日工作时长不低于14小时</w:t>
            </w:r>
          </w:p>
        </w:tc>
        <w:tc>
          <w:tcPr>
            <w:tcW w:w="1559" w:type="dxa"/>
            <w:vMerge w:val="continue"/>
            <w:noWrap/>
            <w:vAlign w:val="center"/>
          </w:tcPr>
          <w:p>
            <w:pPr>
              <w:widowControl/>
              <w:jc w:val="center"/>
              <w:rPr>
                <w:rFonts w:hint="eastAsia" w:ascii="宋体" w:hAnsi="宋体" w:eastAsia="宋体" w:cs="宋体"/>
                <w:color w:val="000000"/>
                <w:kern w:val="0"/>
                <w:szCs w:val="21"/>
                <w14:ligatures w14:val="none"/>
              </w:rPr>
            </w:pPr>
          </w:p>
        </w:tc>
        <w:tc>
          <w:tcPr>
            <w:tcW w:w="1418" w:type="dxa"/>
            <w:vAlign w:val="center"/>
          </w:tcPr>
          <w:p>
            <w:pPr>
              <w:widowControl/>
              <w:jc w:val="center"/>
              <w:rPr>
                <w:rFonts w:hint="eastAsia" w:ascii="宋体" w:hAnsi="宋体" w:eastAsia="宋体" w:cs="宋体"/>
                <w:color w:val="000000"/>
                <w:kern w:val="0"/>
                <w:szCs w:val="21"/>
                <w14:ligatures w14:val="none"/>
              </w:rPr>
            </w:pPr>
          </w:p>
        </w:tc>
        <w:tc>
          <w:tcPr>
            <w:tcW w:w="1417" w:type="dxa"/>
            <w:vMerge w:val="continue"/>
            <w:vAlign w:val="center"/>
          </w:tcPr>
          <w:p>
            <w:pPr>
              <w:widowControl/>
              <w:jc w:val="center"/>
              <w:rPr>
                <w:rFonts w:hint="eastAsia" w:ascii="宋体" w:hAnsi="宋体" w:eastAsia="宋体" w:cs="宋体"/>
                <w:color w:val="000000"/>
                <w:kern w:val="0"/>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9" w:hRule="atLeast"/>
          <w:jc w:val="center"/>
        </w:trPr>
        <w:tc>
          <w:tcPr>
            <w:tcW w:w="8648" w:type="dxa"/>
            <w:gridSpan w:val="5"/>
            <w:noWrap/>
            <w:vAlign w:val="center"/>
          </w:tcPr>
          <w:p>
            <w:pPr>
              <w:widowControl/>
              <w:jc w:val="center"/>
              <w:rPr>
                <w:rFonts w:hint="eastAsia" w:ascii="宋体" w:hAnsi="宋体" w:eastAsia="宋体" w:cs="宋体"/>
                <w:b/>
                <w:bCs/>
                <w:color w:val="000000"/>
                <w:kern w:val="0"/>
                <w:szCs w:val="21"/>
                <w14:ligatures w14:val="none"/>
              </w:rPr>
            </w:pPr>
            <w:r>
              <w:rPr>
                <w:rFonts w:hint="eastAsia" w:ascii="宋体" w:hAnsi="宋体" w:eastAsia="宋体" w:cs="宋体"/>
                <w:b/>
                <w:bCs/>
                <w:color w:val="000000"/>
                <w:kern w:val="0"/>
                <w:szCs w:val="21"/>
                <w14:ligatures w14:val="none"/>
              </w:rPr>
              <w:t>投标总报价（元，含税）</w:t>
            </w:r>
          </w:p>
        </w:tc>
        <w:tc>
          <w:tcPr>
            <w:tcW w:w="1417" w:type="dxa"/>
            <w:vAlign w:val="center"/>
          </w:tcPr>
          <w:p>
            <w:pPr>
              <w:widowControl/>
              <w:jc w:val="center"/>
              <w:rPr>
                <w:rFonts w:hint="eastAsia" w:ascii="宋体" w:hAnsi="宋体" w:eastAsia="宋体" w:cs="宋体"/>
                <w:b/>
                <w:bCs/>
                <w:color w:val="000000"/>
                <w:kern w:val="0"/>
                <w:szCs w:val="21"/>
                <w14:ligatures w14:val="none"/>
              </w:rPr>
            </w:pPr>
          </w:p>
        </w:tc>
      </w:tr>
    </w:tbl>
    <w:p>
      <w:pPr>
        <w:rPr>
          <w:rFonts w:hint="eastAsia" w:ascii="宋体" w:hAnsi="宋体" w:eastAsia="宋体" w:cs="宋体"/>
          <w:color w:val="000000"/>
          <w:kern w:val="0"/>
          <w:szCs w:val="21"/>
          <w14:ligatures w14:val="none"/>
        </w:rPr>
      </w:pPr>
      <w:r>
        <w:rPr>
          <w:rStyle w:val="44"/>
          <w:rFonts w:hint="eastAsia" w:ascii="宋体" w:hAnsi="宋体" w:eastAsia="宋体" w:cstheme="majorBidi"/>
          <w:b w:val="0"/>
          <w:bCs w:val="0"/>
          <w:color w:val="000000" w:themeColor="text1"/>
          <w:spacing w:val="12"/>
          <w:sz w:val="22"/>
          <w14:textFill>
            <w14:solidFill>
              <w14:schemeClr w14:val="tx1"/>
            </w14:solidFill>
          </w14:textFill>
        </w:rPr>
        <w:t>注：1、投标人须根据本项目招标需求情况及自身实际情况对各项</w:t>
      </w:r>
      <w:r>
        <w:rPr>
          <w:rStyle w:val="44"/>
          <w:rFonts w:ascii="宋体" w:hAnsi="宋体" w:eastAsia="宋体" w:cstheme="majorBidi"/>
          <w:b w:val="0"/>
          <w:bCs w:val="0"/>
          <w:color w:val="000000" w:themeColor="text1"/>
          <w:spacing w:val="12"/>
          <w:sz w:val="22"/>
          <w14:textFill>
            <w14:solidFill>
              <w14:schemeClr w14:val="tx1"/>
            </w14:solidFill>
          </w14:textFill>
        </w:rPr>
        <w:t>项目需求</w:t>
      </w:r>
      <w:r>
        <w:rPr>
          <w:rStyle w:val="44"/>
          <w:rFonts w:hint="eastAsia" w:ascii="宋体" w:hAnsi="宋体" w:eastAsia="宋体" w:cstheme="majorBidi"/>
          <w:b w:val="0"/>
          <w:bCs w:val="0"/>
          <w:color w:val="000000" w:themeColor="text1"/>
          <w:spacing w:val="12"/>
          <w:sz w:val="22"/>
          <w14:textFill>
            <w14:solidFill>
              <w14:schemeClr w14:val="tx1"/>
            </w14:solidFill>
          </w14:textFill>
        </w:rPr>
        <w:t>进行</w:t>
      </w:r>
      <w:r>
        <w:rPr>
          <w:rStyle w:val="44"/>
          <w:rFonts w:ascii="宋体" w:hAnsi="宋体" w:eastAsia="宋体" w:cstheme="majorBidi"/>
          <w:b w:val="0"/>
          <w:bCs w:val="0"/>
          <w:color w:val="000000" w:themeColor="text1"/>
          <w:spacing w:val="12"/>
          <w:sz w:val="22"/>
          <w14:textFill>
            <w14:solidFill>
              <w14:schemeClr w14:val="tx1"/>
            </w14:solidFill>
          </w14:textFill>
        </w:rPr>
        <w:t>明细报价</w:t>
      </w:r>
      <w:r>
        <w:rPr>
          <w:rStyle w:val="44"/>
          <w:rFonts w:hint="eastAsia" w:ascii="宋体" w:hAnsi="宋体" w:eastAsia="宋体" w:cstheme="majorBidi"/>
          <w:b w:val="0"/>
          <w:bCs w:val="0"/>
          <w:color w:val="000000" w:themeColor="text1"/>
          <w:spacing w:val="12"/>
          <w:sz w:val="22"/>
          <w14:textFill>
            <w14:solidFill>
              <w14:schemeClr w14:val="tx1"/>
            </w14:solidFill>
          </w14:textFill>
        </w:rPr>
        <w:t>，其中各项</w:t>
      </w:r>
      <w:r>
        <w:rPr>
          <w:rFonts w:hint="eastAsia" w:ascii="宋体" w:hAnsi="宋体" w:eastAsia="宋体" w:cs="宋体"/>
          <w:color w:val="000000"/>
          <w:kern w:val="0"/>
          <w:szCs w:val="21"/>
          <w14:ligatures w14:val="none"/>
        </w:rPr>
        <w:t>单项报价不能高于对应的单项限价。</w:t>
      </w:r>
      <w:r>
        <w:rPr>
          <w:rFonts w:ascii="宋体" w:hAnsi="宋体" w:eastAsia="宋体" w:cs="宋体"/>
          <w:b/>
          <w:bCs/>
          <w:color w:val="000000"/>
          <w:kern w:val="0"/>
          <w:szCs w:val="21"/>
          <w14:ligatures w14:val="none"/>
        </w:rPr>
        <w:t>本详细报价表的</w:t>
      </w:r>
      <w:r>
        <w:rPr>
          <w:rFonts w:hint="eastAsia" w:ascii="宋体" w:hAnsi="宋体" w:eastAsia="宋体" w:cs="宋体"/>
          <w:b/>
          <w:bCs/>
          <w:color w:val="000000"/>
          <w:kern w:val="0"/>
          <w:szCs w:val="21"/>
          <w14:ligatures w14:val="none"/>
        </w:rPr>
        <w:t>投标总报价</w:t>
      </w:r>
      <w:r>
        <w:rPr>
          <w:rFonts w:ascii="宋体" w:hAnsi="宋体" w:eastAsia="宋体" w:cs="宋体"/>
          <w:b/>
          <w:bCs/>
          <w:color w:val="000000"/>
          <w:kern w:val="0"/>
          <w:szCs w:val="21"/>
          <w14:ligatures w14:val="none"/>
        </w:rPr>
        <w:t>必须与开标一览表投标总报价的总额一致</w:t>
      </w:r>
      <w:r>
        <w:rPr>
          <w:rFonts w:ascii="宋体" w:hAnsi="宋体" w:eastAsia="宋体" w:cs="宋体"/>
          <w:color w:val="000000"/>
          <w:kern w:val="0"/>
          <w:szCs w:val="21"/>
          <w14:ligatures w14:val="none"/>
        </w:rPr>
        <w:t>。</w:t>
      </w:r>
      <w:r>
        <w:rPr>
          <w:rFonts w:ascii="宋体" w:hAnsi="宋体" w:eastAsia="宋体" w:cs="宋体"/>
          <w:b/>
          <w:bCs/>
          <w:color w:val="000000"/>
          <w:kern w:val="0"/>
          <w:szCs w:val="21"/>
          <w14:ligatures w14:val="none"/>
        </w:rPr>
        <w:t>如投标报价超过限价，则其投标文件作无效投标处理。</w:t>
      </w:r>
    </w:p>
    <w:p>
      <w:pPr>
        <w:rPr>
          <w:rStyle w:val="44"/>
          <w:rFonts w:hint="eastAsia" w:ascii="宋体" w:hAnsi="宋体" w:eastAsia="宋体" w:cstheme="majorBidi"/>
          <w:b w:val="0"/>
          <w:bCs w:val="0"/>
          <w:color w:val="000000" w:themeColor="text1"/>
          <w:spacing w:val="12"/>
          <w:sz w:val="22"/>
          <w14:textFill>
            <w14:solidFill>
              <w14:schemeClr w14:val="tx1"/>
            </w14:solidFill>
          </w14:textFill>
        </w:rPr>
      </w:pPr>
      <w:r>
        <w:rPr>
          <w:rFonts w:hint="eastAsia" w:ascii="宋体" w:hAnsi="宋体" w:eastAsia="宋体" w:cs="宋体"/>
          <w:color w:val="000000"/>
          <w:kern w:val="0"/>
          <w:szCs w:val="21"/>
          <w14:ligatures w14:val="none"/>
        </w:rPr>
        <w:t>2、</w:t>
      </w:r>
      <w:r>
        <w:rPr>
          <w:rFonts w:ascii="宋体" w:hAnsi="宋体" w:eastAsia="宋体" w:cs="宋体"/>
          <w:color w:val="000000"/>
          <w:kern w:val="0"/>
          <w:szCs w:val="21"/>
          <w14:ligatures w14:val="none"/>
        </w:rPr>
        <w:t>本报价充分考虑包括价格上涨的各种风险，报价中应含税金及利润等相关的所有费用。</w:t>
      </w:r>
      <w:r>
        <w:rPr>
          <w:rFonts w:hint="eastAsia" w:ascii="宋体" w:hAnsi="宋体" w:eastAsia="宋体" w:cs="宋体"/>
          <w:color w:val="000000"/>
          <w:kern w:val="0"/>
          <w:szCs w:val="21"/>
          <w14:ligatures w14:val="none"/>
        </w:rPr>
        <w:t>投标报价保留2位小数。</w:t>
      </w:r>
    </w:p>
    <w:p>
      <w:pPr>
        <w:pStyle w:val="3"/>
        <w:keepNext w:val="0"/>
        <w:keepLines w:val="0"/>
        <w:pageBreakBefore/>
        <w:tabs>
          <w:tab w:val="left" w:pos="284"/>
        </w:tabs>
        <w:rPr>
          <w:rStyle w:val="44"/>
          <w:rFonts w:hint="eastAsia" w:ascii="宋体" w:hAnsi="宋体"/>
          <w:b w:val="0"/>
          <w:bCs w:val="0"/>
          <w:color w:val="000000" w:themeColor="text1"/>
          <w:spacing w:val="12"/>
          <w:sz w:val="22"/>
          <w:szCs w:val="22"/>
          <w14:textFill>
            <w14:solidFill>
              <w14:schemeClr w14:val="tx1"/>
            </w14:solidFill>
          </w14:textFill>
        </w:rPr>
      </w:pPr>
      <w:r>
        <w:rPr>
          <w:rStyle w:val="44"/>
          <w:rFonts w:hint="eastAsia" w:ascii="宋体" w:hAnsi="宋体"/>
          <w:b w:val="0"/>
          <w:bCs w:val="0"/>
          <w:color w:val="000000" w:themeColor="text1"/>
          <w:spacing w:val="12"/>
          <w:sz w:val="22"/>
          <w:szCs w:val="22"/>
          <w14:textFill>
            <w14:solidFill>
              <w14:schemeClr w14:val="tx1"/>
            </w14:solidFill>
          </w14:textFill>
        </w:rPr>
        <w:t>5.投标函</w:t>
      </w:r>
      <w:bookmarkEnd w:id="127"/>
      <w:bookmarkEnd w:id="128"/>
      <w:bookmarkEnd w:id="129"/>
      <w:bookmarkEnd w:id="130"/>
    </w:p>
    <w:p>
      <w:pPr>
        <w:spacing w:before="156" w:beforeLines="50" w:after="156" w:afterLines="50"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投标函</w:t>
      </w:r>
    </w:p>
    <w:p>
      <w:pPr>
        <w:spacing w:before="156" w:beforeLines="50" w:after="156" w:afterLines="50" w:line="360" w:lineRule="auto"/>
        <w:rPr>
          <w:rFonts w:hint="eastAsia" w:ascii="宋体" w:hAnsi="宋体" w:eastAsia="宋体"/>
          <w:b/>
          <w:color w:val="000000" w:themeColor="text1"/>
          <w:sz w:val="22"/>
          <w:szCs w:val="24"/>
          <w14:textFill>
            <w14:solidFill>
              <w14:schemeClr w14:val="tx1"/>
            </w14:solidFill>
          </w14:textFill>
        </w:rPr>
      </w:pPr>
      <w:r>
        <w:rPr>
          <w:rFonts w:hint="eastAsia" w:ascii="宋体" w:hAnsi="宋体" w:eastAsia="宋体"/>
          <w:b/>
          <w:color w:val="000000" w:themeColor="text1"/>
          <w:sz w:val="22"/>
          <w:szCs w:val="24"/>
          <w14:textFill>
            <w14:solidFill>
              <w14:schemeClr w14:val="tx1"/>
            </w14:solidFill>
          </w14:textFill>
        </w:rPr>
        <w:t>致：（招标人名称）</w:t>
      </w:r>
    </w:p>
    <w:p>
      <w:pPr>
        <w:autoSpaceDE w:val="0"/>
        <w:autoSpaceDN w:val="0"/>
        <w:adjustRightInd w:val="0"/>
        <w:spacing w:line="360" w:lineRule="auto"/>
        <w:ind w:right="26" w:firstLine="440" w:firstLineChars="200"/>
        <w:rPr>
          <w:rFonts w:hint="eastAsia" w:ascii="宋体" w:hAnsi="宋体" w:eastAsia="宋体"/>
          <w:color w:val="000000" w:themeColor="text1"/>
          <w:kern w:val="0"/>
          <w:sz w:val="22"/>
          <w14:textFill>
            <w14:solidFill>
              <w14:schemeClr w14:val="tx1"/>
            </w14:solidFill>
          </w14:textFill>
        </w:rPr>
      </w:pPr>
      <w:r>
        <w:rPr>
          <w:rFonts w:hint="eastAsia" w:ascii="宋体" w:hAnsi="宋体" w:eastAsia="宋体"/>
          <w:bCs/>
          <w:color w:val="000000" w:themeColor="text1"/>
          <w:kern w:val="0"/>
          <w:sz w:val="22"/>
          <w14:textFill>
            <w14:solidFill>
              <w14:schemeClr w14:val="tx1"/>
            </w14:solidFill>
          </w14:textFill>
        </w:rPr>
        <w:t>依据贵方</w:t>
      </w:r>
      <w:r>
        <w:rPr>
          <w:rFonts w:ascii="宋体" w:hAnsi="宋体" w:eastAsia="宋体"/>
          <w:bCs/>
          <w:color w:val="000000" w:themeColor="text1"/>
          <w:kern w:val="0"/>
          <w:sz w:val="22"/>
          <w:u w:val="single"/>
          <w14:textFill>
            <w14:solidFill>
              <w14:schemeClr w14:val="tx1"/>
            </w14:solidFill>
          </w14:textFill>
        </w:rPr>
        <w:t xml:space="preserve">    </w:t>
      </w:r>
      <w:r>
        <w:rPr>
          <w:rFonts w:hint="eastAsia" w:ascii="宋体" w:hAnsi="宋体" w:eastAsia="宋体"/>
          <w:b/>
          <w:bCs/>
          <w:color w:val="000000" w:themeColor="text1"/>
          <w:sz w:val="22"/>
          <w:u w:val="single"/>
          <w14:textFill>
            <w14:solidFill>
              <w14:schemeClr w14:val="tx1"/>
            </w14:solidFill>
          </w14:textFill>
        </w:rPr>
        <w:t>项目名称</w:t>
      </w:r>
      <w:r>
        <w:rPr>
          <w:rFonts w:ascii="宋体" w:hAnsi="宋体" w:eastAsia="宋体"/>
          <w:b/>
          <w:bCs/>
          <w:color w:val="000000" w:themeColor="text1"/>
          <w:sz w:val="22"/>
          <w:u w:val="single"/>
          <w14:textFill>
            <w14:solidFill>
              <w14:schemeClr w14:val="tx1"/>
            </w14:solidFill>
          </w14:textFill>
        </w:rPr>
        <w:t xml:space="preserve"> </w:t>
      </w:r>
      <w:r>
        <w:rPr>
          <w:rFonts w:ascii="宋体" w:hAnsi="宋体" w:eastAsia="宋体"/>
          <w:bCs/>
          <w:color w:val="000000" w:themeColor="text1"/>
          <w:sz w:val="22"/>
          <w:u w:val="single"/>
          <w14:textFill>
            <w14:solidFill>
              <w14:schemeClr w14:val="tx1"/>
            </w14:solidFill>
          </w14:textFill>
        </w:rPr>
        <w:t xml:space="preserve">    </w:t>
      </w:r>
      <w:r>
        <w:rPr>
          <w:rFonts w:hint="eastAsia" w:ascii="宋体" w:hAnsi="宋体" w:eastAsia="宋体"/>
          <w:bCs/>
          <w:color w:val="000000" w:themeColor="text1"/>
          <w:kern w:val="0"/>
          <w:sz w:val="22"/>
          <w14:textFill>
            <w14:solidFill>
              <w14:schemeClr w14:val="tx1"/>
            </w14:solidFill>
          </w14:textFill>
        </w:rPr>
        <w:t>项目</w:t>
      </w:r>
      <w:r>
        <w:rPr>
          <w:rFonts w:hint="eastAsia" w:ascii="宋体" w:hAnsi="宋体" w:eastAsia="宋体"/>
          <w:bCs/>
          <w:color w:val="000000" w:themeColor="text1"/>
          <w:sz w:val="22"/>
          <w:u w:val="single"/>
          <w14:textFill>
            <w14:solidFill>
              <w14:schemeClr w14:val="tx1"/>
            </w14:solidFill>
          </w14:textFill>
        </w:rPr>
        <w:t>（</w:t>
      </w:r>
      <w:r>
        <w:rPr>
          <w:rFonts w:hint="eastAsia" w:ascii="宋体" w:hAnsi="宋体" w:eastAsia="宋体"/>
          <w:b/>
          <w:bCs/>
          <w:color w:val="000000" w:themeColor="text1"/>
          <w:sz w:val="22"/>
          <w:u w:val="single"/>
          <w14:textFill>
            <w14:solidFill>
              <w14:schemeClr w14:val="tx1"/>
            </w14:solidFill>
          </w14:textFill>
        </w:rPr>
        <w:t>项目编号：</w:t>
      </w:r>
      <w:r>
        <w:rPr>
          <w:rFonts w:ascii="宋体" w:hAnsi="宋体" w:eastAsia="宋体"/>
          <w:bCs/>
          <w:color w:val="000000" w:themeColor="text1"/>
          <w:sz w:val="22"/>
          <w:u w:val="single"/>
          <w14:textFill>
            <w14:solidFill>
              <w14:schemeClr w14:val="tx1"/>
            </w14:solidFill>
          </w14:textFill>
        </w:rPr>
        <w:t xml:space="preserve">        )</w:t>
      </w:r>
      <w:r>
        <w:rPr>
          <w:rFonts w:hint="eastAsia" w:ascii="宋体" w:hAnsi="宋体" w:eastAsia="宋体"/>
          <w:bCs/>
          <w:color w:val="000000" w:themeColor="text1"/>
          <w:sz w:val="22"/>
          <w:u w:val="single"/>
          <w14:textFill>
            <w14:solidFill>
              <w14:schemeClr w14:val="tx1"/>
            </w14:solidFill>
          </w14:textFill>
        </w:rPr>
        <w:t>-   采购包   （包名称+包组号）</w:t>
      </w:r>
      <w:r>
        <w:rPr>
          <w:rFonts w:hint="eastAsia" w:ascii="宋体" w:hAnsi="宋体" w:eastAsia="宋体"/>
          <w:bCs/>
          <w:color w:val="000000" w:themeColor="text1"/>
          <w:kern w:val="0"/>
          <w:sz w:val="22"/>
          <w14:textFill>
            <w14:solidFill>
              <w14:schemeClr w14:val="tx1"/>
            </w14:solidFill>
          </w14:textFill>
        </w:rPr>
        <w:t>的投标邀请，我方代表</w:t>
      </w:r>
      <w:r>
        <w:rPr>
          <w:rFonts w:ascii="宋体" w:hAnsi="宋体" w:eastAsia="宋体"/>
          <w:bCs/>
          <w:color w:val="000000" w:themeColor="text1"/>
          <w:kern w:val="0"/>
          <w:sz w:val="22"/>
          <w:u w:val="single"/>
          <w14:textFill>
            <w14:solidFill>
              <w14:schemeClr w14:val="tx1"/>
            </w14:solidFill>
          </w14:textFill>
        </w:rPr>
        <w:t xml:space="preserve"> </w:t>
      </w:r>
      <w:r>
        <w:rPr>
          <w:rFonts w:hint="eastAsia" w:ascii="宋体" w:hAnsi="宋体" w:eastAsia="宋体"/>
          <w:b/>
          <w:bCs/>
          <w:color w:val="000000" w:themeColor="text1"/>
          <w:sz w:val="22"/>
          <w:u w:val="single"/>
          <w14:textFill>
            <w14:solidFill>
              <w14:schemeClr w14:val="tx1"/>
            </w14:solidFill>
          </w14:textFill>
        </w:rPr>
        <w:t>（姓名、职务）</w:t>
      </w:r>
      <w:r>
        <w:rPr>
          <w:rFonts w:ascii="宋体" w:hAnsi="宋体" w:eastAsia="宋体"/>
          <w:bCs/>
          <w:color w:val="000000" w:themeColor="text1"/>
          <w:sz w:val="22"/>
          <w:u w:val="single"/>
          <w14:textFill>
            <w14:solidFill>
              <w14:schemeClr w14:val="tx1"/>
            </w14:solidFill>
          </w14:textFill>
        </w:rPr>
        <w:t xml:space="preserve"> </w:t>
      </w:r>
      <w:r>
        <w:rPr>
          <w:rFonts w:hint="eastAsia" w:ascii="宋体" w:hAnsi="宋体" w:eastAsia="宋体"/>
          <w:bCs/>
          <w:color w:val="000000" w:themeColor="text1"/>
          <w:kern w:val="0"/>
          <w:sz w:val="22"/>
          <w14:textFill>
            <w14:solidFill>
              <w14:schemeClr w14:val="tx1"/>
            </w14:solidFill>
          </w14:textFill>
        </w:rPr>
        <w:t>经正式授权并代表</w:t>
      </w:r>
      <w:r>
        <w:rPr>
          <w:rFonts w:ascii="宋体" w:hAnsi="宋体" w:eastAsia="宋体"/>
          <w:bCs/>
          <w:color w:val="000000" w:themeColor="text1"/>
          <w:kern w:val="0"/>
          <w:sz w:val="22"/>
          <w:u w:val="single"/>
          <w14:textFill>
            <w14:solidFill>
              <w14:schemeClr w14:val="tx1"/>
            </w14:solidFill>
          </w14:textFill>
        </w:rPr>
        <w:t xml:space="preserve"> </w:t>
      </w:r>
      <w:r>
        <w:rPr>
          <w:rFonts w:hint="eastAsia" w:ascii="宋体" w:hAnsi="宋体" w:eastAsia="宋体"/>
          <w:b/>
          <w:bCs/>
          <w:color w:val="000000" w:themeColor="text1"/>
          <w:sz w:val="22"/>
          <w:u w:val="single"/>
          <w14:textFill>
            <w14:solidFill>
              <w14:schemeClr w14:val="tx1"/>
            </w14:solidFill>
          </w14:textFill>
        </w:rPr>
        <w:t>（投标人名称）</w:t>
      </w:r>
      <w:r>
        <w:rPr>
          <w:rFonts w:ascii="宋体" w:hAnsi="宋体" w:eastAsia="宋体"/>
          <w:bCs/>
          <w:color w:val="000000" w:themeColor="text1"/>
          <w:sz w:val="22"/>
          <w:u w:val="single"/>
          <w14:textFill>
            <w14:solidFill>
              <w14:schemeClr w14:val="tx1"/>
            </w14:solidFill>
          </w14:textFill>
        </w:rPr>
        <w:t xml:space="preserve"> </w:t>
      </w:r>
      <w:r>
        <w:rPr>
          <w:rFonts w:hint="eastAsia" w:ascii="宋体" w:hAnsi="宋体" w:eastAsia="宋体"/>
          <w:bCs/>
          <w:color w:val="000000" w:themeColor="text1"/>
          <w:sz w:val="22"/>
          <w14:textFill>
            <w14:solidFill>
              <w14:schemeClr w14:val="tx1"/>
            </w14:solidFill>
          </w14:textFill>
        </w:rPr>
        <w:t>提交唱标信封一份、</w:t>
      </w:r>
      <w:r>
        <w:rPr>
          <w:rFonts w:hint="eastAsia" w:ascii="宋体" w:hAnsi="宋体" w:eastAsia="宋体"/>
          <w:bCs/>
          <w:color w:val="000000" w:themeColor="text1"/>
          <w:kern w:val="0"/>
          <w:sz w:val="22"/>
          <w14:textFill>
            <w14:solidFill>
              <w14:schemeClr w14:val="tx1"/>
            </w14:solidFill>
          </w14:textFill>
        </w:rPr>
        <w:t>投标文件</w:t>
      </w:r>
      <w:r>
        <w:rPr>
          <w:rFonts w:ascii="宋体" w:hAnsi="宋体" w:eastAsia="宋体"/>
          <w:bCs/>
          <w:color w:val="000000" w:themeColor="text1"/>
          <w:kern w:val="0"/>
          <w:sz w:val="22"/>
          <w14:textFill>
            <w14:solidFill>
              <w14:schemeClr w14:val="tx1"/>
            </w14:solidFill>
          </w14:textFill>
        </w:rPr>
        <w:t>正本一份，副本</w:t>
      </w:r>
      <w:r>
        <w:rPr>
          <w:rFonts w:ascii="宋体" w:hAnsi="宋体" w:eastAsia="宋体"/>
          <w:bCs/>
          <w:color w:val="000000" w:themeColor="text1"/>
          <w:kern w:val="0"/>
          <w:sz w:val="22"/>
          <w:u w:val="single"/>
          <w14:textFill>
            <w14:solidFill>
              <w14:schemeClr w14:val="tx1"/>
            </w14:solidFill>
          </w14:textFill>
        </w:rPr>
        <w:t xml:space="preserve"> （</w:t>
      </w:r>
      <w:r>
        <w:rPr>
          <w:rFonts w:hint="eastAsia" w:ascii="宋体" w:hAnsi="宋体" w:eastAsia="宋体"/>
          <w:b/>
          <w:bCs/>
          <w:color w:val="000000" w:themeColor="text1"/>
          <w:kern w:val="0"/>
          <w:sz w:val="22"/>
          <w:u w:val="single"/>
          <w14:textFill>
            <w14:solidFill>
              <w14:schemeClr w14:val="tx1"/>
            </w14:solidFill>
          </w14:textFill>
        </w:rPr>
        <w:t>详见投标须知前附表</w:t>
      </w:r>
      <w:r>
        <w:rPr>
          <w:rFonts w:ascii="宋体" w:hAnsi="宋体" w:eastAsia="宋体"/>
          <w:b/>
          <w:bCs/>
          <w:color w:val="000000" w:themeColor="text1"/>
          <w:kern w:val="0"/>
          <w:sz w:val="22"/>
          <w:u w:val="single"/>
          <w14:textFill>
            <w14:solidFill>
              <w14:schemeClr w14:val="tx1"/>
            </w14:solidFill>
          </w14:textFill>
        </w:rPr>
        <w:t xml:space="preserve">） </w:t>
      </w:r>
      <w:r>
        <w:rPr>
          <w:rFonts w:ascii="宋体" w:hAnsi="宋体" w:eastAsia="宋体"/>
          <w:bCs/>
          <w:color w:val="000000" w:themeColor="text1"/>
          <w:kern w:val="0"/>
          <w:sz w:val="22"/>
          <w:u w:val="single"/>
          <w14:textFill>
            <w14:solidFill>
              <w14:schemeClr w14:val="tx1"/>
            </w14:solidFill>
          </w14:textFill>
        </w:rPr>
        <w:t xml:space="preserve"> </w:t>
      </w:r>
      <w:r>
        <w:rPr>
          <w:rFonts w:hint="eastAsia" w:ascii="宋体" w:hAnsi="宋体" w:eastAsia="宋体"/>
          <w:bCs/>
          <w:color w:val="000000" w:themeColor="text1"/>
          <w:kern w:val="0"/>
          <w:sz w:val="22"/>
          <w14:textFill>
            <w14:solidFill>
              <w14:schemeClr w14:val="tx1"/>
            </w14:solidFill>
          </w14:textFill>
        </w:rPr>
        <w:t>份。</w:t>
      </w:r>
    </w:p>
    <w:p>
      <w:pPr>
        <w:autoSpaceDE w:val="0"/>
        <w:autoSpaceDN w:val="0"/>
        <w:adjustRightInd w:val="0"/>
        <w:spacing w:line="360" w:lineRule="auto"/>
        <w:ind w:right="246"/>
        <w:rPr>
          <w:rFonts w:hint="eastAsia" w:ascii="宋体" w:hAnsi="宋体" w:eastAsia="宋体"/>
          <w:color w:val="000000" w:themeColor="text1"/>
          <w:kern w:val="0"/>
          <w:sz w:val="22"/>
          <w14:textFill>
            <w14:solidFill>
              <w14:schemeClr w14:val="tx1"/>
            </w14:solidFill>
          </w14:textFill>
        </w:rPr>
      </w:pPr>
      <w:r>
        <w:rPr>
          <w:rFonts w:hint="eastAsia" w:ascii="宋体" w:hAnsi="宋体" w:eastAsia="宋体"/>
          <w:color w:val="000000" w:themeColor="text1"/>
          <w:kern w:val="0"/>
          <w:sz w:val="22"/>
          <w14:textFill>
            <w14:solidFill>
              <w14:schemeClr w14:val="tx1"/>
            </w14:solidFill>
          </w14:textFill>
        </w:rPr>
        <w:t>在此，我方声明如下：</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pacing w:val="-6"/>
          <w:sz w:val="22"/>
          <w14:textFill>
            <w14:solidFill>
              <w14:schemeClr w14:val="tx1"/>
            </w14:solidFill>
          </w14:textFill>
        </w:rPr>
        <w:t>同意并接受招标文件的各项要求，遵守招标文件中的各项规定，按招标文件的要求提供报价</w:t>
      </w:r>
      <w:r>
        <w:rPr>
          <w:rFonts w:hint="eastAsia" w:ascii="宋体" w:hAnsi="宋体" w:eastAsia="宋体"/>
          <w:color w:val="000000" w:themeColor="text1"/>
          <w:sz w:val="22"/>
          <w14:textFill>
            <w14:solidFill>
              <w14:schemeClr w14:val="tx1"/>
            </w14:solidFill>
          </w14:textFill>
        </w:rPr>
        <w:t>。</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投标有效期为递交投标文件截止日起</w:t>
      </w:r>
      <w:r>
        <w:rPr>
          <w:rFonts w:hint="eastAsia" w:ascii="宋体" w:hAnsi="宋体" w:eastAsia="宋体"/>
          <w:color w:val="000000" w:themeColor="text1"/>
          <w:sz w:val="22"/>
          <w:u w:val="single"/>
          <w14:textFill>
            <w14:solidFill>
              <w14:schemeClr w14:val="tx1"/>
            </w14:solidFill>
          </w14:textFill>
        </w:rPr>
        <w:t xml:space="preserve"> </w:t>
      </w:r>
      <w:r>
        <w:rPr>
          <w:rFonts w:ascii="宋体" w:hAnsi="宋体" w:eastAsia="宋体"/>
          <w:color w:val="000000" w:themeColor="text1"/>
          <w:sz w:val="22"/>
          <w:u w:val="single"/>
          <w14:textFill>
            <w14:solidFill>
              <w14:schemeClr w14:val="tx1"/>
            </w14:solidFill>
          </w14:textFill>
        </w:rPr>
        <w:t>90</w:t>
      </w:r>
      <w:r>
        <w:rPr>
          <w:rFonts w:hint="eastAsia" w:ascii="宋体" w:hAnsi="宋体" w:eastAsia="宋体"/>
          <w:color w:val="000000" w:themeColor="text1"/>
          <w:sz w:val="22"/>
          <w:u w:val="single"/>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天，如中标，有效期将延至合同终止日为止。</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我方已经详细地阅读了全部招标文件及其附件，包括澄清及参考文件</w:t>
      </w:r>
      <w:r>
        <w:rPr>
          <w:rFonts w:ascii="宋体" w:hAnsi="宋体" w:eastAsia="宋体"/>
          <w:color w:val="000000" w:themeColor="text1"/>
          <w:sz w:val="22"/>
          <w14:textFill>
            <w14:solidFill>
              <w14:schemeClr w14:val="tx1"/>
            </w14:solidFill>
          </w14:textFill>
        </w:rPr>
        <w:t>(如有)。我方已完全清晰理解招标文件的要求，不存在任何含糊不清和误解之处，同意放弃对这些文件所提出的</w:t>
      </w:r>
      <w:r>
        <w:rPr>
          <w:rFonts w:hint="eastAsia" w:ascii="宋体" w:hAnsi="宋体" w:eastAsia="宋体"/>
          <w:color w:val="000000" w:themeColor="text1"/>
          <w:sz w:val="22"/>
          <w14:textFill>
            <w14:solidFill>
              <w14:schemeClr w14:val="tx1"/>
            </w14:solidFill>
          </w14:textFill>
        </w:rPr>
        <w:t>询问</w:t>
      </w:r>
      <w:r>
        <w:rPr>
          <w:rFonts w:ascii="宋体" w:hAnsi="宋体" w:eastAsia="宋体"/>
          <w:color w:val="000000" w:themeColor="text1"/>
          <w:sz w:val="22"/>
          <w14:textFill>
            <w14:solidFill>
              <w14:schemeClr w14:val="tx1"/>
            </w14:solidFill>
          </w14:textFill>
        </w:rPr>
        <w:t>和质疑的权利。</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我方已毫无保留地向贵方提供一切所需的证明材料。</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方承诺在本次投标不存在以下情况：单位负责人为同一人或者存在直接控股、管理关系的不同供应商，不得同时参加本采购项目投标。为本项目提供整体设计、规范编制或者项目管理、监理、检测等服务的供应商。</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我方承诺在本次投标文件中提供的一切文件，无论是原件还是复印件均为真实和准确的，绝无任何虚假、伪造和夸大的成份，否则，愿承担相应的后果和法律责任。</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我方完全服从和尊重评委会所作的评定结果，同时清楚理解到报价最低并非意味着必定获得中标资格。</w:t>
      </w:r>
    </w:p>
    <w:p>
      <w:pPr>
        <w:pStyle w:val="63"/>
        <w:numPr>
          <w:ilvl w:val="0"/>
          <w:numId w:val="34"/>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我方同意按招标文件规定向招标代理机构缴纳中标服务费。</w:t>
      </w:r>
    </w:p>
    <w:p>
      <w:pPr>
        <w:pStyle w:val="63"/>
        <w:numPr>
          <w:ilvl w:val="0"/>
          <w:numId w:val="34"/>
        </w:numPr>
        <w:tabs>
          <w:tab w:val="left" w:pos="567"/>
          <w:tab w:val="left" w:pos="709"/>
        </w:tabs>
        <w:spacing w:after="312" w:afterLines="100" w:line="360" w:lineRule="auto"/>
        <w:contextualSpacing w:val="0"/>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所有与本招标有关的函件请发往下列地址：</w:t>
      </w:r>
    </w:p>
    <w:tbl>
      <w:tblPr>
        <w:tblStyle w:val="4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3"/>
        <w:gridCol w:w="4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tcPr>
          <w:p>
            <w:pPr>
              <w:spacing w:before="156" w:beforeLines="50"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投标人地址：</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500" w:type="pct"/>
          </w:tcPr>
          <w:p>
            <w:pPr>
              <w:spacing w:before="156" w:beforeLines="50"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邮编：</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联系电话：</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50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传真：</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项目联系人：</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50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手机：</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pPr>
              <w:spacing w:line="360" w:lineRule="auto"/>
              <w:jc w:val="left"/>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投标人法定代表人或被授权人（签名或签章）：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pPr>
              <w:spacing w:line="360" w:lineRule="auto"/>
              <w:jc w:val="left"/>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u w:val="single"/>
                <w14:textFill>
                  <w14:solidFill>
                    <w14:schemeClr w14:val="tx1"/>
                  </w14:solidFill>
                </w14:textFill>
              </w:rPr>
              <w:t>年</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u w:val="single"/>
                <w14:textFill>
                  <w14:solidFill>
                    <w14:schemeClr w14:val="tx1"/>
                  </w14:solidFill>
                </w14:textFill>
              </w:rPr>
              <w:t>月</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u w:val="single"/>
                <w14:textFill>
                  <w14:solidFill>
                    <w14:schemeClr w14:val="tx1"/>
                  </w14:solidFill>
                </w14:textFill>
              </w:rPr>
              <w:t>日</w:t>
            </w:r>
          </w:p>
        </w:tc>
      </w:tr>
    </w:tbl>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31" w:name="_Toc7447"/>
      <w:bookmarkStart w:id="132" w:name="_Toc5005"/>
      <w:bookmarkStart w:id="133" w:name="_Toc391627758"/>
      <w:bookmarkStart w:id="134" w:name="_Toc405313962"/>
      <w:r>
        <w:rPr>
          <w:rFonts w:hint="eastAsia" w:ascii="宋体" w:hAnsi="宋体"/>
          <w:color w:val="000000" w:themeColor="text1"/>
          <w:spacing w:val="12"/>
          <w:sz w:val="22"/>
          <w:szCs w:val="22"/>
          <w14:textFill>
            <w14:solidFill>
              <w14:schemeClr w14:val="tx1"/>
            </w14:solidFill>
          </w14:textFill>
        </w:rPr>
        <w:t>6.</w:t>
      </w:r>
      <w:r>
        <w:rPr>
          <w:rStyle w:val="44"/>
          <w:rFonts w:hint="eastAsia" w:ascii="宋体" w:hAnsi="宋体"/>
          <w:b w:val="0"/>
          <w:bCs w:val="0"/>
          <w:color w:val="000000" w:themeColor="text1"/>
          <w:spacing w:val="12"/>
          <w:sz w:val="22"/>
          <w:szCs w:val="22"/>
          <w14:textFill>
            <w14:solidFill>
              <w14:schemeClr w14:val="tx1"/>
            </w14:solidFill>
          </w14:textFill>
        </w:rPr>
        <w:t>资格声明函</w:t>
      </w:r>
      <w:bookmarkEnd w:id="131"/>
      <w:bookmarkEnd w:id="132"/>
    </w:p>
    <w:p>
      <w:pPr>
        <w:jc w:val="center"/>
        <w:rPr>
          <w:rStyle w:val="44"/>
          <w:rFonts w:hint="eastAsia" w:ascii="宋体" w:hAnsi="宋体" w:eastAsia="宋体"/>
          <w:color w:val="000000" w:themeColor="text1"/>
          <w:spacing w:val="12"/>
          <w:sz w:val="32"/>
          <w:szCs w:val="32"/>
          <w14:textFill>
            <w14:solidFill>
              <w14:schemeClr w14:val="tx1"/>
            </w14:solidFill>
          </w14:textFill>
        </w:rPr>
      </w:pPr>
      <w:r>
        <w:rPr>
          <w:rStyle w:val="44"/>
          <w:rFonts w:hint="eastAsia" w:ascii="宋体" w:hAnsi="宋体" w:eastAsia="宋体"/>
          <w:color w:val="000000" w:themeColor="text1"/>
          <w:spacing w:val="12"/>
          <w:sz w:val="32"/>
          <w:szCs w:val="32"/>
          <w14:textFill>
            <w14:solidFill>
              <w14:schemeClr w14:val="tx1"/>
            </w14:solidFill>
          </w14:textFill>
        </w:rPr>
        <w:t>资格声明函</w:t>
      </w:r>
    </w:p>
    <w:p>
      <w:pPr>
        <w:spacing w:before="156" w:beforeLines="50" w:after="156" w:afterLines="50" w:line="360" w:lineRule="auto"/>
        <w:rPr>
          <w:rFonts w:hint="eastAsia" w:ascii="宋体" w:hAnsi="宋体" w:eastAsia="宋体"/>
          <w:b/>
          <w:color w:val="000000" w:themeColor="text1"/>
          <w:sz w:val="22"/>
          <w:szCs w:val="24"/>
          <w14:textFill>
            <w14:solidFill>
              <w14:schemeClr w14:val="tx1"/>
            </w14:solidFill>
          </w14:textFill>
        </w:rPr>
      </w:pPr>
      <w:r>
        <w:rPr>
          <w:rFonts w:hint="eastAsia" w:ascii="宋体" w:hAnsi="宋体" w:eastAsia="宋体"/>
          <w:b/>
          <w:color w:val="000000" w:themeColor="text1"/>
          <w:sz w:val="22"/>
          <w:szCs w:val="24"/>
          <w14:textFill>
            <w14:solidFill>
              <w14:schemeClr w14:val="tx1"/>
            </w14:solidFill>
          </w14:textFill>
        </w:rPr>
        <w:t>致：（招标人名称）</w:t>
      </w:r>
    </w:p>
    <w:p>
      <w:pPr>
        <w:autoSpaceDE w:val="0"/>
        <w:autoSpaceDN w:val="0"/>
        <w:adjustRightInd w:val="0"/>
        <w:spacing w:line="360" w:lineRule="auto"/>
        <w:ind w:right="26" w:firstLine="440" w:firstLineChars="200"/>
        <w:rPr>
          <w:rFonts w:hint="eastAsia" w:ascii="宋体" w:hAnsi="宋体" w:eastAsia="宋体"/>
          <w:color w:val="000000" w:themeColor="text1"/>
          <w:kern w:val="0"/>
          <w:sz w:val="22"/>
          <w14:textFill>
            <w14:solidFill>
              <w14:schemeClr w14:val="tx1"/>
            </w14:solidFill>
          </w14:textFill>
        </w:rPr>
      </w:pPr>
      <w:r>
        <w:rPr>
          <w:rFonts w:hint="eastAsia" w:ascii="宋体" w:hAnsi="宋体" w:eastAsia="宋体"/>
          <w:bCs/>
          <w:color w:val="000000" w:themeColor="text1"/>
          <w:kern w:val="0"/>
          <w:sz w:val="22"/>
          <w14:textFill>
            <w14:solidFill>
              <w14:schemeClr w14:val="tx1"/>
            </w14:solidFill>
          </w14:textFill>
        </w:rPr>
        <w:t>我方参与贵方</w:t>
      </w:r>
      <w:r>
        <w:rPr>
          <w:rFonts w:ascii="宋体" w:hAnsi="宋体" w:eastAsia="宋体"/>
          <w:bCs/>
          <w:color w:val="000000" w:themeColor="text1"/>
          <w:kern w:val="0"/>
          <w:sz w:val="22"/>
          <w:u w:val="single"/>
          <w14:textFill>
            <w14:solidFill>
              <w14:schemeClr w14:val="tx1"/>
            </w14:solidFill>
          </w14:textFill>
        </w:rPr>
        <w:t xml:space="preserve"> </w:t>
      </w:r>
      <w:r>
        <w:rPr>
          <w:rFonts w:hint="eastAsia" w:ascii="宋体" w:hAnsi="宋体" w:eastAsia="宋体"/>
          <w:bCs/>
          <w:color w:val="000000" w:themeColor="text1"/>
          <w:kern w:val="0"/>
          <w:sz w:val="22"/>
          <w:u w:val="single"/>
          <w14:textFill>
            <w14:solidFill>
              <w14:schemeClr w14:val="tx1"/>
            </w14:solidFill>
          </w14:textFill>
        </w:rPr>
        <w:t>组织的</w:t>
      </w:r>
      <w:r>
        <w:rPr>
          <w:rFonts w:ascii="宋体" w:hAnsi="宋体" w:eastAsia="宋体"/>
          <w:bCs/>
          <w:color w:val="000000" w:themeColor="text1"/>
          <w:kern w:val="0"/>
          <w:sz w:val="22"/>
          <w:u w:val="single"/>
          <w14:textFill>
            <w14:solidFill>
              <w14:schemeClr w14:val="tx1"/>
            </w14:solidFill>
          </w14:textFill>
        </w:rPr>
        <w:t xml:space="preserve">   </w:t>
      </w:r>
      <w:r>
        <w:rPr>
          <w:rFonts w:hint="eastAsia" w:ascii="宋体" w:hAnsi="宋体" w:eastAsia="宋体"/>
          <w:b/>
          <w:bCs/>
          <w:color w:val="000000" w:themeColor="text1"/>
          <w:sz w:val="22"/>
          <w:u w:val="single"/>
          <w14:textFill>
            <w14:solidFill>
              <w14:schemeClr w14:val="tx1"/>
            </w14:solidFill>
          </w14:textFill>
        </w:rPr>
        <w:t>项目名称</w:t>
      </w:r>
      <w:r>
        <w:rPr>
          <w:rFonts w:ascii="宋体" w:hAnsi="宋体" w:eastAsia="宋体"/>
          <w:b/>
          <w:bCs/>
          <w:color w:val="000000" w:themeColor="text1"/>
          <w:sz w:val="22"/>
          <w:u w:val="single"/>
          <w14:textFill>
            <w14:solidFill>
              <w14:schemeClr w14:val="tx1"/>
            </w14:solidFill>
          </w14:textFill>
        </w:rPr>
        <w:t xml:space="preserve"> </w:t>
      </w:r>
      <w:r>
        <w:rPr>
          <w:rFonts w:ascii="宋体" w:hAnsi="宋体" w:eastAsia="宋体"/>
          <w:bCs/>
          <w:color w:val="000000" w:themeColor="text1"/>
          <w:sz w:val="22"/>
          <w:u w:val="single"/>
          <w14:textFill>
            <w14:solidFill>
              <w14:schemeClr w14:val="tx1"/>
            </w14:solidFill>
          </w14:textFill>
        </w:rPr>
        <w:t xml:space="preserve">    </w:t>
      </w:r>
      <w:r>
        <w:rPr>
          <w:rFonts w:hint="eastAsia" w:ascii="宋体" w:hAnsi="宋体" w:eastAsia="宋体"/>
          <w:bCs/>
          <w:color w:val="000000" w:themeColor="text1"/>
          <w:kern w:val="0"/>
          <w:sz w:val="22"/>
          <w14:textFill>
            <w14:solidFill>
              <w14:schemeClr w14:val="tx1"/>
            </w14:solidFill>
          </w14:textFill>
        </w:rPr>
        <w:t>项目</w:t>
      </w:r>
      <w:r>
        <w:rPr>
          <w:rFonts w:hint="eastAsia" w:ascii="宋体" w:hAnsi="宋体" w:eastAsia="宋体"/>
          <w:bCs/>
          <w:color w:val="000000" w:themeColor="text1"/>
          <w:sz w:val="22"/>
          <w:u w:val="single"/>
          <w14:textFill>
            <w14:solidFill>
              <w14:schemeClr w14:val="tx1"/>
            </w14:solidFill>
          </w14:textFill>
        </w:rPr>
        <w:t>（</w:t>
      </w:r>
      <w:r>
        <w:rPr>
          <w:rFonts w:hint="eastAsia" w:ascii="宋体" w:hAnsi="宋体" w:eastAsia="宋体"/>
          <w:b/>
          <w:bCs/>
          <w:color w:val="000000" w:themeColor="text1"/>
          <w:sz w:val="22"/>
          <w:u w:val="single"/>
          <w14:textFill>
            <w14:solidFill>
              <w14:schemeClr w14:val="tx1"/>
            </w14:solidFill>
          </w14:textFill>
        </w:rPr>
        <w:t>项目编号：</w:t>
      </w:r>
      <w:r>
        <w:rPr>
          <w:rFonts w:ascii="宋体" w:hAnsi="宋体" w:eastAsia="宋体"/>
          <w:bCs/>
          <w:color w:val="000000" w:themeColor="text1"/>
          <w:sz w:val="22"/>
          <w:u w:val="single"/>
          <w14:textFill>
            <w14:solidFill>
              <w14:schemeClr w14:val="tx1"/>
            </w14:solidFill>
          </w14:textFill>
        </w:rPr>
        <w:t xml:space="preserve">        )</w:t>
      </w:r>
      <w:r>
        <w:rPr>
          <w:rFonts w:hint="eastAsia" w:ascii="宋体" w:hAnsi="宋体" w:eastAsia="宋体"/>
          <w:bCs/>
          <w:color w:val="000000" w:themeColor="text1"/>
          <w:sz w:val="22"/>
          <w14:textFill>
            <w14:solidFill>
              <w14:schemeClr w14:val="tx1"/>
            </w14:solidFill>
          </w14:textFill>
        </w:rPr>
        <w:t>的采购活动，</w:t>
      </w:r>
      <w:r>
        <w:rPr>
          <w:rFonts w:hint="eastAsia" w:ascii="宋体" w:hAnsi="宋体" w:eastAsia="宋体"/>
          <w:color w:val="000000" w:themeColor="text1"/>
          <w:kern w:val="0"/>
          <w:sz w:val="22"/>
          <w14:textFill>
            <w14:solidFill>
              <w14:schemeClr w14:val="tx1"/>
            </w14:solidFill>
          </w14:textFill>
        </w:rPr>
        <w:t>在此，我方声明如下：</w:t>
      </w:r>
    </w:p>
    <w:p>
      <w:pPr>
        <w:spacing w:line="360" w:lineRule="auto"/>
        <w:ind w:firstLine="440" w:firstLineChars="20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我方为本次投标所提交的所有证明其合格和资格的文件是真实的和正确的，并愿为其真实性和正确性承担法律责任；</w:t>
      </w:r>
    </w:p>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1）我方具有独立承担民事责任的能力；</w:t>
      </w:r>
    </w:p>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2）我方有依法缴纳税收和社会保障资金的良好记录；</w:t>
      </w:r>
    </w:p>
    <w:p>
      <w:pPr>
        <w:spacing w:line="360" w:lineRule="auto"/>
        <w:rPr>
          <w:rFonts w:hint="eastAsia" w:ascii="宋体" w:hAnsi="宋体" w:eastAsia="宋体"/>
          <w:color w:val="FF0000"/>
          <w:sz w:val="22"/>
        </w:rPr>
      </w:pPr>
      <w:r>
        <w:rPr>
          <w:rFonts w:hint="eastAsia" w:ascii="宋体" w:hAnsi="宋体" w:eastAsia="宋体"/>
          <w:color w:val="000000" w:themeColor="text1"/>
          <w:sz w:val="22"/>
          <w14:textFill>
            <w14:solidFill>
              <w14:schemeClr w14:val="tx1"/>
            </w14:solidFill>
          </w14:textFill>
        </w:rPr>
        <w:t>3）我方具有良好的商业信誉和健全的财务会计制度；</w:t>
      </w:r>
    </w:p>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4）我方具有履行合同所必需的设备和专业技术能力；</w:t>
      </w:r>
    </w:p>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5）我方能出具正规增值税专用发票；</w:t>
      </w:r>
    </w:p>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6）我方承诺，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40"/>
        <w:ind w:firstLine="0" w:firstLineChars="0"/>
        <w:rPr>
          <w:rFonts w:hint="eastAsia" w:ascii="宋体" w:hAnsi="宋体" w:eastAsia="宋体" w:cstheme="minorBidi"/>
          <w:color w:val="000000" w:themeColor="text1"/>
          <w:kern w:val="2"/>
          <w:sz w:val="22"/>
          <w:szCs w:val="22"/>
          <w14:textFill>
            <w14:solidFill>
              <w14:schemeClr w14:val="tx1"/>
            </w14:solidFill>
          </w14:textFill>
        </w:rPr>
      </w:pPr>
      <w:r>
        <w:rPr>
          <w:rFonts w:hint="eastAsia" w:ascii="宋体" w:hAnsi="宋体" w:eastAsia="宋体" w:cstheme="minorBidi"/>
          <w:color w:val="000000" w:themeColor="text1"/>
          <w:kern w:val="2"/>
          <w:sz w:val="22"/>
          <w:szCs w:val="22"/>
          <w14:textFill>
            <w14:solidFill>
              <w14:schemeClr w14:val="tx1"/>
            </w14:solidFill>
          </w14:textFill>
        </w:rPr>
        <w:t>7） 我方非联合体参与本项目投标，不对本项目进行转包、分包。</w:t>
      </w:r>
    </w:p>
    <w:p>
      <w:pPr>
        <w:pStyle w:val="40"/>
        <w:ind w:firstLine="0" w:firstLineChars="0"/>
        <w:rPr>
          <w:rFonts w:hint="eastAsia" w:ascii="宋体" w:hAnsi="宋体" w:eastAsia="宋体" w:cstheme="minorBidi"/>
          <w:color w:val="000000" w:themeColor="text1"/>
          <w:kern w:val="2"/>
          <w:sz w:val="22"/>
          <w:szCs w:val="22"/>
          <w14:textFill>
            <w14:solidFill>
              <w14:schemeClr w14:val="tx1"/>
            </w14:solidFill>
          </w14:textFill>
        </w:rPr>
      </w:pPr>
      <w:r>
        <w:rPr>
          <w:rFonts w:hint="eastAsia" w:ascii="宋体" w:hAnsi="宋体" w:eastAsia="宋体" w:cstheme="minorBidi"/>
          <w:color w:val="000000" w:themeColor="text1"/>
          <w:kern w:val="2"/>
          <w:sz w:val="22"/>
          <w:szCs w:val="22"/>
          <w14:textFill>
            <w14:solidFill>
              <w14:schemeClr w14:val="tx1"/>
            </w14:solidFill>
          </w14:textFill>
        </w:rPr>
        <w:t xml:space="preserve">8） </w:t>
      </w:r>
      <w:r>
        <w:rPr>
          <w:rFonts w:hint="eastAsia" w:ascii="宋体" w:hAnsi="宋体" w:eastAsia="宋体" w:cstheme="minorBidi"/>
          <w:color w:val="000000" w:themeColor="text1"/>
          <w:kern w:val="2"/>
          <w:sz w:val="22"/>
          <w:szCs w:val="22"/>
          <w:u w:val="single"/>
          <w14:textFill>
            <w14:solidFill>
              <w14:schemeClr w14:val="tx1"/>
            </w14:solidFill>
          </w14:textFill>
        </w:rPr>
        <w:t xml:space="preserve">       </w:t>
      </w:r>
      <w:r>
        <w:rPr>
          <w:rFonts w:hint="eastAsia" w:ascii="宋体" w:hAnsi="宋体" w:eastAsia="宋体" w:cstheme="minorBidi"/>
          <w:color w:val="000000" w:themeColor="text1"/>
          <w:kern w:val="2"/>
          <w:sz w:val="22"/>
          <w:szCs w:val="22"/>
          <w14:textFill>
            <w14:solidFill>
              <w14:schemeClr w14:val="tx1"/>
            </w14:solidFill>
          </w14:textFill>
        </w:rPr>
        <w:t xml:space="preserve">（其他供应商觉得需要补充的说明）                       </w:t>
      </w:r>
    </w:p>
    <w:p>
      <w:pPr>
        <w:pStyle w:val="40"/>
        <w:ind w:firstLine="440"/>
        <w:rPr>
          <w:rFonts w:hint="eastAsia" w:ascii="宋体" w:hAnsi="宋体" w:eastAsia="宋体" w:cstheme="minorBidi"/>
          <w:color w:val="000000" w:themeColor="text1"/>
          <w:kern w:val="2"/>
          <w:sz w:val="22"/>
          <w:szCs w:val="22"/>
          <w14:textFill>
            <w14:solidFill>
              <w14:schemeClr w14:val="tx1"/>
            </w14:solidFill>
          </w14:textFill>
        </w:rPr>
      </w:pPr>
    </w:p>
    <w:p>
      <w:pPr>
        <w:pStyle w:val="40"/>
        <w:ind w:firstLine="440"/>
        <w:rPr>
          <w:rFonts w:hint="eastAsia" w:ascii="宋体" w:hAnsi="宋体" w:eastAsia="宋体" w:cstheme="minorBidi"/>
          <w:color w:val="000000" w:themeColor="text1"/>
          <w:kern w:val="2"/>
          <w:sz w:val="22"/>
          <w:szCs w:val="22"/>
          <w14:textFill>
            <w14:solidFill>
              <w14:schemeClr w14:val="tx1"/>
            </w14:solidFill>
          </w14:textFill>
        </w:rPr>
      </w:pPr>
      <w:r>
        <w:rPr>
          <w:rFonts w:hint="eastAsia" w:ascii="宋体" w:hAnsi="宋体" w:eastAsia="宋体" w:cstheme="minorBidi"/>
          <w:color w:val="000000" w:themeColor="text1"/>
          <w:kern w:val="2"/>
          <w:sz w:val="22"/>
          <w:szCs w:val="22"/>
          <w14:textFill>
            <w14:solidFill>
              <w14:schemeClr w14:val="tx1"/>
            </w14:solidFill>
          </w14:textFill>
        </w:rPr>
        <w:t>特此声明！</w:t>
      </w:r>
    </w:p>
    <w:p>
      <w:pPr>
        <w:pStyle w:val="40"/>
        <w:ind w:firstLine="640"/>
        <w:rPr>
          <w:rFonts w:hint="eastAsia" w:ascii="宋体" w:hAnsi="宋体" w:eastAsia="宋体"/>
        </w:rPr>
      </w:pP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58"/>
        <w:gridCol w:w="2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58" w:type="dxa"/>
          </w:tcPr>
          <w:p>
            <w:pPr>
              <w:overflowPunct w:val="0"/>
              <w:adjustRightInd w:val="0"/>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c>
          <w:tcPr>
            <w:tcW w:w="2470"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58"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2470"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rPr>
          <w:rFonts w:hint="eastAsia" w:ascii="宋体" w:hAnsi="宋体" w:eastAsia="宋体" w:cstheme="majorBidi"/>
          <w:color w:val="000000" w:themeColor="text1"/>
          <w:spacing w:val="12"/>
          <w:sz w:val="22"/>
          <w14:textFill>
            <w14:solidFill>
              <w14:schemeClr w14:val="tx1"/>
            </w14:solidFill>
          </w14:textFill>
        </w:rPr>
      </w:pPr>
      <w:bookmarkStart w:id="135" w:name="_Toc31752"/>
      <w:bookmarkStart w:id="136" w:name="_Toc1055"/>
      <w:r>
        <w:rPr>
          <w:rFonts w:hint="eastAsia" w:ascii="宋体" w:hAnsi="宋体" w:eastAsia="宋体" w:cstheme="majorBidi"/>
          <w:color w:val="000000" w:themeColor="text1"/>
          <w:spacing w:val="12"/>
          <w:sz w:val="22"/>
          <w14:textFill>
            <w14:solidFill>
              <w14:schemeClr w14:val="tx1"/>
            </w14:solidFill>
          </w14:textFill>
        </w:rPr>
        <w:br w:type="page"/>
      </w:r>
    </w:p>
    <w:p>
      <w:pPr>
        <w:pStyle w:val="3"/>
        <w:keepNext w:val="0"/>
        <w:keepLines w:val="0"/>
        <w:pageBreakBefore/>
        <w:tabs>
          <w:tab w:val="left" w:pos="284"/>
        </w:tabs>
        <w:ind w:left="420" w:hanging="420"/>
        <w:rPr>
          <w:rStyle w:val="44"/>
          <w:rFonts w:hint="eastAsia" w:ascii="宋体" w:hAnsi="宋体" w:cs="Times New Roman"/>
          <w:b w:val="0"/>
          <w:bCs w:val="0"/>
          <w:color w:val="000000" w:themeColor="text1"/>
          <w:spacing w:val="12"/>
          <w:sz w:val="22"/>
          <w:szCs w:val="22"/>
          <w14:textFill>
            <w14:solidFill>
              <w14:schemeClr w14:val="tx1"/>
            </w14:solidFill>
          </w14:textFill>
        </w:rPr>
      </w:pPr>
      <w:r>
        <w:rPr>
          <w:rStyle w:val="44"/>
          <w:rFonts w:hint="eastAsia" w:ascii="宋体" w:hAnsi="宋体" w:cs="Times New Roman"/>
          <w:b w:val="0"/>
          <w:bCs w:val="0"/>
          <w:color w:val="000000" w:themeColor="text1"/>
          <w:spacing w:val="12"/>
          <w:sz w:val="22"/>
          <w:szCs w:val="22"/>
          <w14:textFill>
            <w14:solidFill>
              <w14:schemeClr w14:val="tx1"/>
            </w14:solidFill>
          </w14:textFill>
        </w:rPr>
        <w:t>7.</w:t>
      </w:r>
      <w:bookmarkStart w:id="137" w:name="_Toc14134_WPSOffice_Level3"/>
      <w:r>
        <w:rPr>
          <w:rStyle w:val="44"/>
          <w:rFonts w:hint="eastAsia" w:ascii="宋体" w:hAnsi="宋体" w:cs="Times New Roman"/>
          <w:b w:val="0"/>
          <w:bCs w:val="0"/>
          <w:color w:val="000000" w:themeColor="text1"/>
          <w:spacing w:val="12"/>
          <w:sz w:val="22"/>
          <w:szCs w:val="22"/>
          <w14:textFill>
            <w14:solidFill>
              <w14:schemeClr w14:val="tx1"/>
            </w14:solidFill>
          </w14:textFill>
        </w:rPr>
        <w:t>投标人控股及管理关系情况申报表</w:t>
      </w:r>
      <w:bookmarkEnd w:id="137"/>
    </w:p>
    <w:p>
      <w:pPr>
        <w:jc w:val="center"/>
        <w:rPr>
          <w:rStyle w:val="44"/>
          <w:rFonts w:hint="eastAsia" w:ascii="宋体" w:hAnsi="宋体" w:eastAsia="宋体" w:cs="Times New Roman"/>
          <w:color w:val="000000" w:themeColor="text1"/>
          <w:spacing w:val="12"/>
          <w:sz w:val="32"/>
          <w:szCs w:val="32"/>
          <w14:textFill>
            <w14:solidFill>
              <w14:schemeClr w14:val="tx1"/>
            </w14:solidFill>
          </w14:textFill>
        </w:rPr>
      </w:pPr>
      <w:r>
        <w:rPr>
          <w:rStyle w:val="44"/>
          <w:rFonts w:hint="eastAsia" w:ascii="宋体" w:hAnsi="宋体" w:eastAsia="宋体" w:cs="Times New Roman"/>
          <w:color w:val="000000" w:themeColor="text1"/>
          <w:spacing w:val="12"/>
          <w:sz w:val="32"/>
          <w:szCs w:val="32"/>
          <w14:textFill>
            <w14:solidFill>
              <w14:schemeClr w14:val="tx1"/>
            </w14:solidFill>
          </w14:textFill>
        </w:rPr>
        <w:t>投标人控股及管理关系情况申报表</w:t>
      </w:r>
    </w:p>
    <w:p>
      <w:pPr>
        <w:spacing w:before="156" w:beforeLines="50" w:after="156" w:afterLines="50" w:line="360" w:lineRule="auto"/>
        <w:rPr>
          <w:rFonts w:hint="eastAsia" w:ascii="宋体" w:hAnsi="宋体" w:eastAsia="宋体"/>
          <w:b/>
          <w:color w:val="000000" w:themeColor="text1"/>
          <w:sz w:val="22"/>
          <w:szCs w:val="24"/>
          <w14:textFill>
            <w14:solidFill>
              <w14:schemeClr w14:val="tx1"/>
            </w14:solidFill>
          </w14:textFill>
        </w:rPr>
      </w:pPr>
      <w:r>
        <w:rPr>
          <w:rFonts w:hint="eastAsia" w:ascii="宋体" w:hAnsi="宋体" w:eastAsia="宋体"/>
          <w:b/>
          <w:color w:val="000000" w:themeColor="text1"/>
          <w:sz w:val="22"/>
          <w:szCs w:val="24"/>
          <w14:textFill>
            <w14:solidFill>
              <w14:schemeClr w14:val="tx1"/>
            </w14:solidFill>
          </w14:textFill>
        </w:rPr>
        <w:t>致：（招标人名称）</w:t>
      </w:r>
    </w:p>
    <w:p>
      <w:pPr>
        <w:pStyle w:val="138"/>
        <w:ind w:firstLine="209" w:firstLineChars="95"/>
        <w:rPr>
          <w:rFonts w:hint="eastAsia" w:ascii="宋体" w:hAnsi="宋体" w:cs="宋体"/>
          <w:sz w:val="22"/>
          <w:szCs w:val="22"/>
        </w:rPr>
      </w:pPr>
      <w:r>
        <w:rPr>
          <w:rFonts w:hint="eastAsia" w:ascii="宋体" w:hAnsi="宋体" w:cs="宋体"/>
          <w:sz w:val="22"/>
          <w:szCs w:val="22"/>
        </w:rPr>
        <w:t>我方参加</w:t>
      </w:r>
      <w:r>
        <w:rPr>
          <w:rFonts w:hint="eastAsia" w:ascii="宋体" w:hAnsi="宋体" w:cs="宋体"/>
          <w:sz w:val="22"/>
          <w:szCs w:val="22"/>
          <w:u w:val="single"/>
        </w:rPr>
        <w:t xml:space="preserve"> 项目名称 </w:t>
      </w:r>
      <w:r>
        <w:rPr>
          <w:rFonts w:hint="eastAsia" w:ascii="宋体" w:hAnsi="宋体" w:cs="宋体"/>
          <w:sz w:val="22"/>
          <w:szCs w:val="22"/>
        </w:rPr>
        <w:t>（项目编号：</w:t>
      </w:r>
      <w:r>
        <w:rPr>
          <w:rFonts w:hint="eastAsia" w:ascii="宋体" w:hAnsi="宋体" w:cs="宋体"/>
          <w:sz w:val="22"/>
          <w:szCs w:val="22"/>
          <w:u w:val="single"/>
        </w:rPr>
        <w:t xml:space="preserve">       </w:t>
      </w:r>
      <w:r>
        <w:rPr>
          <w:rFonts w:hint="eastAsia" w:ascii="宋体" w:hAnsi="宋体" w:cs="宋体"/>
          <w:sz w:val="22"/>
          <w:szCs w:val="22"/>
        </w:rPr>
        <w:t>）的投标，根据法律法规维护采购公正性的相关规定，特就本单位控股及管理关系情况申报如下，并承担申报不实的责任。</w:t>
      </w:r>
    </w:p>
    <w:tbl>
      <w:tblPr>
        <w:tblStyle w:val="41"/>
        <w:tblW w:w="87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2240"/>
        <w:gridCol w:w="461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26"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申报人名称</w:t>
            </w:r>
          </w:p>
        </w:tc>
        <w:tc>
          <w:tcPr>
            <w:tcW w:w="6859" w:type="dxa"/>
            <w:gridSpan w:val="2"/>
            <w:vAlign w:val="center"/>
          </w:tcPr>
          <w:p>
            <w:pPr>
              <w:rPr>
                <w:rFonts w:hint="eastAsia" w:ascii="宋体" w:hAnsi="宋体" w:eastAsia="宋体" w:cs="宋体"/>
                <w:sz w:val="22"/>
                <w:szCs w:val="24"/>
              </w:rPr>
            </w:pPr>
            <w:r>
              <w:rPr>
                <w:rFonts w:hint="eastAsia" w:ascii="宋体" w:hAnsi="宋体" w:eastAsia="宋体" w:cs="宋体"/>
                <w:sz w:val="22"/>
              </w:rPr>
              <w:t>【    [投标人名称]】</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926" w:type="dxa"/>
            <w:vMerge w:val="restart"/>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法定代表人/单位负责人</w:t>
            </w:r>
          </w:p>
        </w:tc>
        <w:tc>
          <w:tcPr>
            <w:tcW w:w="2240"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姓    名</w:t>
            </w:r>
          </w:p>
        </w:tc>
        <w:tc>
          <w:tcPr>
            <w:tcW w:w="4619"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rPr>
              <w:t>【    [投标人法定代表人/负责人姓名]】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926" w:type="dxa"/>
            <w:vMerge w:val="continue"/>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p>
        </w:tc>
        <w:tc>
          <w:tcPr>
            <w:tcW w:w="2240"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身份证号</w:t>
            </w:r>
          </w:p>
        </w:tc>
        <w:tc>
          <w:tcPr>
            <w:tcW w:w="4619"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rPr>
              <w:t>【    [投标人法定代表人/负责人身份证号]】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1926"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控股股东/投资人名称</w:t>
            </w:r>
          </w:p>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及出资比例</w:t>
            </w:r>
          </w:p>
        </w:tc>
        <w:tc>
          <w:tcPr>
            <w:tcW w:w="6859" w:type="dxa"/>
            <w:gridSpan w:val="2"/>
            <w:vAlign w:val="center"/>
          </w:tcPr>
          <w:p>
            <w:pPr>
              <w:autoSpaceDE w:val="0"/>
              <w:autoSpaceDN w:val="0"/>
              <w:spacing w:before="62" w:beforeLines="20" w:after="62" w:afterLines="20" w:line="288" w:lineRule="auto"/>
              <w:jc w:val="left"/>
              <w:rPr>
                <w:rFonts w:hint="eastAsia" w:ascii="宋体" w:hAnsi="宋体" w:eastAsia="宋体" w:cs="宋体"/>
                <w:sz w:val="22"/>
                <w:szCs w:val="24"/>
              </w:rPr>
            </w:pPr>
            <w:r>
              <w:rPr>
                <w:rFonts w:hint="eastAsia" w:ascii="宋体" w:hAnsi="宋体" w:eastAsia="宋体" w:cs="宋体"/>
                <w:sz w:val="22"/>
              </w:rPr>
              <w:t>【    [公司名称]/    [自然人]，出资比例    %，[投标人控股股东/投资人名称及出资比例]】</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926"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非控股股东/投资人名称</w:t>
            </w:r>
          </w:p>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及出资比例</w:t>
            </w:r>
          </w:p>
        </w:tc>
        <w:tc>
          <w:tcPr>
            <w:tcW w:w="6859" w:type="dxa"/>
            <w:gridSpan w:val="2"/>
            <w:vAlign w:val="center"/>
          </w:tcPr>
          <w:p>
            <w:pPr>
              <w:autoSpaceDE w:val="0"/>
              <w:autoSpaceDN w:val="0"/>
              <w:spacing w:before="62" w:beforeLines="20" w:after="62" w:afterLines="20" w:line="288" w:lineRule="auto"/>
              <w:jc w:val="left"/>
              <w:rPr>
                <w:rFonts w:hint="eastAsia" w:ascii="宋体" w:hAnsi="宋体" w:eastAsia="宋体" w:cs="宋体"/>
                <w:sz w:val="22"/>
                <w:szCs w:val="24"/>
              </w:rPr>
            </w:pPr>
            <w:r>
              <w:rPr>
                <w:rFonts w:hint="eastAsia" w:ascii="宋体" w:hAnsi="宋体" w:eastAsia="宋体" w:cs="宋体"/>
                <w:sz w:val="22"/>
              </w:rPr>
              <w:t>【    [公司名称]/    [自然人]，出资比例    %，[投标人非控股股东/投资人名称及出资比例，应从出资比例由高到低进行填写]】</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926" w:type="dxa"/>
            <w:vMerge w:val="restart"/>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管理关系单位名称</w:t>
            </w:r>
          </w:p>
        </w:tc>
        <w:tc>
          <w:tcPr>
            <w:tcW w:w="2240"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管理关系单位名称</w:t>
            </w:r>
          </w:p>
        </w:tc>
        <w:tc>
          <w:tcPr>
            <w:tcW w:w="4619" w:type="dxa"/>
            <w:vAlign w:val="center"/>
          </w:tcPr>
          <w:p>
            <w:pPr>
              <w:autoSpaceDE w:val="0"/>
              <w:autoSpaceDN w:val="0"/>
              <w:spacing w:before="62" w:beforeLines="20" w:after="62" w:afterLines="20" w:line="288" w:lineRule="auto"/>
              <w:jc w:val="left"/>
              <w:rPr>
                <w:rFonts w:hint="eastAsia" w:ascii="宋体" w:hAnsi="宋体" w:eastAsia="宋体" w:cs="宋体"/>
                <w:sz w:val="22"/>
                <w:szCs w:val="24"/>
              </w:rPr>
            </w:pPr>
            <w:r>
              <w:rPr>
                <w:rFonts w:hint="eastAsia" w:ascii="宋体" w:hAnsi="宋体" w:eastAsia="宋体" w:cs="宋体"/>
                <w:sz w:val="22"/>
              </w:rPr>
              <w:t>【    [管理单位全称]】</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926" w:type="dxa"/>
            <w:vMerge w:val="continue"/>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p>
        </w:tc>
        <w:tc>
          <w:tcPr>
            <w:tcW w:w="2240" w:type="dxa"/>
            <w:vAlign w:val="center"/>
          </w:tcPr>
          <w:p>
            <w:pPr>
              <w:autoSpaceDE w:val="0"/>
              <w:autoSpaceDN w:val="0"/>
              <w:spacing w:before="62" w:beforeLines="20" w:after="62" w:afterLines="20" w:line="288" w:lineRule="auto"/>
              <w:jc w:val="center"/>
              <w:rPr>
                <w:rFonts w:hint="eastAsia" w:ascii="宋体" w:hAnsi="宋体" w:eastAsia="宋体" w:cs="宋体"/>
                <w:sz w:val="22"/>
                <w:szCs w:val="24"/>
              </w:rPr>
            </w:pPr>
            <w:r>
              <w:rPr>
                <w:rFonts w:hint="eastAsia" w:ascii="宋体" w:hAnsi="宋体" w:eastAsia="宋体" w:cs="宋体"/>
                <w:sz w:val="22"/>
                <w:szCs w:val="24"/>
              </w:rPr>
              <w:t>被管理关系单位名称</w:t>
            </w:r>
          </w:p>
        </w:tc>
        <w:tc>
          <w:tcPr>
            <w:tcW w:w="4619" w:type="dxa"/>
            <w:vAlign w:val="center"/>
          </w:tcPr>
          <w:p>
            <w:pPr>
              <w:autoSpaceDE w:val="0"/>
              <w:autoSpaceDN w:val="0"/>
              <w:spacing w:before="62" w:beforeLines="20" w:after="62" w:afterLines="20" w:line="288" w:lineRule="auto"/>
              <w:jc w:val="left"/>
              <w:rPr>
                <w:rFonts w:hint="eastAsia" w:ascii="宋体" w:hAnsi="宋体" w:eastAsia="宋体" w:cs="宋体"/>
                <w:sz w:val="22"/>
                <w:szCs w:val="24"/>
              </w:rPr>
            </w:pPr>
            <w:r>
              <w:rPr>
                <w:rFonts w:hint="eastAsia" w:ascii="宋体" w:hAnsi="宋体" w:eastAsia="宋体" w:cs="宋体"/>
                <w:sz w:val="22"/>
              </w:rPr>
              <w:t>【    [被管理单位全称，应列明所有被管理单位]】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785" w:type="dxa"/>
            <w:gridSpan w:val="3"/>
            <w:vAlign w:val="center"/>
          </w:tcPr>
          <w:p>
            <w:pPr>
              <w:autoSpaceDE w:val="0"/>
              <w:autoSpaceDN w:val="0"/>
              <w:spacing w:before="62" w:beforeLines="20" w:after="62" w:afterLines="20" w:line="288" w:lineRule="auto"/>
              <w:jc w:val="left"/>
              <w:rPr>
                <w:rFonts w:hint="eastAsia" w:ascii="宋体" w:hAnsi="宋体" w:eastAsia="宋体" w:cs="宋体"/>
                <w:sz w:val="22"/>
                <w:szCs w:val="24"/>
              </w:rPr>
            </w:pPr>
            <w:r>
              <w:rPr>
                <w:rFonts w:hint="eastAsia" w:ascii="宋体" w:hAnsi="宋体" w:eastAsia="宋体" w:cs="宋体"/>
                <w:sz w:val="22"/>
                <w:szCs w:val="24"/>
              </w:rPr>
              <w:t>备注：</w:t>
            </w:r>
          </w:p>
        </w:tc>
      </w:tr>
    </w:tbl>
    <w:p>
      <w:pPr>
        <w:pStyle w:val="138"/>
        <w:ind w:firstLine="209" w:firstLineChars="95"/>
        <w:rPr>
          <w:rFonts w:hint="eastAsia" w:ascii="宋体" w:hAnsi="宋体" w:cs="宋体"/>
          <w:sz w:val="22"/>
          <w:szCs w:val="22"/>
        </w:rPr>
      </w:pPr>
      <w:r>
        <w:rPr>
          <w:rFonts w:hint="eastAsia" w:ascii="宋体" w:hAnsi="宋体" w:cs="宋体"/>
          <w:sz w:val="22"/>
          <w:szCs w:val="22"/>
        </w:rPr>
        <w:t>说明：1.控股股东/投资人是指出资比例在50%以上，或者出资比例不足50%，但享有公司股东会/董事会控制权的投资方（含单位或者个人）；</w:t>
      </w:r>
    </w:p>
    <w:p>
      <w:pPr>
        <w:pStyle w:val="138"/>
        <w:ind w:firstLine="209" w:firstLineChars="95"/>
        <w:rPr>
          <w:rFonts w:hint="eastAsia" w:ascii="宋体" w:hAnsi="宋体" w:cs="宋体"/>
          <w:sz w:val="22"/>
          <w:szCs w:val="22"/>
        </w:rPr>
      </w:pPr>
      <w:r>
        <w:rPr>
          <w:rFonts w:hint="eastAsia" w:ascii="宋体" w:hAnsi="宋体" w:cs="宋体"/>
          <w:sz w:val="22"/>
          <w:szCs w:val="22"/>
        </w:rPr>
        <w:t xml:space="preserve">    2.管理关系单位是指与不具有出资持股关系的其他单位之间存在管理与被管理关系的单位；</w:t>
      </w:r>
    </w:p>
    <w:p>
      <w:pPr>
        <w:pStyle w:val="138"/>
        <w:ind w:firstLine="209" w:firstLineChars="95"/>
        <w:rPr>
          <w:rFonts w:hint="eastAsia" w:ascii="宋体" w:hAnsi="宋体" w:cs="宋体"/>
          <w:sz w:val="22"/>
          <w:szCs w:val="22"/>
        </w:rPr>
      </w:pPr>
      <w:r>
        <w:rPr>
          <w:rFonts w:hint="eastAsia" w:ascii="宋体" w:hAnsi="宋体" w:cs="宋体"/>
          <w:sz w:val="22"/>
          <w:szCs w:val="22"/>
        </w:rPr>
        <w:t xml:space="preserve">    3.如未有相关情况，请在相应栏填写“无”。</w:t>
      </w:r>
    </w:p>
    <w:p>
      <w:pPr>
        <w:pStyle w:val="138"/>
        <w:ind w:firstLine="440"/>
        <w:rPr>
          <w:rFonts w:hint="eastAsia" w:ascii="宋体" w:hAnsi="宋体" w:cs="宋体"/>
          <w:sz w:val="22"/>
          <w:szCs w:val="22"/>
        </w:rPr>
      </w:pPr>
    </w:p>
    <w:p>
      <w:pPr>
        <w:pStyle w:val="138"/>
        <w:ind w:firstLine="440"/>
        <w:rPr>
          <w:rFonts w:hint="eastAsia" w:ascii="宋体" w:hAnsi="宋体" w:cs="宋体"/>
          <w:sz w:val="22"/>
          <w:szCs w:val="22"/>
        </w:rPr>
      </w:pPr>
      <w:r>
        <w:rPr>
          <w:rFonts w:hint="eastAsia" w:ascii="宋体" w:hAnsi="宋体" w:cs="宋体"/>
          <w:sz w:val="22"/>
          <w:szCs w:val="22"/>
        </w:rPr>
        <w:t>投标人名称：</w:t>
      </w:r>
      <w:r>
        <w:rPr>
          <w:rFonts w:hint="eastAsia" w:ascii="宋体" w:hAnsi="宋体" w:cs="宋体"/>
          <w:sz w:val="22"/>
          <w:szCs w:val="22"/>
          <w:u w:val="single"/>
        </w:rPr>
        <w:t xml:space="preserve">                    </w:t>
      </w:r>
      <w:r>
        <w:rPr>
          <w:rFonts w:hint="eastAsia" w:ascii="宋体" w:hAnsi="宋体" w:cs="宋体"/>
          <w:sz w:val="22"/>
          <w:szCs w:val="22"/>
        </w:rPr>
        <w:t>（盖章）</w:t>
      </w:r>
    </w:p>
    <w:p>
      <w:pPr>
        <w:pStyle w:val="138"/>
        <w:ind w:firstLine="440"/>
        <w:rPr>
          <w:rFonts w:hint="eastAsia" w:ascii="宋体" w:hAnsi="宋体" w:cs="宋体"/>
          <w:color w:val="000000" w:themeColor="text1"/>
          <w:spacing w:val="12"/>
          <w:szCs w:val="24"/>
          <w14:textFill>
            <w14:solidFill>
              <w14:schemeClr w14:val="tx1"/>
            </w14:solidFill>
          </w14:textFill>
        </w:rPr>
      </w:pPr>
      <w:r>
        <w:rPr>
          <w:rFonts w:hint="eastAsia" w:ascii="宋体" w:hAnsi="宋体" w:cs="宋体"/>
          <w:sz w:val="22"/>
          <w:szCs w:val="22"/>
        </w:rPr>
        <w:t>日期：</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日</w:t>
      </w:r>
    </w:p>
    <w:p>
      <w:pPr>
        <w:rPr>
          <w:rFonts w:hint="eastAsia" w:ascii="宋体" w:hAnsi="宋体" w:eastAsia="宋体" w:cstheme="majorBidi"/>
          <w:color w:val="000000" w:themeColor="text1"/>
          <w:spacing w:val="12"/>
          <w:sz w:val="22"/>
          <w14:textFill>
            <w14:solidFill>
              <w14:schemeClr w14:val="tx1"/>
            </w14:solidFill>
          </w14:textFill>
        </w:rPr>
      </w:pPr>
      <w:r>
        <w:rPr>
          <w:rFonts w:hint="eastAsia" w:ascii="宋体" w:hAnsi="宋体" w:eastAsia="宋体" w:cstheme="majorBidi"/>
          <w:color w:val="000000" w:themeColor="text1"/>
          <w:spacing w:val="12"/>
          <w:sz w:val="22"/>
          <w14:textFill>
            <w14:solidFill>
              <w14:schemeClr w14:val="tx1"/>
            </w14:solidFill>
          </w14:textFill>
        </w:rPr>
        <w:br w:type="page"/>
      </w:r>
    </w:p>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r>
        <w:rPr>
          <w:rStyle w:val="44"/>
          <w:rFonts w:hint="eastAsia" w:ascii="宋体" w:hAnsi="宋体"/>
          <w:b w:val="0"/>
          <w:bCs w:val="0"/>
          <w:color w:val="000000" w:themeColor="text1"/>
          <w:spacing w:val="12"/>
          <w:sz w:val="22"/>
          <w:szCs w:val="22"/>
          <w14:textFill>
            <w14:solidFill>
              <w14:schemeClr w14:val="tx1"/>
            </w14:solidFill>
          </w14:textFill>
        </w:rPr>
        <w:t>8.资格证明材料</w:t>
      </w:r>
      <w:bookmarkEnd w:id="135"/>
      <w:bookmarkEnd w:id="136"/>
    </w:p>
    <w:p>
      <w:pPr>
        <w:rPr>
          <w:rFonts w:hint="eastAsia" w:ascii="宋体" w:hAnsi="宋体" w:eastAsia="宋体"/>
        </w:rPr>
      </w:pPr>
      <w:r>
        <w:rPr>
          <w:rStyle w:val="44"/>
          <w:rFonts w:hint="eastAsia" w:ascii="宋体" w:hAnsi="宋体" w:eastAsia="宋体"/>
          <w:color w:val="000000" w:themeColor="text1"/>
          <w:spacing w:val="12"/>
          <w:sz w:val="22"/>
          <w14:textFill>
            <w14:solidFill>
              <w14:schemeClr w14:val="tx1"/>
            </w14:solidFill>
          </w14:textFill>
        </w:rPr>
        <w:t>投标人按照资格条件要求提供相关资料。</w:t>
      </w:r>
    </w:p>
    <w:p>
      <w:pPr>
        <w:spacing w:line="360" w:lineRule="auto"/>
        <w:rPr>
          <w:rFonts w:hint="eastAsia" w:ascii="宋体" w:hAnsi="宋体" w:eastAsia="宋体" w:cs="宋体"/>
          <w:sz w:val="24"/>
          <w:szCs w:val="24"/>
        </w:rPr>
      </w:pPr>
      <w:bookmarkStart w:id="138" w:name="_Toc18819"/>
      <w:bookmarkStart w:id="139" w:name="_Toc19391"/>
      <w:r>
        <w:rPr>
          <w:rFonts w:hint="eastAsia" w:ascii="宋体" w:hAnsi="宋体" w:eastAsia="宋体" w:cs="宋体"/>
          <w:sz w:val="24"/>
          <w:szCs w:val="24"/>
        </w:rPr>
        <w:t>1）投标人须在中华人民共和国境内注册的具有独立承担民事责任能力的法人或其他组织，提供营业执照或事业法人证书（分公司投标须得到总公司授权，同时提供总公司营业执照及盖章授权函）；</w:t>
      </w:r>
    </w:p>
    <w:p>
      <w:pPr>
        <w:spacing w:line="360" w:lineRule="auto"/>
        <w:rPr>
          <w:rFonts w:hint="eastAsia" w:ascii="宋体" w:hAnsi="宋体" w:eastAsia="宋体" w:cs="宋体"/>
          <w:sz w:val="24"/>
          <w:szCs w:val="24"/>
        </w:rPr>
      </w:pPr>
      <w:r>
        <w:rPr>
          <w:rFonts w:hint="eastAsia" w:ascii="宋体" w:hAnsi="宋体" w:eastAsia="宋体" w:cs="宋体"/>
          <w:sz w:val="24"/>
          <w:szCs w:val="24"/>
        </w:rPr>
        <w:t>2）投标人在“信用中国”网站、中国政府采购网没有被列入失信被执行人、重大税收违法失信主体、政府采购严重违法失信行为记录名单；（以招标代理机构于投标截止时间当天在信用中国网站及中国政府采购网查询结果为准，如相关失信记录已失效，供应商需提供相关证明资料）。</w:t>
      </w:r>
    </w:p>
    <w:p>
      <w:pPr>
        <w:spacing w:line="360" w:lineRule="auto"/>
        <w:rPr>
          <w:rFonts w:hint="eastAsia" w:ascii="宋体" w:hAnsi="宋体" w:eastAsia="宋体" w:cs="宋体"/>
          <w:sz w:val="24"/>
          <w:szCs w:val="24"/>
        </w:rPr>
      </w:pPr>
      <w:r>
        <w:rPr>
          <w:rFonts w:hint="eastAsia" w:ascii="宋体" w:hAnsi="宋体" w:eastAsia="宋体" w:cs="宋体"/>
          <w:sz w:val="24"/>
          <w:szCs w:val="24"/>
        </w:rPr>
        <w:t>3）单位负责人为同一人或者存在直接控股、管理关系的不同投标人，不得一同参加本项目的招标活动；</w:t>
      </w:r>
    </w:p>
    <w:p>
      <w:pPr>
        <w:spacing w:line="360" w:lineRule="auto"/>
        <w:rPr>
          <w:rFonts w:hint="eastAsia" w:ascii="宋体" w:hAnsi="宋体" w:eastAsia="宋体" w:cs="宋体"/>
          <w:sz w:val="24"/>
          <w:szCs w:val="24"/>
        </w:rPr>
      </w:pPr>
      <w:r>
        <w:rPr>
          <w:rFonts w:hint="eastAsia" w:ascii="宋体" w:hAnsi="宋体" w:eastAsia="宋体" w:cs="宋体"/>
          <w:sz w:val="24"/>
          <w:szCs w:val="24"/>
        </w:rPr>
        <w:t>4）本项目不接受联合体投标，不允许转包、违法分包。</w:t>
      </w:r>
    </w:p>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r>
        <w:rPr>
          <w:rFonts w:hint="eastAsia" w:ascii="宋体" w:hAnsi="宋体"/>
          <w:color w:val="000000" w:themeColor="text1"/>
          <w:spacing w:val="12"/>
          <w:sz w:val="22"/>
          <w:szCs w:val="22"/>
          <w14:textFill>
            <w14:solidFill>
              <w14:schemeClr w14:val="tx1"/>
            </w14:solidFill>
          </w14:textFill>
        </w:rPr>
        <w:t>9.</w:t>
      </w:r>
      <w:r>
        <w:rPr>
          <w:rStyle w:val="44"/>
          <w:rFonts w:hint="eastAsia" w:ascii="宋体" w:hAnsi="宋体"/>
          <w:b w:val="0"/>
          <w:bCs w:val="0"/>
          <w:color w:val="000000" w:themeColor="text1"/>
          <w:spacing w:val="12"/>
          <w:sz w:val="22"/>
          <w:szCs w:val="22"/>
          <w14:textFill>
            <w14:solidFill>
              <w14:schemeClr w14:val="tx1"/>
            </w14:solidFill>
          </w14:textFill>
        </w:rPr>
        <w:t>法定代表人身份证明书</w:t>
      </w:r>
      <w:bookmarkEnd w:id="133"/>
      <w:bookmarkEnd w:id="134"/>
      <w:bookmarkEnd w:id="138"/>
      <w:bookmarkEnd w:id="139"/>
    </w:p>
    <w:p>
      <w:pPr>
        <w:spacing w:before="156" w:beforeLines="50" w:after="156" w:afterLines="50"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法定代表人身份证明书</w:t>
      </w:r>
    </w:p>
    <w:p>
      <w:pPr>
        <w:spacing w:before="312" w:beforeLines="100" w:after="156" w:afterLines="50" w:line="360" w:lineRule="auto"/>
        <w:rPr>
          <w:rFonts w:hint="eastAsia" w:ascii="宋体" w:hAnsi="宋体" w:eastAsia="宋体"/>
          <w:b/>
          <w:color w:val="000000" w:themeColor="text1"/>
          <w:sz w:val="22"/>
          <w:szCs w:val="24"/>
          <w14:textFill>
            <w14:solidFill>
              <w14:schemeClr w14:val="tx1"/>
            </w14:solidFill>
          </w14:textFill>
        </w:rPr>
      </w:pPr>
      <w:r>
        <w:rPr>
          <w:rFonts w:hint="eastAsia" w:ascii="宋体" w:hAnsi="宋体" w:eastAsia="宋体"/>
          <w:b/>
          <w:color w:val="000000" w:themeColor="text1"/>
          <w:sz w:val="22"/>
          <w:szCs w:val="24"/>
          <w14:textFill>
            <w14:solidFill>
              <w14:schemeClr w14:val="tx1"/>
            </w14:solidFill>
          </w14:textFill>
        </w:rPr>
        <w:t>致：（招标人名称）</w:t>
      </w:r>
    </w:p>
    <w:tbl>
      <w:tblPr>
        <w:tblStyle w:val="4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1"/>
        <w:gridCol w:w="5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14:textFill>
                  <w14:solidFill>
                    <w14:schemeClr w14:val="tx1"/>
                  </w14:solidFill>
                </w14:textFill>
              </w:rPr>
              <w:t>同志，现任我单位</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14:textFill>
                  <w14:solidFill>
                    <w14:schemeClr w14:val="tx1"/>
                  </w14:solidFill>
                </w14:textFill>
              </w:rPr>
              <w:t>职务，为法定代表人，特此证明。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1" w:hRule="atLeast"/>
          <w:jc w:val="center"/>
        </w:trPr>
        <w:tc>
          <w:tcPr>
            <w:tcW w:w="5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附：</w:t>
            </w:r>
          </w:p>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 xml:space="preserve">代表人性别：    </w:t>
            </w:r>
          </w:p>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 xml:space="preserve">身份证号码： </w:t>
            </w:r>
          </w:p>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 xml:space="preserve">联系电话：  </w:t>
            </w:r>
          </w:p>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5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3357"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3357"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法定代表人（签名或签章）：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3357" w:type="pct"/>
          </w:tcPr>
          <w:p>
            <w:pPr>
              <w:spacing w:after="312" w:afterLines="100"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r>
    </w:tbl>
    <w:p>
      <w:pPr>
        <w:spacing w:before="156" w:beforeLines="50" w:after="156" w:afterLines="50"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须附：法定代表人有效期内身份证复印件</w:t>
      </w:r>
    </w:p>
    <w:tbl>
      <w:tblPr>
        <w:tblStyle w:val="41"/>
        <w:tblW w:w="5000" w:type="pct"/>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383"/>
        <w:gridCol w:w="4384"/>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1833" w:hRule="atLeast"/>
          <w:jc w:val="center"/>
        </w:trPr>
        <w:tc>
          <w:tcPr>
            <w:tcW w:w="2500" w:type="pct"/>
            <w:vAlign w:val="center"/>
          </w:tcPr>
          <w:p>
            <w:pPr>
              <w:pStyle w:val="83"/>
              <w:spacing w:line="460" w:lineRule="exact"/>
              <w:ind w:firstLine="0" w:firstLineChars="0"/>
              <w:jc w:val="center"/>
              <w:rPr>
                <w:rFonts w:hint="eastAsia"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正面</w:t>
            </w:r>
          </w:p>
        </w:tc>
        <w:tc>
          <w:tcPr>
            <w:tcW w:w="2500" w:type="pct"/>
            <w:vAlign w:val="center"/>
          </w:tcPr>
          <w:p>
            <w:pPr>
              <w:pStyle w:val="83"/>
              <w:spacing w:line="460" w:lineRule="exact"/>
              <w:ind w:firstLine="0" w:firstLineChars="0"/>
              <w:jc w:val="center"/>
              <w:rPr>
                <w:rFonts w:hint="eastAsia"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背面</w:t>
            </w:r>
          </w:p>
        </w:tc>
      </w:tr>
    </w:tbl>
    <w:p>
      <w:pPr>
        <w:spacing w:before="156" w:beforeLines="50" w:after="93" w:afterLines="30" w:line="360" w:lineRule="auto"/>
        <w:rPr>
          <w:rFonts w:hint="eastAsia" w:ascii="宋体" w:hAnsi="宋体" w:eastAsia="宋体"/>
          <w:color w:val="000000" w:themeColor="text1"/>
          <w:sz w:val="22"/>
          <w14:textFill>
            <w14:solidFill>
              <w14:schemeClr w14:val="tx1"/>
            </w14:solidFill>
          </w14:textFill>
        </w:rPr>
      </w:pPr>
    </w:p>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40" w:name="_Toc6104"/>
      <w:bookmarkStart w:id="141" w:name="_Toc20499"/>
      <w:bookmarkStart w:id="142" w:name="_Toc391627759"/>
      <w:bookmarkStart w:id="143" w:name="_Toc405313963"/>
      <w:r>
        <w:rPr>
          <w:rFonts w:hint="eastAsia" w:ascii="宋体" w:hAnsi="宋体"/>
          <w:color w:val="000000" w:themeColor="text1"/>
          <w:spacing w:val="12"/>
          <w:sz w:val="22"/>
          <w:szCs w:val="22"/>
          <w14:textFill>
            <w14:solidFill>
              <w14:schemeClr w14:val="tx1"/>
            </w14:solidFill>
          </w14:textFill>
        </w:rPr>
        <w:t>10.</w:t>
      </w:r>
      <w:r>
        <w:rPr>
          <w:rStyle w:val="44"/>
          <w:rFonts w:hint="eastAsia" w:ascii="宋体" w:hAnsi="宋体"/>
          <w:b w:val="0"/>
          <w:bCs w:val="0"/>
          <w:color w:val="000000" w:themeColor="text1"/>
          <w:spacing w:val="12"/>
          <w:sz w:val="22"/>
          <w:szCs w:val="22"/>
          <w14:textFill>
            <w14:solidFill>
              <w14:schemeClr w14:val="tx1"/>
            </w14:solidFill>
          </w14:textFill>
        </w:rPr>
        <w:t>法定代表人授权委托书</w:t>
      </w:r>
      <w:bookmarkEnd w:id="140"/>
      <w:bookmarkEnd w:id="141"/>
      <w:bookmarkEnd w:id="142"/>
      <w:bookmarkEnd w:id="143"/>
    </w:p>
    <w:p>
      <w:pPr>
        <w:spacing w:before="156" w:beforeLines="50" w:after="156" w:afterLines="50"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法定代表人授权委托书</w:t>
      </w:r>
    </w:p>
    <w:p>
      <w:pPr>
        <w:spacing w:before="468" w:beforeLines="150" w:after="312" w:afterLines="100" w:line="360" w:lineRule="auto"/>
        <w:rPr>
          <w:rFonts w:hint="eastAsia" w:ascii="宋体" w:hAnsi="宋体" w:eastAsia="宋体"/>
          <w:b/>
          <w:color w:val="000000" w:themeColor="text1"/>
          <w:sz w:val="22"/>
          <w:szCs w:val="24"/>
          <w14:textFill>
            <w14:solidFill>
              <w14:schemeClr w14:val="tx1"/>
            </w14:solidFill>
          </w14:textFill>
        </w:rPr>
      </w:pPr>
      <w:r>
        <w:rPr>
          <w:rFonts w:hint="eastAsia" w:ascii="宋体" w:hAnsi="宋体" w:eastAsia="宋体"/>
          <w:b/>
          <w:color w:val="000000" w:themeColor="text1"/>
          <w:sz w:val="22"/>
          <w:szCs w:val="24"/>
          <w14:textFill>
            <w14:solidFill>
              <w14:schemeClr w14:val="tx1"/>
            </w14:solidFill>
          </w14:textFill>
        </w:rPr>
        <w:t>致：（招标人名称）</w:t>
      </w:r>
    </w:p>
    <w:p>
      <w:pPr>
        <w:pStyle w:val="83"/>
        <w:spacing w:line="360" w:lineRule="auto"/>
        <w:ind w:firstLine="450" w:firstLineChars="0"/>
        <w:rPr>
          <w:rFonts w:hint="eastAsia" w:ascii="宋体" w:eastAsia="宋体"/>
          <w:color w:val="000000" w:themeColor="text1"/>
          <w:sz w:val="22"/>
          <w:szCs w:val="22"/>
          <w14:textFill>
            <w14:solidFill>
              <w14:schemeClr w14:val="tx1"/>
            </w14:solidFill>
          </w14:textFill>
        </w:rPr>
      </w:pPr>
      <w:r>
        <w:rPr>
          <w:rFonts w:hint="eastAsia" w:ascii="宋体" w:eastAsia="宋体"/>
          <w:color w:val="000000" w:themeColor="text1"/>
          <w:sz w:val="22"/>
          <w:szCs w:val="22"/>
          <w14:textFill>
            <w14:solidFill>
              <w14:schemeClr w14:val="tx1"/>
            </w14:solidFill>
          </w14:textFill>
        </w:rPr>
        <w:t>本人</w:t>
      </w:r>
      <w:r>
        <w:rPr>
          <w:rFonts w:ascii="宋体" w:eastAsia="宋体"/>
          <w:color w:val="000000" w:themeColor="text1"/>
          <w:sz w:val="22"/>
          <w:szCs w:val="22"/>
          <w:u w:val="single"/>
          <w14:textFill>
            <w14:solidFill>
              <w14:schemeClr w14:val="tx1"/>
            </w14:solidFill>
          </w14:textFill>
        </w:rPr>
        <w:t xml:space="preserve">   </w:t>
      </w:r>
      <w:r>
        <w:rPr>
          <w:rFonts w:hint="eastAsia" w:ascii="宋体" w:eastAsia="宋体"/>
          <w:color w:val="000000" w:themeColor="text1"/>
          <w:sz w:val="22"/>
          <w:szCs w:val="22"/>
          <w:u w:val="single"/>
          <w14:textFill>
            <w14:solidFill>
              <w14:schemeClr w14:val="tx1"/>
            </w14:solidFill>
          </w14:textFill>
        </w:rPr>
        <w:t>（姓名）</w:t>
      </w:r>
      <w:r>
        <w:rPr>
          <w:rFonts w:ascii="宋体" w:eastAsia="宋体"/>
          <w:color w:val="000000" w:themeColor="text1"/>
          <w:sz w:val="22"/>
          <w:szCs w:val="22"/>
          <w:u w:val="single"/>
          <w14:textFill>
            <w14:solidFill>
              <w14:schemeClr w14:val="tx1"/>
            </w14:solidFill>
          </w14:textFill>
        </w:rPr>
        <w:t xml:space="preserve">  </w:t>
      </w:r>
      <w:r>
        <w:rPr>
          <w:rFonts w:hint="eastAsia" w:ascii="宋体" w:eastAsia="宋体"/>
          <w:color w:val="000000" w:themeColor="text1"/>
          <w:sz w:val="22"/>
          <w:szCs w:val="22"/>
          <w14:textFill>
            <w14:solidFill>
              <w14:schemeClr w14:val="tx1"/>
            </w14:solidFill>
          </w14:textFill>
        </w:rPr>
        <w:t>系</w:t>
      </w:r>
      <w:r>
        <w:rPr>
          <w:rFonts w:ascii="宋体" w:eastAsia="宋体"/>
          <w:color w:val="000000" w:themeColor="text1"/>
          <w:sz w:val="22"/>
          <w:szCs w:val="22"/>
          <w:u w:val="single"/>
          <w14:textFill>
            <w14:solidFill>
              <w14:schemeClr w14:val="tx1"/>
            </w14:solidFill>
          </w14:textFill>
        </w:rPr>
        <w:t xml:space="preserve">     （投标人名称）    </w:t>
      </w:r>
      <w:r>
        <w:rPr>
          <w:rFonts w:hint="eastAsia" w:ascii="宋体" w:eastAsia="宋体"/>
          <w:color w:val="000000" w:themeColor="text1"/>
          <w:sz w:val="22"/>
          <w:szCs w:val="22"/>
          <w14:textFill>
            <w14:solidFill>
              <w14:schemeClr w14:val="tx1"/>
            </w14:solidFill>
          </w14:textFill>
        </w:rPr>
        <w:t>的法定代表人，现委托</w:t>
      </w:r>
      <w:r>
        <w:rPr>
          <w:rFonts w:ascii="宋体" w:eastAsia="宋体"/>
          <w:color w:val="000000" w:themeColor="text1"/>
          <w:sz w:val="22"/>
          <w:szCs w:val="22"/>
          <w:u w:val="single"/>
          <w14:textFill>
            <w14:solidFill>
              <w14:schemeClr w14:val="tx1"/>
            </w14:solidFill>
          </w14:textFill>
        </w:rPr>
        <w:t xml:space="preserve"> （姓名） </w:t>
      </w:r>
      <w:r>
        <w:rPr>
          <w:rFonts w:hint="eastAsia" w:ascii="宋体" w:eastAsia="宋体"/>
          <w:color w:val="000000" w:themeColor="text1"/>
          <w:sz w:val="22"/>
          <w:szCs w:val="22"/>
          <w14:textFill>
            <w14:solidFill>
              <w14:schemeClr w14:val="tx1"/>
            </w14:solidFill>
          </w14:textFill>
        </w:rPr>
        <w:t>为我方合法代理人。代理人根据授权，以我方名义签署、澄清、说明、补正、递交、撤回、修改</w:t>
      </w:r>
      <w:r>
        <w:rPr>
          <w:rFonts w:ascii="宋体" w:eastAsia="宋体"/>
          <w:color w:val="000000" w:themeColor="text1"/>
          <w:sz w:val="22"/>
          <w:szCs w:val="22"/>
          <w:u w:val="single"/>
          <w14:textFill>
            <w14:solidFill>
              <w14:schemeClr w14:val="tx1"/>
            </w14:solidFill>
          </w14:textFill>
        </w:rPr>
        <w:t xml:space="preserve">          （项目名称）      </w:t>
      </w:r>
      <w:r>
        <w:rPr>
          <w:rFonts w:hint="eastAsia" w:ascii="宋体" w:eastAsia="宋体"/>
          <w:color w:val="000000" w:themeColor="text1"/>
          <w:sz w:val="22"/>
          <w:szCs w:val="22"/>
          <w14:textFill>
            <w14:solidFill>
              <w14:schemeClr w14:val="tx1"/>
            </w14:solidFill>
          </w14:textFill>
        </w:rPr>
        <w:t>（项目编号：</w:t>
      </w:r>
      <w:r>
        <w:rPr>
          <w:rFonts w:hint="eastAsia" w:ascii="宋体" w:eastAsia="宋体"/>
          <w:color w:val="000000" w:themeColor="text1"/>
          <w:sz w:val="22"/>
          <w:szCs w:val="22"/>
          <w:u w:val="single"/>
          <w14:textFill>
            <w14:solidFill>
              <w14:schemeClr w14:val="tx1"/>
            </w14:solidFill>
          </w14:textFill>
        </w:rPr>
        <w:t>　　</w:t>
      </w:r>
      <w:r>
        <w:rPr>
          <w:rFonts w:ascii="宋体" w:eastAsia="宋体"/>
          <w:color w:val="000000" w:themeColor="text1"/>
          <w:sz w:val="22"/>
          <w:szCs w:val="22"/>
          <w:u w:val="single"/>
          <w14:textFill>
            <w14:solidFill>
              <w14:schemeClr w14:val="tx1"/>
            </w14:solidFill>
          </w14:textFill>
        </w:rPr>
        <w:t xml:space="preserve">     </w:t>
      </w:r>
      <w:r>
        <w:rPr>
          <w:rFonts w:hint="eastAsia" w:ascii="宋体" w:eastAsia="宋体"/>
          <w:color w:val="000000" w:themeColor="text1"/>
          <w:sz w:val="22"/>
          <w:szCs w:val="22"/>
          <w:u w:val="single"/>
          <w14:textFill>
            <w14:solidFill>
              <w14:schemeClr w14:val="tx1"/>
            </w14:solidFill>
          </w14:textFill>
        </w:rPr>
        <w:t>　</w:t>
      </w:r>
      <w:r>
        <w:rPr>
          <w:rFonts w:hint="eastAsia" w:ascii="宋体" w:eastAsia="宋体"/>
          <w:color w:val="000000" w:themeColor="text1"/>
          <w:sz w:val="22"/>
          <w:szCs w:val="22"/>
          <w14:textFill>
            <w14:solidFill>
              <w14:schemeClr w14:val="tx1"/>
            </w14:solidFill>
          </w14:textFill>
        </w:rPr>
        <w:t>）投标文件、签订合同和处理有关事宜，其法律后果由我方承担。</w:t>
      </w:r>
    </w:p>
    <w:p>
      <w:pPr>
        <w:pStyle w:val="83"/>
        <w:spacing w:line="360" w:lineRule="auto"/>
        <w:ind w:firstLine="448" w:firstLineChars="204"/>
        <w:rPr>
          <w:rFonts w:hint="eastAsia" w:ascii="宋体" w:eastAsia="宋体"/>
          <w:color w:val="000000" w:themeColor="text1"/>
          <w:sz w:val="22"/>
          <w:szCs w:val="22"/>
          <w14:textFill>
            <w14:solidFill>
              <w14:schemeClr w14:val="tx1"/>
            </w14:solidFill>
          </w14:textFill>
        </w:rPr>
      </w:pPr>
      <w:r>
        <w:rPr>
          <w:rFonts w:hint="eastAsia" w:ascii="宋体" w:eastAsia="宋体"/>
          <w:color w:val="000000" w:themeColor="text1"/>
          <w:sz w:val="22"/>
          <w:szCs w:val="22"/>
          <w14:textFill>
            <w14:solidFill>
              <w14:schemeClr w14:val="tx1"/>
            </w14:solidFill>
          </w14:textFill>
        </w:rPr>
        <w:t>本委托书于</w:t>
      </w:r>
      <w:r>
        <w:rPr>
          <w:rFonts w:hint="eastAsia" w:ascii="宋体" w:eastAsia="宋体"/>
          <w:color w:val="000000" w:themeColor="text1"/>
          <w:sz w:val="22"/>
          <w:szCs w:val="22"/>
          <w:u w:val="single"/>
          <w14:textFill>
            <w14:solidFill>
              <w14:schemeClr w14:val="tx1"/>
            </w14:solidFill>
          </w14:textFill>
        </w:rPr>
        <w:t>　</w:t>
      </w:r>
      <w:r>
        <w:rPr>
          <w:rFonts w:ascii="宋体" w:eastAsia="宋体"/>
          <w:color w:val="000000" w:themeColor="text1"/>
          <w:sz w:val="22"/>
          <w:szCs w:val="22"/>
          <w:u w:val="single"/>
          <w14:textFill>
            <w14:solidFill>
              <w14:schemeClr w14:val="tx1"/>
            </w14:solidFill>
          </w14:textFill>
        </w:rPr>
        <w:t xml:space="preserve">    </w:t>
      </w:r>
      <w:r>
        <w:rPr>
          <w:rFonts w:hint="eastAsia" w:ascii="宋体" w:eastAsia="宋体"/>
          <w:color w:val="000000" w:themeColor="text1"/>
          <w:sz w:val="22"/>
          <w:szCs w:val="22"/>
          <w14:textFill>
            <w14:solidFill>
              <w14:schemeClr w14:val="tx1"/>
            </w14:solidFill>
          </w14:textFill>
        </w:rPr>
        <w:t>年</w:t>
      </w:r>
      <w:r>
        <w:rPr>
          <w:rFonts w:hint="eastAsia" w:ascii="宋体" w:eastAsia="宋体"/>
          <w:color w:val="000000" w:themeColor="text1"/>
          <w:sz w:val="22"/>
          <w:szCs w:val="22"/>
          <w:u w:val="single"/>
          <w14:textFill>
            <w14:solidFill>
              <w14:schemeClr w14:val="tx1"/>
            </w14:solidFill>
          </w14:textFill>
        </w:rPr>
        <w:t>　</w:t>
      </w:r>
      <w:r>
        <w:rPr>
          <w:rFonts w:ascii="宋体" w:eastAsia="宋体"/>
          <w:color w:val="000000" w:themeColor="text1"/>
          <w:sz w:val="22"/>
          <w:szCs w:val="22"/>
          <w:u w:val="single"/>
          <w14:textFill>
            <w14:solidFill>
              <w14:schemeClr w14:val="tx1"/>
            </w14:solidFill>
          </w14:textFill>
        </w:rPr>
        <w:t xml:space="preserve"> </w:t>
      </w:r>
      <w:r>
        <w:rPr>
          <w:rFonts w:hint="eastAsia" w:ascii="宋体" w:eastAsia="宋体"/>
          <w:color w:val="000000" w:themeColor="text1"/>
          <w:sz w:val="22"/>
          <w:szCs w:val="22"/>
          <w14:textFill>
            <w14:solidFill>
              <w14:schemeClr w14:val="tx1"/>
            </w14:solidFill>
          </w14:textFill>
        </w:rPr>
        <w:t>月</w:t>
      </w:r>
      <w:r>
        <w:rPr>
          <w:rFonts w:hint="eastAsia" w:ascii="宋体" w:eastAsia="宋体"/>
          <w:color w:val="000000" w:themeColor="text1"/>
          <w:sz w:val="22"/>
          <w:szCs w:val="22"/>
          <w:u w:val="single"/>
          <w14:textFill>
            <w14:solidFill>
              <w14:schemeClr w14:val="tx1"/>
            </w14:solidFill>
          </w14:textFill>
        </w:rPr>
        <w:t>　</w:t>
      </w:r>
      <w:r>
        <w:rPr>
          <w:rFonts w:ascii="宋体" w:eastAsia="宋体"/>
          <w:color w:val="000000" w:themeColor="text1"/>
          <w:sz w:val="22"/>
          <w:szCs w:val="22"/>
          <w:u w:val="single"/>
          <w14:textFill>
            <w14:solidFill>
              <w14:schemeClr w14:val="tx1"/>
            </w14:solidFill>
          </w14:textFill>
        </w:rPr>
        <w:t xml:space="preserve"> </w:t>
      </w:r>
      <w:r>
        <w:rPr>
          <w:rFonts w:hint="eastAsia" w:ascii="宋体" w:eastAsia="宋体"/>
          <w:color w:val="000000" w:themeColor="text1"/>
          <w:sz w:val="22"/>
          <w:szCs w:val="22"/>
          <w14:textFill>
            <w14:solidFill>
              <w14:schemeClr w14:val="tx1"/>
            </w14:solidFill>
          </w14:textFill>
        </w:rPr>
        <w:t>日签字生效，特此证明。</w:t>
      </w:r>
    </w:p>
    <w:p>
      <w:pPr>
        <w:pStyle w:val="83"/>
        <w:spacing w:line="360" w:lineRule="auto"/>
        <w:ind w:firstLine="448" w:firstLineChars="204"/>
        <w:rPr>
          <w:rFonts w:hint="eastAsia" w:ascii="宋体" w:eastAsia="宋体"/>
          <w:color w:val="000000" w:themeColor="text1"/>
          <w:sz w:val="22"/>
          <w:szCs w:val="22"/>
          <w14:textFill>
            <w14:solidFill>
              <w14:schemeClr w14:val="tx1"/>
            </w14:solidFill>
          </w14:textFill>
        </w:rPr>
      </w:pPr>
    </w:p>
    <w:p>
      <w:pPr>
        <w:pStyle w:val="83"/>
        <w:spacing w:line="360" w:lineRule="auto"/>
        <w:ind w:firstLine="0" w:firstLineChars="0"/>
        <w:rPr>
          <w:rFonts w:hint="eastAsia" w:ascii="宋体" w:eastAsia="宋体"/>
          <w:color w:val="000000" w:themeColor="text1"/>
          <w:sz w:val="22"/>
          <w:szCs w:val="22"/>
          <w14:textFill>
            <w14:solidFill>
              <w14:schemeClr w14:val="tx1"/>
            </w14:solidFill>
          </w14:textFill>
        </w:rPr>
      </w:pPr>
    </w:p>
    <w:p>
      <w:pPr>
        <w:pStyle w:val="83"/>
        <w:spacing w:line="360" w:lineRule="auto"/>
        <w:ind w:firstLine="0" w:firstLineChars="0"/>
        <w:rPr>
          <w:rFonts w:hint="eastAsia" w:ascii="宋体" w:eastAsia="宋体"/>
          <w:color w:val="000000" w:themeColor="text1"/>
          <w:sz w:val="22"/>
          <w:szCs w:val="22"/>
          <w14:textFill>
            <w14:solidFill>
              <w14:schemeClr w14:val="tx1"/>
            </w14:solidFill>
          </w14:textFill>
        </w:rPr>
      </w:pP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5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pPr>
              <w:pStyle w:val="83"/>
              <w:spacing w:line="360" w:lineRule="auto"/>
              <w:ind w:firstLine="0" w:firstLineChars="0"/>
              <w:rPr>
                <w:rFonts w:hint="eastAsia" w:ascii="宋体" w:eastAsia="宋体"/>
                <w:color w:val="000000" w:themeColor="text1"/>
                <w:kern w:val="0"/>
                <w:sz w:val="22"/>
                <w:szCs w:val="22"/>
                <w14:textFill>
                  <w14:solidFill>
                    <w14:schemeClr w14:val="tx1"/>
                  </w14:solidFill>
                </w14:textFill>
              </w:rPr>
            </w:pPr>
          </w:p>
        </w:tc>
        <w:tc>
          <w:tcPr>
            <w:tcW w:w="5726"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pPr>
              <w:pStyle w:val="83"/>
              <w:spacing w:line="360" w:lineRule="auto"/>
              <w:ind w:firstLine="0" w:firstLineChars="0"/>
              <w:rPr>
                <w:rFonts w:hint="eastAsia" w:ascii="宋体" w:eastAsia="宋体"/>
                <w:color w:val="000000" w:themeColor="text1"/>
                <w:kern w:val="0"/>
                <w:sz w:val="22"/>
                <w:szCs w:val="22"/>
                <w14:textFill>
                  <w14:solidFill>
                    <w14:schemeClr w14:val="tx1"/>
                  </w14:solidFill>
                </w14:textFill>
              </w:rPr>
            </w:pPr>
          </w:p>
        </w:tc>
        <w:tc>
          <w:tcPr>
            <w:tcW w:w="5726"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法定代表人（签名或签章）：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pPr>
              <w:pStyle w:val="83"/>
              <w:spacing w:line="360" w:lineRule="auto"/>
              <w:ind w:firstLine="0" w:firstLineChars="0"/>
              <w:rPr>
                <w:rFonts w:hint="eastAsia" w:ascii="宋体" w:eastAsia="宋体"/>
                <w:color w:val="000000" w:themeColor="text1"/>
                <w:kern w:val="0"/>
                <w:sz w:val="22"/>
                <w:szCs w:val="22"/>
                <w14:textFill>
                  <w14:solidFill>
                    <w14:schemeClr w14:val="tx1"/>
                  </w14:solidFill>
                </w14:textFill>
              </w:rPr>
            </w:pPr>
          </w:p>
        </w:tc>
        <w:tc>
          <w:tcPr>
            <w:tcW w:w="5726"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职务：</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pPr>
              <w:pStyle w:val="83"/>
              <w:spacing w:line="360" w:lineRule="auto"/>
              <w:ind w:firstLine="0" w:firstLineChars="0"/>
              <w:rPr>
                <w:rFonts w:hint="eastAsia" w:ascii="宋体" w:eastAsia="宋体"/>
                <w:color w:val="000000" w:themeColor="text1"/>
                <w:kern w:val="0"/>
                <w:sz w:val="22"/>
                <w:szCs w:val="22"/>
                <w14:textFill>
                  <w14:solidFill>
                    <w14:schemeClr w14:val="tx1"/>
                  </w14:solidFill>
                </w14:textFill>
              </w:rPr>
            </w:pPr>
          </w:p>
        </w:tc>
        <w:tc>
          <w:tcPr>
            <w:tcW w:w="5726"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被授权人（签名或签章）：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pPr>
              <w:pStyle w:val="83"/>
              <w:spacing w:line="360" w:lineRule="auto"/>
              <w:ind w:firstLine="0" w:firstLineChars="0"/>
              <w:rPr>
                <w:rFonts w:hint="eastAsia" w:ascii="宋体" w:eastAsia="宋体"/>
                <w:color w:val="000000" w:themeColor="text1"/>
                <w:kern w:val="0"/>
                <w:sz w:val="22"/>
                <w:szCs w:val="22"/>
                <w14:textFill>
                  <w14:solidFill>
                    <w14:schemeClr w14:val="tx1"/>
                  </w14:solidFill>
                </w14:textFill>
              </w:rPr>
            </w:pPr>
          </w:p>
        </w:tc>
        <w:tc>
          <w:tcPr>
            <w:tcW w:w="5726"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职务：</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pPr>
              <w:pStyle w:val="83"/>
              <w:spacing w:line="360" w:lineRule="auto"/>
              <w:ind w:firstLine="0" w:firstLineChars="0"/>
              <w:rPr>
                <w:rFonts w:hint="eastAsia" w:ascii="宋体" w:eastAsia="宋体"/>
                <w:color w:val="000000" w:themeColor="text1"/>
                <w:kern w:val="0"/>
                <w:sz w:val="22"/>
                <w:szCs w:val="22"/>
                <w14:textFill>
                  <w14:solidFill>
                    <w14:schemeClr w14:val="tx1"/>
                  </w14:solidFill>
                </w14:textFill>
              </w:rPr>
            </w:pPr>
          </w:p>
        </w:tc>
        <w:tc>
          <w:tcPr>
            <w:tcW w:w="5726"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r>
    </w:tbl>
    <w:p>
      <w:pPr>
        <w:pStyle w:val="83"/>
        <w:spacing w:line="360" w:lineRule="auto"/>
        <w:ind w:firstLine="0" w:firstLineChars="0"/>
        <w:rPr>
          <w:rFonts w:hint="eastAsia" w:ascii="宋体" w:eastAsia="宋体"/>
          <w:color w:val="000000" w:themeColor="text1"/>
          <w:sz w:val="22"/>
          <w:szCs w:val="22"/>
          <w14:textFill>
            <w14:solidFill>
              <w14:schemeClr w14:val="tx1"/>
            </w14:solidFill>
          </w14:textFill>
        </w:rPr>
      </w:pPr>
    </w:p>
    <w:p>
      <w:pPr>
        <w:pStyle w:val="83"/>
        <w:spacing w:line="360" w:lineRule="auto"/>
        <w:ind w:firstLine="0" w:firstLineChars="0"/>
        <w:rPr>
          <w:rFonts w:hint="eastAsia" w:ascii="宋体" w:eastAsia="宋体"/>
          <w:color w:val="000000" w:themeColor="text1"/>
          <w:sz w:val="22"/>
          <w:szCs w:val="22"/>
          <w14:textFill>
            <w14:solidFill>
              <w14:schemeClr w14:val="tx1"/>
            </w14:solidFill>
          </w14:textFill>
        </w:rPr>
      </w:pPr>
    </w:p>
    <w:p>
      <w:pPr>
        <w:spacing w:after="156" w:afterLines="50"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须附：被授权人有效期内身份证复印件</w:t>
      </w:r>
    </w:p>
    <w:tbl>
      <w:tblPr>
        <w:tblStyle w:val="41"/>
        <w:tblW w:w="5000" w:type="pct"/>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383"/>
        <w:gridCol w:w="4384"/>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310" w:hRule="atLeast"/>
          <w:jc w:val="center"/>
        </w:trPr>
        <w:tc>
          <w:tcPr>
            <w:tcW w:w="2500" w:type="pct"/>
            <w:vAlign w:val="center"/>
          </w:tcPr>
          <w:p>
            <w:pPr>
              <w:pStyle w:val="83"/>
              <w:spacing w:line="460" w:lineRule="exact"/>
              <w:ind w:firstLine="0" w:firstLineChars="0"/>
              <w:jc w:val="center"/>
              <w:rPr>
                <w:rFonts w:hint="eastAsia"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正面</w:t>
            </w:r>
          </w:p>
        </w:tc>
        <w:tc>
          <w:tcPr>
            <w:tcW w:w="2500" w:type="pct"/>
            <w:vAlign w:val="center"/>
          </w:tcPr>
          <w:p>
            <w:pPr>
              <w:pStyle w:val="83"/>
              <w:spacing w:line="460" w:lineRule="exact"/>
              <w:ind w:firstLine="0" w:firstLineChars="0"/>
              <w:jc w:val="center"/>
              <w:rPr>
                <w:rFonts w:hint="eastAsia"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背面</w:t>
            </w:r>
          </w:p>
        </w:tc>
      </w:tr>
    </w:tbl>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44" w:name="_Toc15809"/>
      <w:bookmarkStart w:id="145" w:name="_Toc405313964"/>
      <w:bookmarkStart w:id="146" w:name="_Toc9627"/>
      <w:bookmarkStart w:id="147" w:name="_Toc391627760"/>
      <w:r>
        <w:rPr>
          <w:rFonts w:hint="eastAsia" w:ascii="宋体" w:hAnsi="宋体"/>
          <w:color w:val="000000" w:themeColor="text1"/>
          <w:spacing w:val="12"/>
          <w:sz w:val="22"/>
          <w:szCs w:val="22"/>
          <w14:textFill>
            <w14:solidFill>
              <w14:schemeClr w14:val="tx1"/>
            </w14:solidFill>
          </w14:textFill>
        </w:rPr>
        <w:t>11.</w:t>
      </w:r>
      <w:r>
        <w:rPr>
          <w:rStyle w:val="44"/>
          <w:rFonts w:hint="eastAsia" w:ascii="宋体" w:hAnsi="宋体"/>
          <w:b w:val="0"/>
          <w:bCs w:val="0"/>
          <w:color w:val="000000" w:themeColor="text1"/>
          <w:spacing w:val="12"/>
          <w:sz w:val="22"/>
          <w:szCs w:val="22"/>
          <w14:textFill>
            <w14:solidFill>
              <w14:schemeClr w14:val="tx1"/>
            </w14:solidFill>
          </w14:textFill>
        </w:rPr>
        <w:t>投标人基本情况说明</w:t>
      </w:r>
      <w:bookmarkEnd w:id="144"/>
      <w:bookmarkEnd w:id="145"/>
      <w:bookmarkEnd w:id="146"/>
      <w:bookmarkEnd w:id="147"/>
    </w:p>
    <w:p>
      <w:pPr>
        <w:spacing w:before="156" w:beforeLines="50" w:after="156" w:afterLines="50"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投标人基本情况说明</w:t>
      </w:r>
    </w:p>
    <w:p>
      <w:pPr>
        <w:pStyle w:val="63"/>
        <w:numPr>
          <w:ilvl w:val="0"/>
          <w:numId w:val="35"/>
        </w:numPr>
        <w:spacing w:after="156" w:afterLines="50" w:line="360" w:lineRule="auto"/>
        <w:contextualSpacing w:val="0"/>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公司基本情况</w:t>
      </w:r>
    </w:p>
    <w:tbl>
      <w:tblPr>
        <w:tblStyle w:val="4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53"/>
        <w:gridCol w:w="2439"/>
        <w:gridCol w:w="1068"/>
        <w:gridCol w:w="1410"/>
        <w:gridCol w:w="20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14:textFill>
                  <w14:solidFill>
                    <w14:schemeClr w14:val="tx1"/>
                  </w14:solidFill>
                </w14:textFill>
              </w:rPr>
              <w:t>公司名称：</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r>
              <w:rPr>
                <w:rFonts w:ascii="宋体" w:hAnsi="宋体" w:eastAsia="宋体" w:cs="Times New Roman"/>
                <w:color w:val="000000" w:themeColor="text1"/>
                <w:kern w:val="0"/>
                <w:sz w:val="22"/>
                <w:szCs w:val="20"/>
                <w:u w:val="single"/>
                <w14:textFill>
                  <w14:solidFill>
                    <w14:schemeClr w14:val="tx1"/>
                  </w14:solidFill>
                </w14:textFill>
              </w:rPr>
              <w:t xml:space="preserve">    </w:t>
            </w:r>
            <w:r>
              <w:rPr>
                <w:rFonts w:ascii="宋体" w:hAnsi="宋体" w:eastAsia="宋体" w:cs="Times New Roman"/>
                <w:color w:val="000000" w:themeColor="text1"/>
                <w:kern w:val="0"/>
                <w:sz w:val="22"/>
                <w:szCs w:val="20"/>
                <w14:textFill>
                  <w14:solidFill>
                    <w14:schemeClr w14:val="tx1"/>
                  </w14:solidFill>
                </w14:textFill>
              </w:rPr>
              <w:t xml:space="preserve"> </w:t>
            </w:r>
          </w:p>
        </w:tc>
        <w:tc>
          <w:tcPr>
            <w:tcW w:w="2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公司固话：</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单位地址：</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c>
          <w:tcPr>
            <w:tcW w:w="2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公司传真：</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注册资金：</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c>
          <w:tcPr>
            <w:tcW w:w="2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单位性质：</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公司开户银行名称：</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c>
          <w:tcPr>
            <w:tcW w:w="2000" w:type="pct"/>
            <w:gridSpan w:val="2"/>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开户账号：</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14:textFill>
                  <w14:solidFill>
                    <w14:schemeClr w14:val="tx1"/>
                  </w14:solidFill>
                </w14:textFill>
              </w:rPr>
              <w:t>营业注册执照</w:t>
            </w:r>
            <w:r>
              <w:rPr>
                <w:rFonts w:hint="eastAsia" w:ascii="宋体" w:hAnsi="宋体" w:eastAsia="宋体" w:cs="Times New Roman"/>
                <w:color w:val="000000" w:themeColor="text1"/>
                <w:kern w:val="0"/>
                <w:sz w:val="22"/>
                <w:szCs w:val="20"/>
                <w14:textFill>
                  <w14:solidFill>
                    <w14:schemeClr w14:val="tx1"/>
                  </w14:solidFill>
                </w14:textFill>
              </w:rPr>
              <w:t>或事业单位法人证书</w:t>
            </w:r>
            <w:r>
              <w:rPr>
                <w:rFonts w:ascii="宋体" w:hAnsi="宋体" w:eastAsia="宋体" w:cs="Times New Roman"/>
                <w:color w:val="000000" w:themeColor="text1"/>
                <w:kern w:val="0"/>
                <w:sz w:val="22"/>
                <w:szCs w:val="20"/>
                <w14:textFill>
                  <w14:solidFill>
                    <w14:schemeClr w14:val="tx1"/>
                  </w14:solidFill>
                </w14:textFill>
              </w:rPr>
              <w:t>号</w:t>
            </w:r>
            <w:r>
              <w:rPr>
                <w:rFonts w:hint="eastAsia" w:ascii="宋体" w:hAnsi="宋体" w:eastAsia="宋体" w:cs="Times New Roman"/>
                <w:color w:val="000000" w:themeColor="text1"/>
                <w:kern w:val="0"/>
                <w:sz w:val="22"/>
                <w:szCs w:val="20"/>
                <w14:textFill>
                  <w14:solidFill>
                    <w14:schemeClr w14:val="tx1"/>
                  </w14:solidFill>
                </w14:textFill>
              </w:rPr>
              <w:t>：</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5000" w:type="pct"/>
            <w:gridSpan w:val="5"/>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公司财务状况：（如有）                                  【价格单位：（人民币）元】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0"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年  度</w:t>
            </w:r>
          </w:p>
        </w:tc>
        <w:tc>
          <w:tcPr>
            <w:tcW w:w="1391"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总资产（元）</w:t>
            </w:r>
          </w:p>
        </w:tc>
        <w:tc>
          <w:tcPr>
            <w:tcW w:w="1413" w:type="pct"/>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年营业额（元）</w:t>
            </w:r>
          </w:p>
        </w:tc>
        <w:tc>
          <w:tcPr>
            <w:tcW w:w="1197"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年净利润（元）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0" w:type="pct"/>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391" w:type="pct"/>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413" w:type="pct"/>
            <w:gridSpan w:val="2"/>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197" w:type="pct"/>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0" w:type="pct"/>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391" w:type="pct"/>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413" w:type="pct"/>
            <w:gridSpan w:val="2"/>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197" w:type="pct"/>
            <w:tcBorders>
              <w:top w:val="single" w:color="auto" w:sz="6" w:space="0"/>
              <w:left w:val="single" w:color="auto" w:sz="6" w:space="0"/>
              <w:bottom w:val="single" w:color="auto" w:sz="6" w:space="0"/>
              <w:right w:val="single" w:color="auto" w:sz="6" w:space="0"/>
            </w:tcBorders>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pStyle w:val="63"/>
        <w:numPr>
          <w:ilvl w:val="0"/>
          <w:numId w:val="35"/>
        </w:numPr>
        <w:spacing w:after="156" w:afterLines="50" w:line="360" w:lineRule="auto"/>
        <w:contextualSpacing w:val="0"/>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投标人获得国家有关部门颁发的资质证明</w:t>
      </w:r>
      <w:r>
        <w:rPr>
          <w:rFonts w:hint="eastAsia" w:ascii="宋体" w:hAnsi="宋体" w:eastAsia="宋体"/>
          <w:color w:val="000000" w:themeColor="text1"/>
          <w:sz w:val="22"/>
          <w14:textFill>
            <w14:solidFill>
              <w14:schemeClr w14:val="tx1"/>
            </w14:solidFill>
          </w14:textFill>
        </w:rPr>
        <w:t>或荣誉</w:t>
      </w:r>
      <w:r>
        <w:rPr>
          <w:rFonts w:ascii="宋体" w:hAnsi="宋体" w:eastAsia="宋体"/>
          <w:color w:val="000000" w:themeColor="text1"/>
          <w:sz w:val="22"/>
          <w14:textFill>
            <w14:solidFill>
              <w14:schemeClr w14:val="tx1"/>
            </w14:solidFill>
          </w14:textFill>
        </w:rPr>
        <w:t>：</w:t>
      </w:r>
      <w:r>
        <w:rPr>
          <w:rFonts w:hint="eastAsia" w:ascii="宋体" w:hAnsi="宋体" w:eastAsia="宋体"/>
          <w:color w:val="000000" w:themeColor="text1"/>
          <w:sz w:val="22"/>
          <w14:textFill>
            <w14:solidFill>
              <w14:schemeClr w14:val="tx1"/>
            </w14:solidFill>
          </w14:textFill>
        </w:rPr>
        <w:t>（如有）</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1"/>
        <w:gridCol w:w="2192"/>
        <w:gridCol w:w="2192"/>
        <w:gridCol w:w="2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14:textFill>
                  <w14:solidFill>
                    <w14:schemeClr w14:val="tx1"/>
                  </w14:solidFill>
                </w14:textFill>
              </w:rPr>
              <w:t>证书名称</w:t>
            </w:r>
          </w:p>
        </w:tc>
        <w:tc>
          <w:tcPr>
            <w:tcW w:w="1250" w:type="pct"/>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14:textFill>
                  <w14:solidFill>
                    <w14:schemeClr w14:val="tx1"/>
                  </w14:solidFill>
                </w14:textFill>
              </w:rPr>
              <w:t>发证单位</w:t>
            </w:r>
          </w:p>
        </w:tc>
        <w:tc>
          <w:tcPr>
            <w:tcW w:w="1250" w:type="pct"/>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14:textFill>
                  <w14:solidFill>
                    <w14:schemeClr w14:val="tx1"/>
                  </w14:solidFill>
                </w14:textFill>
              </w:rPr>
              <w:t>证书等级</w:t>
            </w:r>
          </w:p>
        </w:tc>
        <w:tc>
          <w:tcPr>
            <w:tcW w:w="1250" w:type="pct"/>
            <w:vAlign w:val="center"/>
          </w:tcPr>
          <w:p>
            <w:pPr>
              <w:spacing w:line="360" w:lineRule="auto"/>
              <w:jc w:val="center"/>
              <w:rPr>
                <w:rFonts w:hint="eastAsia" w:ascii="宋体" w:hAnsi="宋体" w:eastAsia="宋体" w:cs="Times New Roman"/>
                <w:color w:val="000000" w:themeColor="text1"/>
                <w:kern w:val="0"/>
                <w:sz w:val="22"/>
                <w:szCs w:val="20"/>
                <w14:textFill>
                  <w14:solidFill>
                    <w14:schemeClr w14:val="tx1"/>
                  </w14:solidFill>
                </w14:textFill>
              </w:rPr>
            </w:pPr>
            <w:r>
              <w:rPr>
                <w:rFonts w:ascii="宋体" w:hAnsi="宋体" w:eastAsia="宋体" w:cs="Times New Roman"/>
                <w:color w:val="000000" w:themeColor="text1"/>
                <w:kern w:val="0"/>
                <w:sz w:val="22"/>
                <w:szCs w:val="20"/>
                <w14:textFill>
                  <w14:solidFill>
                    <w14:schemeClr w14:val="tx1"/>
                  </w14:solidFill>
                </w14:textFill>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c>
          <w:tcPr>
            <w:tcW w:w="1250" w:type="pct"/>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spacing w:before="156" w:beforeLines="50" w:after="624" w:afterLines="200" w:line="360" w:lineRule="auto"/>
        <w:rPr>
          <w:rFonts w:hint="eastAsia" w:ascii="宋体" w:hAnsi="宋体" w:eastAsia="宋体" w:cs="Times New Roman"/>
          <w:color w:val="000000" w:themeColor="text1"/>
          <w:sz w:val="22"/>
          <w14:textFill>
            <w14:solidFill>
              <w14:schemeClr w14:val="tx1"/>
            </w14:solidFill>
          </w14:textFill>
        </w:rPr>
      </w:pPr>
      <w:r>
        <w:rPr>
          <w:rFonts w:hint="eastAsia" w:ascii="宋体" w:hAnsi="宋体" w:eastAsia="宋体" w:cs="Times New Roman"/>
          <w:color w:val="000000" w:themeColor="text1"/>
          <w:sz w:val="22"/>
          <w14:textFill>
            <w14:solidFill>
              <w14:schemeClr w14:val="tx1"/>
            </w14:solidFill>
          </w14:textFill>
        </w:rPr>
        <w:t>兹证明上述声明是真实、正确的，并提供了全部能提供的资料和数据，我方同意遵照贵方要求出示有关证明文件。</w:t>
      </w: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58"/>
        <w:gridCol w:w="2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58" w:type="dxa"/>
          </w:tcPr>
          <w:p>
            <w:pPr>
              <w:overflowPunct w:val="0"/>
              <w:adjustRightInd w:val="0"/>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w:t>
            </w:r>
          </w:p>
        </w:tc>
        <w:tc>
          <w:tcPr>
            <w:tcW w:w="2470"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58"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hint="eastAsia"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2470"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48" w:name="_Toc16922"/>
      <w:bookmarkStart w:id="149" w:name="_Toc405313968"/>
      <w:bookmarkStart w:id="150" w:name="_Toc6356"/>
      <w:bookmarkStart w:id="151" w:name="_Toc391627765"/>
      <w:r>
        <w:rPr>
          <w:rFonts w:hint="eastAsia" w:ascii="宋体" w:hAnsi="宋体"/>
          <w:color w:val="000000" w:themeColor="text1"/>
          <w:spacing w:val="12"/>
          <w:sz w:val="22"/>
          <w:szCs w:val="22"/>
          <w14:textFill>
            <w14:solidFill>
              <w14:schemeClr w14:val="tx1"/>
            </w14:solidFill>
          </w14:textFill>
        </w:rPr>
        <w:t>12.</w:t>
      </w:r>
      <w:r>
        <w:rPr>
          <w:rStyle w:val="44"/>
          <w:rFonts w:hint="eastAsia" w:ascii="宋体" w:hAnsi="宋体" w:cs="Times New Roman"/>
          <w:b w:val="0"/>
          <w:bCs w:val="0"/>
          <w:color w:val="000000" w:themeColor="text1"/>
          <w:spacing w:val="12"/>
          <w:sz w:val="22"/>
          <w:szCs w:val="22"/>
          <w14:textFill>
            <w14:solidFill>
              <w14:schemeClr w14:val="tx1"/>
            </w14:solidFill>
          </w14:textFill>
        </w:rPr>
        <w:t>合同</w:t>
      </w:r>
      <w:r>
        <w:rPr>
          <w:rStyle w:val="44"/>
          <w:rFonts w:hint="eastAsia" w:ascii="宋体" w:hAnsi="宋体"/>
          <w:b w:val="0"/>
          <w:bCs w:val="0"/>
          <w:color w:val="000000" w:themeColor="text1"/>
          <w:spacing w:val="12"/>
          <w:sz w:val="22"/>
          <w:szCs w:val="22"/>
          <w14:textFill>
            <w14:solidFill>
              <w14:schemeClr w14:val="tx1"/>
            </w14:solidFill>
          </w14:textFill>
        </w:rPr>
        <w:t>条款响应表</w:t>
      </w:r>
    </w:p>
    <w:p>
      <w:pPr>
        <w:spacing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合同条款响应表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3300"/>
        <w:gridCol w:w="2185"/>
        <w:gridCol w:w="1308"/>
        <w:gridCol w:w="1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序号</w:t>
            </w:r>
          </w:p>
        </w:tc>
        <w:tc>
          <w:tcPr>
            <w:tcW w:w="188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合同条款序号</w:t>
            </w:r>
          </w:p>
        </w:tc>
        <w:tc>
          <w:tcPr>
            <w:tcW w:w="12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条款内容</w:t>
            </w: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是否响应</w:t>
            </w:r>
          </w:p>
        </w:tc>
        <w:tc>
          <w:tcPr>
            <w:tcW w:w="6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pStyle w:val="111"/>
              <w:keepNext w:val="0"/>
              <w:keepLines/>
              <w:adjustRightInd/>
              <w:spacing w:before="0" w:after="0" w:line="360" w:lineRule="auto"/>
              <w:outlineLvl w:val="0"/>
              <w:rPr>
                <w:rFonts w:hint="eastAsia" w:ascii="宋体" w:hAnsi="宋体"/>
                <w:color w:val="000000" w:themeColor="text1"/>
                <w:spacing w:val="0"/>
                <w:kern w:val="2"/>
                <w:sz w:val="22"/>
                <w:szCs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pStyle w:val="111"/>
              <w:keepNext w:val="0"/>
              <w:keepLines/>
              <w:adjustRightInd/>
              <w:spacing w:before="0" w:after="0" w:line="360" w:lineRule="auto"/>
              <w:outlineLvl w:val="0"/>
              <w:rPr>
                <w:rFonts w:hint="eastAsia" w:ascii="宋体" w:hAnsi="宋体"/>
                <w:color w:val="000000" w:themeColor="text1"/>
                <w:spacing w:val="0"/>
                <w:kern w:val="2"/>
                <w:sz w:val="22"/>
                <w:szCs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ind w:right="-35"/>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2</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pStyle w:val="111"/>
              <w:keepNext w:val="0"/>
              <w:keepLines/>
              <w:adjustRightInd/>
              <w:spacing w:before="0" w:after="0" w:line="360" w:lineRule="auto"/>
              <w:outlineLvl w:val="0"/>
              <w:rPr>
                <w:rFonts w:hint="eastAsia" w:ascii="宋体" w:hAnsi="宋体"/>
                <w:color w:val="000000" w:themeColor="text1"/>
                <w:spacing w:val="0"/>
                <w:kern w:val="2"/>
                <w:sz w:val="22"/>
                <w:szCs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pStyle w:val="111"/>
              <w:keepNext w:val="0"/>
              <w:keepLines/>
              <w:adjustRightInd/>
              <w:spacing w:before="0" w:after="0" w:line="360" w:lineRule="auto"/>
              <w:outlineLvl w:val="0"/>
              <w:rPr>
                <w:rFonts w:hint="eastAsia" w:ascii="宋体" w:hAnsi="宋体"/>
                <w:color w:val="000000" w:themeColor="text1"/>
                <w:spacing w:val="0"/>
                <w:kern w:val="2"/>
                <w:sz w:val="22"/>
                <w:szCs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ind w:right="-35"/>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3</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ind w:right="-35"/>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 xml:space="preserve">  4</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2"/>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2"/>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2"/>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ind w:right="-35"/>
              <w:jc w:val="center"/>
              <w:outlineLvl w:val="2"/>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5</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i/>
                <w:iCs/>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ind w:right="-35"/>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6</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ind w:right="-35"/>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7</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8</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9</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10</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11</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12</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lang w:val="en-GB"/>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lang w:val="en-GB"/>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13</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14</w:t>
            </w:r>
          </w:p>
        </w:tc>
        <w:tc>
          <w:tcPr>
            <w:tcW w:w="1882"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jc w:val="center"/>
              <w:outlineLvl w:val="0"/>
              <w:rPr>
                <w:rFonts w:hint="eastAsia" w:ascii="宋体" w:hAnsi="宋体" w:eastAsia="宋体"/>
                <w:color w:val="000000" w:themeColor="text1"/>
                <w:sz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keepNext/>
              <w:keepLines/>
              <w:spacing w:line="360" w:lineRule="auto"/>
              <w:outlineLvl w:val="0"/>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14:textFill>
                  <w14:solidFill>
                    <w14:schemeClr w14:val="tx1"/>
                  </w14:solidFill>
                </w14:textFill>
              </w:rPr>
              <w:t>…</w:t>
            </w:r>
          </w:p>
        </w:tc>
        <w:tc>
          <w:tcPr>
            <w:tcW w:w="1882" w:type="pct"/>
            <w:tcBorders>
              <w:top w:val="single" w:color="auto" w:sz="4" w:space="0"/>
              <w:left w:val="single" w:color="auto" w:sz="4" w:space="0"/>
              <w:bottom w:val="single" w:color="auto" w:sz="4" w:space="0"/>
              <w:right w:val="single" w:color="auto" w:sz="4" w:space="0"/>
            </w:tcBorders>
            <w:vAlign w:val="center"/>
          </w:tcPr>
          <w:p>
            <w:pPr>
              <w:pStyle w:val="30"/>
              <w:keepNext/>
              <w:keepLines/>
              <w:spacing w:line="360" w:lineRule="auto"/>
              <w:outlineLvl w:val="0"/>
              <w:rPr>
                <w:rFonts w:hint="eastAsia" w:ascii="宋体" w:hAnsi="宋体"/>
                <w:color w:val="000000" w:themeColor="text1"/>
                <w:sz w:val="22"/>
                <w:szCs w:val="22"/>
                <w14:textFill>
                  <w14:solidFill>
                    <w14:schemeClr w14:val="tx1"/>
                  </w14:solidFill>
                </w14:textFill>
              </w:rPr>
            </w:pPr>
          </w:p>
        </w:tc>
        <w:tc>
          <w:tcPr>
            <w:tcW w:w="1246" w:type="pct"/>
            <w:tcBorders>
              <w:top w:val="single" w:color="auto" w:sz="4" w:space="0"/>
              <w:left w:val="single" w:color="auto" w:sz="4" w:space="0"/>
              <w:bottom w:val="single" w:color="auto" w:sz="4" w:space="0"/>
              <w:right w:val="single" w:color="auto" w:sz="4" w:space="0"/>
            </w:tcBorders>
            <w:vAlign w:val="center"/>
          </w:tcPr>
          <w:p>
            <w:pPr>
              <w:pStyle w:val="106"/>
              <w:keepNext/>
              <w:keepLines/>
              <w:spacing w:line="360" w:lineRule="auto"/>
              <w:outlineLvl w:val="0"/>
              <w:rPr>
                <w:rFonts w:hint="eastAsia" w:ascii="宋体" w:hAnsi="宋体"/>
                <w:color w:val="000000" w:themeColor="text1"/>
                <w:sz w:val="22"/>
                <w:szCs w:val="22"/>
                <w14:textFill>
                  <w14:solidFill>
                    <w14:schemeClr w14:val="tx1"/>
                  </w14:solidFill>
                </w14:textFill>
              </w:rPr>
            </w:pPr>
          </w:p>
        </w:tc>
        <w:tc>
          <w:tcPr>
            <w:tcW w:w="746" w:type="pct"/>
            <w:tcBorders>
              <w:top w:val="single" w:color="auto" w:sz="4" w:space="0"/>
              <w:left w:val="single" w:color="auto" w:sz="4" w:space="0"/>
              <w:bottom w:val="single" w:color="auto" w:sz="4" w:space="0"/>
              <w:right w:val="single" w:color="auto" w:sz="4" w:space="0"/>
            </w:tcBorders>
            <w:vAlign w:val="center"/>
          </w:tcPr>
          <w:p>
            <w:pPr>
              <w:pStyle w:val="106"/>
              <w:keepNext/>
              <w:keepLines/>
              <w:spacing w:line="360" w:lineRule="auto"/>
              <w:outlineLvl w:val="0"/>
              <w:rPr>
                <w:rFonts w:hint="eastAsia" w:ascii="宋体" w:hAnsi="宋体"/>
                <w:color w:val="000000" w:themeColor="text1"/>
                <w:sz w:val="22"/>
                <w:szCs w:val="22"/>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vAlign w:val="center"/>
          </w:tcPr>
          <w:p>
            <w:pPr>
              <w:pStyle w:val="106"/>
              <w:keepNext/>
              <w:keepLines/>
              <w:spacing w:line="360" w:lineRule="auto"/>
              <w:outlineLvl w:val="0"/>
              <w:rPr>
                <w:rFonts w:hint="eastAsia" w:ascii="宋体" w:hAnsi="宋体"/>
                <w:color w:val="000000" w:themeColor="text1"/>
                <w:sz w:val="22"/>
                <w:szCs w:val="22"/>
                <w14:textFill>
                  <w14:solidFill>
                    <w14:schemeClr w14:val="tx1"/>
                  </w14:solidFill>
                </w14:textFill>
              </w:rPr>
            </w:pPr>
          </w:p>
        </w:tc>
      </w:tr>
    </w:tbl>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注：1、“是否响应”一栏应按实填写，不填写则视为无偏离响应。</w:t>
      </w:r>
    </w:p>
    <w:p>
      <w:pPr>
        <w:spacing w:line="360" w:lineRule="auto"/>
        <w:ind w:firstLine="444" w:firstLineChars="202"/>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2、请在“偏离说明”栏内扼要说明偏离情况。</w:t>
      </w:r>
    </w:p>
    <w:p>
      <w:pPr>
        <w:spacing w:line="360" w:lineRule="auto"/>
        <w:ind w:firstLine="444" w:firstLineChars="202"/>
        <w:rPr>
          <w:rFonts w:hint="eastAsia" w:ascii="宋体" w:hAnsi="宋体" w:eastAsia="宋体"/>
          <w:color w:val="000000" w:themeColor="text1"/>
          <w:sz w:val="22"/>
          <w:lang w:val="en-GB"/>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3、投标人响应合同条款应具体、明确，含糊不清、不确切或伪造、变造证明材料的，按照不完全响应或者完全不响应处理。构成提供虚假材料的，移送监管部门查处，并纳入招标人黑名单，不准参与招标人及相关单位项目。</w:t>
      </w:r>
    </w:p>
    <w:p>
      <w:pPr>
        <w:spacing w:line="360" w:lineRule="auto"/>
        <w:ind w:firstLine="444" w:firstLineChars="202"/>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4、如投标人对招标文件全部合同条款均无偏离，《合同条款响应表》表格内容可留空不予填报，仅需加盖投标人单位公章，即视为全部合同条款无偏离。</w:t>
      </w: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09"/>
        <w:gridCol w:w="23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209" w:type="dxa"/>
          </w:tcPr>
          <w:p>
            <w:pPr>
              <w:overflowPunct w:val="0"/>
              <w:adjustRightInd w:val="0"/>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319"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09"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2319"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keepNext/>
        <w:keepLines/>
        <w:spacing w:line="377" w:lineRule="auto"/>
        <w:rPr>
          <w:rFonts w:hint="eastAsia" w:ascii="宋体" w:hAnsi="宋体" w:eastAsia="宋体"/>
          <w:color w:val="000000" w:themeColor="text1"/>
          <w:sz w:val="22"/>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br w:type="page"/>
      </w:r>
    </w:p>
    <w:p>
      <w:pPr>
        <w:pStyle w:val="3"/>
        <w:keepNext w:val="0"/>
        <w:keepLines w:val="0"/>
        <w:pageBreakBefore/>
        <w:tabs>
          <w:tab w:val="left" w:pos="284"/>
        </w:tabs>
        <w:rPr>
          <w:rStyle w:val="44"/>
          <w:rFonts w:hint="eastAsia" w:ascii="宋体" w:hAnsi="宋体"/>
          <w:b w:val="0"/>
          <w:bCs w:val="0"/>
          <w:spacing w:val="12"/>
          <w:sz w:val="22"/>
          <w:szCs w:val="22"/>
        </w:rPr>
      </w:pPr>
      <w:r>
        <w:rPr>
          <w:rFonts w:hint="eastAsia" w:ascii="宋体" w:hAnsi="宋体"/>
          <w:spacing w:val="12"/>
          <w:sz w:val="22"/>
          <w:szCs w:val="22"/>
        </w:rPr>
        <w:t>13.</w:t>
      </w:r>
      <w:r>
        <w:rPr>
          <w:rStyle w:val="44"/>
          <w:rFonts w:hint="eastAsia" w:ascii="宋体" w:hAnsi="宋体" w:cs="Times New Roman"/>
          <w:b w:val="0"/>
          <w:bCs w:val="0"/>
          <w:spacing w:val="12"/>
          <w:sz w:val="22"/>
          <w:szCs w:val="22"/>
        </w:rPr>
        <w:t>技术</w:t>
      </w:r>
      <w:r>
        <w:rPr>
          <w:rFonts w:hint="eastAsia" w:ascii="宋体" w:hAnsi="宋体" w:cs="黑体"/>
          <w:sz w:val="22"/>
          <w:szCs w:val="24"/>
        </w:rPr>
        <w:t>和服务要求响应表</w:t>
      </w:r>
    </w:p>
    <w:p>
      <w:pPr>
        <w:spacing w:before="624" w:beforeLines="200" w:after="468" w:afterLines="150"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技术和服务要求响应表</w:t>
      </w:r>
    </w:p>
    <w:tbl>
      <w:tblPr>
        <w:tblStyle w:val="41"/>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352"/>
        <w:gridCol w:w="2126"/>
        <w:gridCol w:w="1644"/>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20" w:type="dxa"/>
            <w:vAlign w:val="center"/>
          </w:tcPr>
          <w:p>
            <w:pPr>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序号</w:t>
            </w:r>
          </w:p>
        </w:tc>
        <w:tc>
          <w:tcPr>
            <w:tcW w:w="2352" w:type="dxa"/>
            <w:vAlign w:val="center"/>
          </w:tcPr>
          <w:p>
            <w:pPr>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招标文件要求</w:t>
            </w:r>
          </w:p>
        </w:tc>
        <w:tc>
          <w:tcPr>
            <w:tcW w:w="2126" w:type="dxa"/>
            <w:vAlign w:val="center"/>
          </w:tcPr>
          <w:p>
            <w:pPr>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投标文件响应内容</w:t>
            </w:r>
          </w:p>
        </w:tc>
        <w:tc>
          <w:tcPr>
            <w:tcW w:w="1644" w:type="dxa"/>
            <w:vAlign w:val="center"/>
          </w:tcPr>
          <w:p>
            <w:pPr>
              <w:ind w:left="307" w:hanging="307" w:hangingChars="139"/>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偏离情况</w:t>
            </w:r>
          </w:p>
        </w:tc>
        <w:tc>
          <w:tcPr>
            <w:tcW w:w="1575" w:type="dxa"/>
            <w:vAlign w:val="center"/>
          </w:tcPr>
          <w:p>
            <w:pPr>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20"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352"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126"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644"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575"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20"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352"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126"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644"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575"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20"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352"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126"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644"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575"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20"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352"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126"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644"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575"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0"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352"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2126"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644"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c>
          <w:tcPr>
            <w:tcW w:w="1575" w:type="dxa"/>
            <w:vAlign w:val="center"/>
          </w:tcPr>
          <w:p>
            <w:pPr>
              <w:spacing w:line="360" w:lineRule="auto"/>
              <w:jc w:val="center"/>
              <w:rPr>
                <w:rFonts w:hint="eastAsia" w:ascii="宋体" w:hAnsi="宋体" w:eastAsia="宋体"/>
                <w:color w:val="000000" w:themeColor="text1"/>
                <w:sz w:val="22"/>
                <w14:textFill>
                  <w14:solidFill>
                    <w14:schemeClr w14:val="tx1"/>
                  </w14:solidFill>
                </w14:textFill>
              </w:rPr>
            </w:pPr>
          </w:p>
        </w:tc>
      </w:tr>
    </w:tbl>
    <w:p>
      <w:pPr>
        <w:spacing w:before="156" w:beforeLines="50"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注明：</w:t>
      </w:r>
    </w:p>
    <w:p>
      <w:pPr>
        <w:pStyle w:val="63"/>
        <w:numPr>
          <w:ilvl w:val="0"/>
          <w:numId w:val="36"/>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偏离情况项填写“正”、“负”或“无”，说明项中填写原因。</w:t>
      </w:r>
    </w:p>
    <w:p>
      <w:pPr>
        <w:pStyle w:val="63"/>
        <w:numPr>
          <w:ilvl w:val="0"/>
          <w:numId w:val="36"/>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偏离情况项应按实填写，不填写则视为无偏离响应。</w:t>
      </w:r>
    </w:p>
    <w:p>
      <w:pPr>
        <w:pStyle w:val="63"/>
        <w:numPr>
          <w:ilvl w:val="0"/>
          <w:numId w:val="36"/>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投标人应按照招标文件要求，根据“招标需求书”内容作出全面响应。对响应有偏离的，则说明偏离的内容。</w:t>
      </w:r>
      <w:r>
        <w:rPr>
          <w:rFonts w:hint="eastAsia" w:ascii="宋体" w:hAnsi="宋体" w:eastAsia="宋体" w:cs="Times New Roman"/>
          <w:color w:val="000000" w:themeColor="text1"/>
          <w:sz w:val="22"/>
          <w14:textFill>
            <w14:solidFill>
              <w14:schemeClr w14:val="tx1"/>
            </w14:solidFill>
          </w14:textFill>
        </w:rPr>
        <w:t>“招标需求”内容中若有要求提供相关证明资料的，须按要求提供，否则视为负偏离</w:t>
      </w:r>
      <w:r>
        <w:rPr>
          <w:rFonts w:hint="eastAsia" w:ascii="宋体" w:hAnsi="宋体" w:eastAsia="宋体"/>
          <w:color w:val="000000" w:themeColor="text1"/>
          <w:sz w:val="22"/>
          <w14:textFill>
            <w14:solidFill>
              <w14:schemeClr w14:val="tx1"/>
            </w14:solidFill>
          </w14:textFill>
        </w:rPr>
        <w:t>。</w:t>
      </w:r>
    </w:p>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4）如投标人对招标文件全部技术和服务要求条款均无偏离，《技术和服务要求条款响应表》表格内容可留空不予填报，仅需加盖投标人单位公章，即视为全部技术和服务要求条款无偏离。</w:t>
      </w:r>
    </w:p>
    <w:p>
      <w:pPr>
        <w:spacing w:line="360" w:lineRule="auto"/>
        <w:rPr>
          <w:rFonts w:hint="eastAsia" w:ascii="宋体" w:hAnsi="宋体" w:eastAsia="宋体"/>
          <w:color w:val="000000" w:themeColor="text1"/>
          <w:sz w:val="22"/>
          <w14:textFill>
            <w14:solidFill>
              <w14:schemeClr w14:val="tx1"/>
            </w14:solidFill>
          </w14:textFill>
        </w:rPr>
      </w:pPr>
    </w:p>
    <w:p>
      <w:pPr>
        <w:spacing w:line="360" w:lineRule="auto"/>
        <w:rPr>
          <w:rFonts w:hint="eastAsia" w:ascii="宋体" w:hAnsi="宋体" w:eastAsia="宋体"/>
          <w:color w:val="000000" w:themeColor="text1"/>
          <w:sz w:val="22"/>
          <w14:textFill>
            <w14:solidFill>
              <w14:schemeClr w14:val="tx1"/>
            </w14:solidFill>
          </w14:textFill>
        </w:rPr>
      </w:pP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75"/>
        <w:gridCol w:w="27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5" w:type="dxa"/>
          </w:tcPr>
          <w:p>
            <w:pPr>
              <w:overflowPunct w:val="0"/>
              <w:adjustRightInd w:val="0"/>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753"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5"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2753"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spacing w:line="360" w:lineRule="auto"/>
        <w:rPr>
          <w:rFonts w:hint="eastAsia" w:ascii="宋体" w:hAnsi="宋体" w:eastAsia="宋体"/>
          <w:color w:val="000000" w:themeColor="text1"/>
          <w:sz w:val="22"/>
          <w14:textFill>
            <w14:solidFill>
              <w14:schemeClr w14:val="tx1"/>
            </w14:solidFill>
          </w14:textFill>
        </w:rPr>
      </w:pPr>
    </w:p>
    <w:p>
      <w:pPr>
        <w:pStyle w:val="3"/>
        <w:keepNext w:val="0"/>
        <w:keepLines w:val="0"/>
        <w:pageBreakBefore/>
        <w:tabs>
          <w:tab w:val="left" w:pos="284"/>
        </w:tabs>
        <w:ind w:left="420" w:hanging="420"/>
        <w:rPr>
          <w:rFonts w:hint="eastAsia" w:ascii="宋体" w:hAnsi="宋体"/>
          <w:color w:val="000000" w:themeColor="text1"/>
          <w:spacing w:val="12"/>
          <w:sz w:val="22"/>
          <w:szCs w:val="22"/>
          <w14:textFill>
            <w14:solidFill>
              <w14:schemeClr w14:val="tx1"/>
            </w14:solidFill>
          </w14:textFill>
        </w:rPr>
      </w:pPr>
      <w:r>
        <w:rPr>
          <w:rFonts w:hint="eastAsia" w:ascii="宋体" w:hAnsi="宋体"/>
          <w:color w:val="000000" w:themeColor="text1"/>
          <w:spacing w:val="12"/>
          <w:sz w:val="22"/>
          <w:szCs w:val="22"/>
          <w14:textFill>
            <w14:solidFill>
              <w14:schemeClr w14:val="tx1"/>
            </w14:solidFill>
          </w14:textFill>
        </w:rPr>
        <w:t>14.同类项目一览表</w:t>
      </w:r>
      <w:bookmarkEnd w:id="148"/>
      <w:bookmarkEnd w:id="149"/>
      <w:bookmarkEnd w:id="150"/>
      <w:bookmarkEnd w:id="151"/>
    </w:p>
    <w:p>
      <w:pPr>
        <w:spacing w:before="312" w:beforeLines="100" w:after="468" w:afterLines="150" w:line="360" w:lineRule="auto"/>
        <w:jc w:val="center"/>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同类项目一览表</w:t>
      </w:r>
    </w:p>
    <w:tbl>
      <w:tblPr>
        <w:tblStyle w:val="41"/>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287"/>
        <w:gridCol w:w="1554"/>
        <w:gridCol w:w="1554"/>
        <w:gridCol w:w="1550"/>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71" w:type="pct"/>
            <w:vAlign w:val="center"/>
          </w:tcPr>
          <w:p>
            <w:pPr>
              <w:spacing w:before="156" w:after="156" w:line="240" w:lineRule="exact"/>
              <w:jc w:val="center"/>
              <w:rPr>
                <w:rFonts w:hint="eastAsia" w:ascii="宋体" w:hAnsi="宋体" w:eastAsia="宋体"/>
                <w:b/>
                <w:bCs/>
                <w:color w:val="000000" w:themeColor="text1"/>
                <w:sz w:val="22"/>
                <w14:textFill>
                  <w14:solidFill>
                    <w14:schemeClr w14:val="tx1"/>
                  </w14:solidFill>
                </w14:textFill>
              </w:rPr>
            </w:pPr>
            <w:r>
              <w:rPr>
                <w:rFonts w:ascii="宋体" w:hAnsi="宋体" w:eastAsia="宋体"/>
                <w:b/>
                <w:bCs/>
                <w:color w:val="000000" w:themeColor="text1"/>
                <w:sz w:val="22"/>
                <w14:textFill>
                  <w14:solidFill>
                    <w14:schemeClr w14:val="tx1"/>
                  </w14:solidFill>
                </w14:textFill>
              </w:rPr>
              <w:t>序号</w:t>
            </w:r>
          </w:p>
        </w:tc>
        <w:tc>
          <w:tcPr>
            <w:tcW w:w="1325" w:type="pct"/>
            <w:vAlign w:val="center"/>
          </w:tcPr>
          <w:p>
            <w:pPr>
              <w:spacing w:before="156" w:after="156" w:line="240" w:lineRule="exact"/>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项目名称</w:t>
            </w:r>
          </w:p>
        </w:tc>
        <w:tc>
          <w:tcPr>
            <w:tcW w:w="900" w:type="pct"/>
            <w:vAlign w:val="center"/>
          </w:tcPr>
          <w:p>
            <w:pPr>
              <w:spacing w:before="156" w:after="156" w:line="240" w:lineRule="exact"/>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服务类型</w:t>
            </w:r>
          </w:p>
        </w:tc>
        <w:tc>
          <w:tcPr>
            <w:tcW w:w="900" w:type="pct"/>
            <w:vAlign w:val="center"/>
          </w:tcPr>
          <w:p>
            <w:pPr>
              <w:spacing w:before="156" w:after="156" w:line="240" w:lineRule="exact"/>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合同金额</w:t>
            </w:r>
          </w:p>
        </w:tc>
        <w:tc>
          <w:tcPr>
            <w:tcW w:w="898" w:type="pct"/>
            <w:vAlign w:val="center"/>
          </w:tcPr>
          <w:p>
            <w:pPr>
              <w:spacing w:before="156" w:after="156" w:line="240" w:lineRule="exact"/>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签约时间</w:t>
            </w:r>
          </w:p>
        </w:tc>
        <w:tc>
          <w:tcPr>
            <w:tcW w:w="605" w:type="pct"/>
            <w:vAlign w:val="center"/>
          </w:tcPr>
          <w:p>
            <w:pPr>
              <w:spacing w:before="156" w:after="156" w:line="240" w:lineRule="exact"/>
              <w:jc w:val="center"/>
              <w:rPr>
                <w:rFonts w:hint="eastAsia" w:ascii="宋体" w:hAnsi="宋体" w:eastAsia="宋体"/>
                <w:b/>
                <w:bCs/>
                <w:color w:val="000000" w:themeColor="text1"/>
                <w:sz w:val="22"/>
                <w14:textFill>
                  <w14:solidFill>
                    <w14:schemeClr w14:val="tx1"/>
                  </w14:solidFill>
                </w14:textFill>
              </w:rPr>
            </w:pPr>
            <w:r>
              <w:rPr>
                <w:rFonts w:hint="eastAsia" w:ascii="宋体" w:hAnsi="宋体" w:eastAsia="宋体"/>
                <w:b/>
                <w:bCs/>
                <w:color w:val="000000" w:themeColor="text1"/>
                <w:sz w:val="22"/>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r>
              <w:rPr>
                <w:rFonts w:ascii="宋体" w:hAnsi="宋体" w:eastAsia="宋体" w:cs="宋体"/>
                <w:kern w:val="0"/>
                <w:szCs w:val="21"/>
                <w:lang w:bidi="ar"/>
              </w:rPr>
              <w:t>线下对外交流活动</w:t>
            </w:r>
            <w:r>
              <w:rPr>
                <w:rFonts w:hint="eastAsia" w:ascii="宋体" w:hAnsi="宋体" w:eastAsia="宋体" w:cs="宋体"/>
                <w:kern w:val="0"/>
                <w:szCs w:val="21"/>
                <w:lang w:bidi="ar"/>
              </w:rPr>
              <w:t>/</w:t>
            </w:r>
            <w:r>
              <w:rPr>
                <w:rFonts w:ascii="宋体" w:hAnsi="宋体" w:eastAsia="宋体" w:cs="宋体"/>
                <w:kern w:val="0"/>
                <w:szCs w:val="21"/>
                <w:lang w:bidi="ar"/>
              </w:rPr>
              <w:t>境外团体出行服务</w:t>
            </w: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71"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132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900"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898"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c>
          <w:tcPr>
            <w:tcW w:w="605" w:type="pct"/>
            <w:vAlign w:val="center"/>
          </w:tcPr>
          <w:p>
            <w:pPr>
              <w:spacing w:before="156" w:after="156" w:line="240" w:lineRule="exact"/>
              <w:jc w:val="center"/>
              <w:rPr>
                <w:rFonts w:hint="eastAsia" w:ascii="宋体" w:hAnsi="宋体" w:eastAsia="宋体"/>
                <w:color w:val="000000" w:themeColor="text1"/>
                <w:sz w:val="22"/>
                <w14:textFill>
                  <w14:solidFill>
                    <w14:schemeClr w14:val="tx1"/>
                  </w14:solidFill>
                </w14:textFill>
              </w:rPr>
            </w:pPr>
          </w:p>
        </w:tc>
      </w:tr>
    </w:tbl>
    <w:p>
      <w:pPr>
        <w:spacing w:before="156" w:beforeLines="50"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注明：后附相关资料。需提供证明资料内容详见</w:t>
      </w:r>
      <w:r>
        <w:rPr>
          <w:rFonts w:hint="eastAsia" w:ascii="宋体" w:hAnsi="宋体" w:eastAsia="宋体"/>
          <w:color w:val="000000" w:themeColor="text1"/>
          <w:sz w:val="22"/>
          <w:u w:val="single"/>
          <w14:textFill>
            <w14:solidFill>
              <w14:schemeClr w14:val="tx1"/>
            </w14:solidFill>
          </w14:textFill>
        </w:rPr>
        <w:t>（招标文件第五部分</w:t>
      </w:r>
      <w:r>
        <w:rPr>
          <w:rFonts w:ascii="宋体" w:hAnsi="宋体" w:eastAsia="宋体"/>
          <w:color w:val="000000" w:themeColor="text1"/>
          <w:sz w:val="22"/>
          <w:u w:val="single"/>
          <w14:textFill>
            <w14:solidFill>
              <w14:schemeClr w14:val="tx1"/>
            </w14:solidFill>
          </w14:textFill>
        </w:rPr>
        <w:t xml:space="preserve"> </w:t>
      </w:r>
      <w:r>
        <w:rPr>
          <w:rFonts w:hint="eastAsia" w:ascii="宋体" w:hAnsi="宋体" w:eastAsia="宋体"/>
          <w:color w:val="000000" w:themeColor="text1"/>
          <w:sz w:val="22"/>
          <w:u w:val="single"/>
          <w14:textFill>
            <w14:solidFill>
              <w14:schemeClr w14:val="tx1"/>
            </w14:solidFill>
          </w14:textFill>
        </w:rPr>
        <w:t>评标方法、步骤、标准之</w:t>
      </w:r>
      <w:r>
        <w:rPr>
          <w:rFonts w:hint="eastAsia" w:ascii="宋体" w:hAnsi="宋体" w:eastAsia="宋体"/>
          <w:color w:val="000000" w:themeColor="text1"/>
          <w:kern w:val="0"/>
          <w:sz w:val="22"/>
          <w:u w:val="single"/>
          <w14:textFill>
            <w14:solidFill>
              <w14:schemeClr w14:val="tx1"/>
            </w14:solidFill>
          </w14:textFill>
        </w:rPr>
        <w:t>附表三</w:t>
      </w:r>
      <w:r>
        <w:rPr>
          <w:rFonts w:hint="eastAsia" w:ascii="宋体" w:hAnsi="宋体" w:eastAsia="宋体"/>
          <w:color w:val="000000" w:themeColor="text1"/>
          <w:sz w:val="22"/>
          <w:u w:val="single"/>
          <w14:textFill>
            <w14:solidFill>
              <w14:schemeClr w14:val="tx1"/>
            </w14:solidFill>
          </w14:textFill>
        </w:rPr>
        <w:t>详细评审表相对应条款）</w:t>
      </w:r>
      <w:r>
        <w:rPr>
          <w:rFonts w:ascii="宋体" w:hAnsi="宋体" w:eastAsia="宋体"/>
          <w:color w:val="000000" w:themeColor="text1"/>
          <w:sz w:val="22"/>
          <w:u w:val="single"/>
          <w14:textFill>
            <w14:solidFill>
              <w14:schemeClr w14:val="tx1"/>
            </w14:solidFill>
          </w14:textFill>
        </w:rPr>
        <w:t xml:space="preserve"> </w:t>
      </w:r>
      <w:r>
        <w:rPr>
          <w:rFonts w:hint="eastAsia" w:ascii="宋体" w:hAnsi="宋体" w:eastAsia="宋体"/>
          <w:color w:val="000000" w:themeColor="text1"/>
          <w:sz w:val="22"/>
          <w14:textFill>
            <w14:solidFill>
              <w14:schemeClr w14:val="tx1"/>
            </w14:solidFill>
          </w14:textFill>
        </w:rPr>
        <w:t>。</w:t>
      </w:r>
    </w:p>
    <w:p>
      <w:pPr>
        <w:spacing w:line="360" w:lineRule="auto"/>
        <w:rPr>
          <w:rFonts w:hint="eastAsia" w:ascii="宋体" w:hAnsi="宋体" w:eastAsia="宋体"/>
          <w:color w:val="000000" w:themeColor="text1"/>
          <w:sz w:val="22"/>
          <w14:textFill>
            <w14:solidFill>
              <w14:schemeClr w14:val="tx1"/>
            </w14:solidFill>
          </w14:textFill>
        </w:rPr>
      </w:pPr>
    </w:p>
    <w:p>
      <w:pPr>
        <w:spacing w:line="360" w:lineRule="auto"/>
        <w:rPr>
          <w:rFonts w:hint="eastAsia" w:ascii="宋体" w:hAnsi="宋体" w:eastAsia="宋体"/>
          <w:color w:val="000000" w:themeColor="text1"/>
          <w:sz w:val="22"/>
          <w14:textFill>
            <w14:solidFill>
              <w14:schemeClr w14:val="tx1"/>
            </w14:solidFill>
          </w14:textFill>
        </w:rPr>
      </w:pPr>
    </w:p>
    <w:p>
      <w:pPr>
        <w:spacing w:line="360" w:lineRule="auto"/>
        <w:rPr>
          <w:rFonts w:hint="eastAsia" w:ascii="宋体" w:hAnsi="宋体" w:eastAsia="宋体"/>
          <w:color w:val="000000" w:themeColor="text1"/>
          <w:sz w:val="22"/>
          <w14:textFill>
            <w14:solidFill>
              <w14:schemeClr w14:val="tx1"/>
            </w14:solidFill>
          </w14:textFill>
        </w:rPr>
      </w:pP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64"/>
        <w:gridCol w:w="2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64" w:type="dxa"/>
          </w:tcPr>
          <w:p>
            <w:pPr>
              <w:overflowPunct w:val="0"/>
              <w:adjustRightInd w:val="0"/>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664"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64"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2664"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pStyle w:val="3"/>
        <w:keepNext w:val="0"/>
        <w:keepLines w:val="0"/>
        <w:pageBreakBefore/>
        <w:tabs>
          <w:tab w:val="left" w:pos="284"/>
        </w:tabs>
        <w:ind w:left="420" w:hanging="420"/>
        <w:rPr>
          <w:rFonts w:hint="eastAsia" w:ascii="宋体" w:hAnsi="宋体"/>
          <w:sz w:val="21"/>
        </w:rPr>
      </w:pPr>
      <w:bookmarkStart w:id="152" w:name="_Toc17419"/>
      <w:bookmarkStart w:id="153" w:name="_Toc28816"/>
      <w:r>
        <w:rPr>
          <w:rFonts w:hint="eastAsia" w:ascii="宋体" w:hAnsi="宋体"/>
          <w:color w:val="000000" w:themeColor="text1"/>
          <w:spacing w:val="12"/>
          <w:sz w:val="22"/>
          <w:szCs w:val="22"/>
          <w14:textFill>
            <w14:solidFill>
              <w14:schemeClr w14:val="tx1"/>
            </w14:solidFill>
          </w14:textFill>
        </w:rPr>
        <w:t>15.</w:t>
      </w:r>
      <w:r>
        <w:rPr>
          <w:rStyle w:val="44"/>
          <w:rFonts w:hint="eastAsia" w:ascii="宋体" w:hAnsi="宋体"/>
          <w:b w:val="0"/>
          <w:bCs w:val="0"/>
          <w:color w:val="000000" w:themeColor="text1"/>
          <w:spacing w:val="12"/>
          <w:sz w:val="22"/>
          <w:szCs w:val="22"/>
          <w14:textFill>
            <w14:solidFill>
              <w14:schemeClr w14:val="tx1"/>
            </w14:solidFill>
          </w14:textFill>
        </w:rPr>
        <w:t>拟派</w:t>
      </w:r>
      <w:r>
        <w:rPr>
          <w:rStyle w:val="44"/>
          <w:rFonts w:hint="eastAsia" w:ascii="宋体" w:hAnsi="宋体" w:cs="Times New Roman"/>
          <w:b w:val="0"/>
          <w:bCs w:val="0"/>
          <w:color w:val="000000" w:themeColor="text1"/>
          <w:spacing w:val="12"/>
          <w:sz w:val="22"/>
          <w:szCs w:val="22"/>
          <w14:textFill>
            <w14:solidFill>
              <w14:schemeClr w14:val="tx1"/>
            </w14:solidFill>
          </w14:textFill>
        </w:rPr>
        <w:t>人员</w:t>
      </w:r>
      <w:r>
        <w:rPr>
          <w:rStyle w:val="44"/>
          <w:rFonts w:hint="eastAsia" w:ascii="宋体" w:hAnsi="宋体"/>
          <w:b w:val="0"/>
          <w:bCs w:val="0"/>
          <w:color w:val="000000" w:themeColor="text1"/>
          <w:spacing w:val="12"/>
          <w:sz w:val="22"/>
          <w:szCs w:val="22"/>
          <w14:textFill>
            <w14:solidFill>
              <w14:schemeClr w14:val="tx1"/>
            </w14:solidFill>
          </w14:textFill>
        </w:rPr>
        <w:t>情况一览表</w:t>
      </w:r>
      <w:bookmarkEnd w:id="152"/>
      <w:bookmarkEnd w:id="153"/>
    </w:p>
    <w:p>
      <w:pPr>
        <w:widowControl/>
        <w:jc w:val="center"/>
        <w:rPr>
          <w:rFonts w:hint="eastAsia" w:ascii="宋体" w:hAnsi="宋体" w:eastAsia="宋体"/>
          <w:b/>
          <w:sz w:val="28"/>
          <w:szCs w:val="28"/>
        </w:rPr>
      </w:pPr>
      <w:r>
        <w:rPr>
          <w:rFonts w:hint="eastAsia" w:ascii="宋体" w:hAnsi="宋体" w:eastAsia="宋体"/>
          <w:b/>
          <w:sz w:val="28"/>
          <w:szCs w:val="28"/>
        </w:rPr>
        <w:t>拟投入本项目服务人员明细表</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1716"/>
        <w:gridCol w:w="1495"/>
        <w:gridCol w:w="1995"/>
        <w:gridCol w:w="2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91" w:type="pct"/>
            <w:shd w:val="clear" w:color="auto" w:fill="F1F1F1" w:themeFill="background1" w:themeFillShade="F2"/>
            <w:vAlign w:val="center"/>
          </w:tcPr>
          <w:p>
            <w:pPr>
              <w:autoSpaceDE w:val="0"/>
              <w:autoSpaceDN w:val="0"/>
              <w:spacing w:before="62" w:beforeLines="20" w:after="62" w:afterLines="20"/>
              <w:jc w:val="center"/>
              <w:rPr>
                <w:rFonts w:hint="eastAsia" w:ascii="宋体" w:hAnsi="宋体" w:eastAsia="宋体" w:cs="宋体"/>
                <w:b/>
                <w:bCs/>
                <w:szCs w:val="21"/>
              </w:rPr>
            </w:pPr>
            <w:r>
              <w:rPr>
                <w:rFonts w:hint="eastAsia" w:ascii="宋体" w:hAnsi="宋体" w:eastAsia="宋体" w:cs="宋体"/>
                <w:b/>
                <w:bCs/>
                <w:szCs w:val="21"/>
              </w:rPr>
              <w:t>序号</w:t>
            </w:r>
          </w:p>
        </w:tc>
        <w:tc>
          <w:tcPr>
            <w:tcW w:w="979" w:type="pct"/>
            <w:shd w:val="clear" w:color="auto" w:fill="F1F1F1" w:themeFill="background1" w:themeFillShade="F2"/>
            <w:vAlign w:val="center"/>
          </w:tcPr>
          <w:p>
            <w:pPr>
              <w:autoSpaceDE w:val="0"/>
              <w:autoSpaceDN w:val="0"/>
              <w:spacing w:before="62" w:beforeLines="20" w:after="62" w:afterLines="20"/>
              <w:jc w:val="center"/>
              <w:rPr>
                <w:rFonts w:hint="eastAsia" w:ascii="宋体" w:hAnsi="宋体" w:eastAsia="宋体" w:cs="宋体"/>
                <w:b/>
                <w:bCs/>
                <w:szCs w:val="21"/>
              </w:rPr>
            </w:pPr>
            <w:r>
              <w:rPr>
                <w:rFonts w:hint="eastAsia" w:ascii="宋体" w:hAnsi="宋体" w:eastAsia="宋体" w:cs="宋体"/>
                <w:b/>
                <w:bCs/>
                <w:szCs w:val="21"/>
              </w:rPr>
              <w:t>姓名</w:t>
            </w:r>
          </w:p>
        </w:tc>
        <w:tc>
          <w:tcPr>
            <w:tcW w:w="853" w:type="pct"/>
            <w:shd w:val="clear" w:color="auto" w:fill="F1F1F1" w:themeFill="background1" w:themeFillShade="F2"/>
            <w:vAlign w:val="center"/>
          </w:tcPr>
          <w:p>
            <w:pPr>
              <w:autoSpaceDE w:val="0"/>
              <w:autoSpaceDN w:val="0"/>
              <w:spacing w:before="62" w:beforeLines="20" w:after="62" w:afterLines="20"/>
              <w:jc w:val="center"/>
              <w:rPr>
                <w:rFonts w:hint="eastAsia" w:ascii="宋体" w:hAnsi="宋体" w:eastAsia="宋体" w:cs="宋体"/>
                <w:b/>
                <w:bCs/>
                <w:szCs w:val="21"/>
              </w:rPr>
            </w:pPr>
            <w:r>
              <w:rPr>
                <w:rFonts w:hint="eastAsia" w:ascii="宋体" w:hAnsi="宋体" w:eastAsia="宋体" w:cs="宋体"/>
                <w:b/>
                <w:bCs/>
                <w:szCs w:val="21"/>
              </w:rPr>
              <w:t>学历</w:t>
            </w:r>
          </w:p>
        </w:tc>
        <w:tc>
          <w:tcPr>
            <w:tcW w:w="1138" w:type="pct"/>
            <w:shd w:val="clear" w:color="auto" w:fill="F1F1F1" w:themeFill="background1" w:themeFillShade="F2"/>
            <w:vAlign w:val="center"/>
          </w:tcPr>
          <w:p>
            <w:pPr>
              <w:autoSpaceDE w:val="0"/>
              <w:autoSpaceDN w:val="0"/>
              <w:spacing w:before="62" w:beforeLines="20" w:after="62" w:afterLines="20"/>
              <w:jc w:val="center"/>
              <w:rPr>
                <w:rFonts w:hint="eastAsia" w:ascii="宋体" w:hAnsi="宋体" w:eastAsia="宋体" w:cs="宋体"/>
                <w:b/>
                <w:bCs/>
                <w:szCs w:val="21"/>
              </w:rPr>
            </w:pPr>
            <w:r>
              <w:rPr>
                <w:rFonts w:hint="eastAsia" w:ascii="宋体" w:hAnsi="宋体" w:eastAsia="宋体" w:cs="宋体"/>
                <w:b/>
                <w:bCs/>
                <w:szCs w:val="21"/>
              </w:rPr>
              <w:t>专业</w:t>
            </w:r>
          </w:p>
        </w:tc>
        <w:tc>
          <w:tcPr>
            <w:tcW w:w="1538" w:type="pct"/>
            <w:shd w:val="clear" w:color="auto" w:fill="F1F1F1" w:themeFill="background1" w:themeFillShade="F2"/>
            <w:vAlign w:val="center"/>
          </w:tcPr>
          <w:p>
            <w:pPr>
              <w:autoSpaceDE w:val="0"/>
              <w:autoSpaceDN w:val="0"/>
              <w:spacing w:before="62" w:beforeLines="20" w:after="62" w:afterLines="20"/>
              <w:jc w:val="center"/>
              <w:rPr>
                <w:rFonts w:hint="eastAsia" w:ascii="宋体" w:hAnsi="宋体" w:eastAsia="宋体" w:cs="宋体"/>
                <w:b/>
                <w:bCs/>
                <w:szCs w:val="21"/>
              </w:rPr>
            </w:pPr>
            <w:r>
              <w:rPr>
                <w:rFonts w:hint="eastAsia" w:ascii="宋体" w:hAnsi="宋体" w:eastAsia="宋体" w:cs="宋体"/>
                <w:b/>
                <w:bCs/>
                <w:szCs w:val="21"/>
              </w:rPr>
              <w:t>工作经验（年）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91" w:type="pct"/>
            <w:vAlign w:val="center"/>
          </w:tcPr>
          <w:p>
            <w:pPr>
              <w:autoSpaceDE w:val="0"/>
              <w:autoSpaceDN w:val="0"/>
              <w:spacing w:before="62" w:beforeLines="20" w:after="62" w:afterLines="20"/>
              <w:jc w:val="center"/>
              <w:rPr>
                <w:rFonts w:hint="eastAsia" w:ascii="宋体" w:hAnsi="宋体" w:eastAsia="宋体" w:cs="宋体"/>
                <w:szCs w:val="21"/>
              </w:rPr>
            </w:pPr>
            <w:r>
              <w:rPr>
                <w:rFonts w:hint="eastAsia" w:ascii="宋体" w:hAnsi="宋体" w:eastAsia="宋体" w:cs="宋体"/>
                <w:szCs w:val="21"/>
              </w:rPr>
              <w:t>示例1</w:t>
            </w:r>
          </w:p>
        </w:tc>
        <w:tc>
          <w:tcPr>
            <w:tcW w:w="979" w:type="pct"/>
            <w:vAlign w:val="center"/>
          </w:tcPr>
          <w:p>
            <w:pPr>
              <w:autoSpaceDE w:val="0"/>
              <w:autoSpaceDN w:val="0"/>
              <w:spacing w:before="62" w:beforeLines="20" w:after="62" w:afterLines="20"/>
              <w:jc w:val="center"/>
              <w:rPr>
                <w:rFonts w:hint="eastAsia" w:ascii="宋体" w:hAnsi="宋体" w:eastAsia="宋体" w:cs="宋体"/>
                <w:szCs w:val="21"/>
              </w:rPr>
            </w:pPr>
            <w:r>
              <w:rPr>
                <w:rFonts w:hint="eastAsia" w:ascii="宋体" w:hAnsi="宋体" w:eastAsia="宋体" w:cs="宋体"/>
                <w:szCs w:val="21"/>
              </w:rPr>
              <w:t>张三</w:t>
            </w:r>
          </w:p>
        </w:tc>
        <w:tc>
          <w:tcPr>
            <w:tcW w:w="853" w:type="pct"/>
            <w:vAlign w:val="center"/>
          </w:tcPr>
          <w:p>
            <w:pPr>
              <w:autoSpaceDE w:val="0"/>
              <w:autoSpaceDN w:val="0"/>
              <w:spacing w:before="62" w:beforeLines="20" w:after="62" w:afterLines="20"/>
              <w:jc w:val="center"/>
              <w:rPr>
                <w:rFonts w:hint="eastAsia" w:ascii="宋体" w:hAnsi="宋体" w:eastAsia="宋体" w:cs="宋体"/>
                <w:szCs w:val="21"/>
              </w:rPr>
            </w:pPr>
            <w:r>
              <w:rPr>
                <w:rFonts w:hint="eastAsia" w:ascii="宋体" w:hAnsi="宋体" w:eastAsia="宋体" w:cs="宋体"/>
                <w:szCs w:val="21"/>
              </w:rPr>
              <w:t>本科</w:t>
            </w:r>
          </w:p>
        </w:tc>
        <w:tc>
          <w:tcPr>
            <w:tcW w:w="1138" w:type="pct"/>
            <w:vAlign w:val="center"/>
          </w:tcPr>
          <w:p>
            <w:pPr>
              <w:autoSpaceDE w:val="0"/>
              <w:autoSpaceDN w:val="0"/>
              <w:spacing w:before="62" w:beforeLines="20" w:after="62" w:afterLines="20"/>
              <w:jc w:val="center"/>
              <w:rPr>
                <w:rFonts w:hint="eastAsia" w:ascii="宋体" w:hAnsi="宋体" w:eastAsia="宋体" w:cs="宋体"/>
                <w:szCs w:val="21"/>
              </w:rPr>
            </w:pPr>
            <w:r>
              <w:rPr>
                <w:rFonts w:hint="eastAsia" w:ascii="宋体" w:hAnsi="宋体" w:eastAsia="宋体" w:cs="宋体"/>
                <w:szCs w:val="21"/>
              </w:rPr>
              <w:t>工商管理</w:t>
            </w:r>
          </w:p>
        </w:tc>
        <w:tc>
          <w:tcPr>
            <w:tcW w:w="1538" w:type="pct"/>
            <w:vAlign w:val="center"/>
          </w:tcPr>
          <w:p>
            <w:pPr>
              <w:autoSpaceDE w:val="0"/>
              <w:autoSpaceDN w:val="0"/>
              <w:spacing w:before="62" w:beforeLines="20" w:after="62" w:afterLines="20"/>
              <w:jc w:val="center"/>
              <w:rPr>
                <w:rFonts w:hint="eastAsia"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91" w:type="pct"/>
            <w:vAlign w:val="center"/>
          </w:tcPr>
          <w:p>
            <w:pPr>
              <w:autoSpaceDE w:val="0"/>
              <w:autoSpaceDN w:val="0"/>
              <w:spacing w:before="62" w:beforeLines="20" w:after="62" w:afterLines="20"/>
              <w:jc w:val="center"/>
              <w:rPr>
                <w:rFonts w:hint="eastAsia" w:ascii="宋体" w:hAnsi="宋体" w:eastAsia="宋体" w:cs="宋体"/>
                <w:szCs w:val="21"/>
              </w:rPr>
            </w:pPr>
            <w:r>
              <w:rPr>
                <w:rFonts w:hint="eastAsia" w:ascii="宋体" w:hAnsi="宋体" w:eastAsia="宋体" w:cs="宋体"/>
                <w:szCs w:val="21"/>
              </w:rPr>
              <w:t>2</w:t>
            </w:r>
          </w:p>
        </w:tc>
        <w:tc>
          <w:tcPr>
            <w:tcW w:w="979" w:type="pct"/>
            <w:vAlign w:val="center"/>
          </w:tcPr>
          <w:p>
            <w:pPr>
              <w:autoSpaceDE w:val="0"/>
              <w:autoSpaceDN w:val="0"/>
              <w:spacing w:before="62" w:beforeLines="20" w:after="62" w:afterLines="20"/>
              <w:jc w:val="center"/>
              <w:rPr>
                <w:rFonts w:hint="eastAsia" w:ascii="宋体" w:hAnsi="宋体" w:eastAsia="宋体" w:cs="宋体"/>
                <w:szCs w:val="21"/>
              </w:rPr>
            </w:pPr>
          </w:p>
        </w:tc>
        <w:tc>
          <w:tcPr>
            <w:tcW w:w="853"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138"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538" w:type="pct"/>
            <w:vAlign w:val="center"/>
          </w:tcPr>
          <w:p>
            <w:pPr>
              <w:autoSpaceDE w:val="0"/>
              <w:autoSpaceDN w:val="0"/>
              <w:spacing w:before="62" w:beforeLines="20" w:after="62" w:afterLines="2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91" w:type="pct"/>
            <w:vAlign w:val="center"/>
          </w:tcPr>
          <w:p>
            <w:pPr>
              <w:autoSpaceDE w:val="0"/>
              <w:autoSpaceDN w:val="0"/>
              <w:spacing w:before="62" w:beforeLines="20" w:after="62" w:afterLines="20"/>
              <w:jc w:val="center"/>
              <w:rPr>
                <w:rFonts w:hint="eastAsia" w:ascii="宋体" w:hAnsi="宋体" w:eastAsia="宋体" w:cs="宋体"/>
                <w:szCs w:val="21"/>
              </w:rPr>
            </w:pPr>
            <w:r>
              <w:rPr>
                <w:rFonts w:hint="eastAsia" w:ascii="宋体" w:hAnsi="宋体" w:eastAsia="宋体" w:cs="宋体"/>
                <w:szCs w:val="21"/>
              </w:rPr>
              <w:t>……</w:t>
            </w:r>
          </w:p>
        </w:tc>
        <w:tc>
          <w:tcPr>
            <w:tcW w:w="979" w:type="pct"/>
            <w:vAlign w:val="center"/>
          </w:tcPr>
          <w:p>
            <w:pPr>
              <w:autoSpaceDE w:val="0"/>
              <w:autoSpaceDN w:val="0"/>
              <w:spacing w:before="62" w:beforeLines="20" w:after="62" w:afterLines="20"/>
              <w:jc w:val="center"/>
              <w:rPr>
                <w:rFonts w:hint="eastAsia" w:ascii="宋体" w:hAnsi="宋体" w:eastAsia="宋体" w:cs="宋体"/>
                <w:szCs w:val="21"/>
              </w:rPr>
            </w:pPr>
          </w:p>
        </w:tc>
        <w:tc>
          <w:tcPr>
            <w:tcW w:w="853"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138"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538" w:type="pct"/>
            <w:vAlign w:val="center"/>
          </w:tcPr>
          <w:p>
            <w:pPr>
              <w:autoSpaceDE w:val="0"/>
              <w:autoSpaceDN w:val="0"/>
              <w:spacing w:before="62" w:beforeLines="20" w:after="62" w:afterLines="2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91" w:type="pct"/>
            <w:vAlign w:val="center"/>
          </w:tcPr>
          <w:p>
            <w:pPr>
              <w:autoSpaceDE w:val="0"/>
              <w:autoSpaceDN w:val="0"/>
              <w:spacing w:before="62" w:beforeLines="20" w:after="62" w:afterLines="20"/>
              <w:jc w:val="center"/>
              <w:rPr>
                <w:rFonts w:hint="eastAsia" w:ascii="宋体" w:hAnsi="宋体" w:eastAsia="宋体" w:cs="宋体"/>
                <w:szCs w:val="21"/>
              </w:rPr>
            </w:pPr>
          </w:p>
        </w:tc>
        <w:tc>
          <w:tcPr>
            <w:tcW w:w="979" w:type="pct"/>
            <w:vAlign w:val="center"/>
          </w:tcPr>
          <w:p>
            <w:pPr>
              <w:autoSpaceDE w:val="0"/>
              <w:autoSpaceDN w:val="0"/>
              <w:spacing w:before="62" w:beforeLines="20" w:after="62" w:afterLines="20"/>
              <w:jc w:val="center"/>
              <w:rPr>
                <w:rFonts w:hint="eastAsia" w:ascii="宋体" w:hAnsi="宋体" w:eastAsia="宋体" w:cs="宋体"/>
                <w:szCs w:val="21"/>
              </w:rPr>
            </w:pPr>
          </w:p>
        </w:tc>
        <w:tc>
          <w:tcPr>
            <w:tcW w:w="853"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138"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538" w:type="pct"/>
            <w:vAlign w:val="center"/>
          </w:tcPr>
          <w:p>
            <w:pPr>
              <w:autoSpaceDE w:val="0"/>
              <w:autoSpaceDN w:val="0"/>
              <w:spacing w:before="62" w:beforeLines="20" w:after="62" w:afterLines="2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91" w:type="pct"/>
            <w:vAlign w:val="center"/>
          </w:tcPr>
          <w:p>
            <w:pPr>
              <w:autoSpaceDE w:val="0"/>
              <w:autoSpaceDN w:val="0"/>
              <w:spacing w:before="62" w:beforeLines="20" w:after="62" w:afterLines="20"/>
              <w:jc w:val="center"/>
              <w:rPr>
                <w:rFonts w:hint="eastAsia" w:ascii="宋体" w:hAnsi="宋体" w:eastAsia="宋体" w:cs="宋体"/>
                <w:szCs w:val="21"/>
              </w:rPr>
            </w:pPr>
          </w:p>
        </w:tc>
        <w:tc>
          <w:tcPr>
            <w:tcW w:w="979" w:type="pct"/>
            <w:vAlign w:val="center"/>
          </w:tcPr>
          <w:p>
            <w:pPr>
              <w:autoSpaceDE w:val="0"/>
              <w:autoSpaceDN w:val="0"/>
              <w:spacing w:before="62" w:beforeLines="20" w:after="62" w:afterLines="20"/>
              <w:jc w:val="center"/>
              <w:rPr>
                <w:rFonts w:hint="eastAsia" w:ascii="宋体" w:hAnsi="宋体" w:eastAsia="宋体" w:cs="宋体"/>
                <w:szCs w:val="21"/>
              </w:rPr>
            </w:pPr>
          </w:p>
        </w:tc>
        <w:tc>
          <w:tcPr>
            <w:tcW w:w="853"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138"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538" w:type="pct"/>
            <w:vAlign w:val="center"/>
          </w:tcPr>
          <w:p>
            <w:pPr>
              <w:autoSpaceDE w:val="0"/>
              <w:autoSpaceDN w:val="0"/>
              <w:spacing w:before="62" w:beforeLines="20" w:after="62" w:afterLines="20"/>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91" w:type="pct"/>
            <w:vAlign w:val="center"/>
          </w:tcPr>
          <w:p>
            <w:pPr>
              <w:autoSpaceDE w:val="0"/>
              <w:autoSpaceDN w:val="0"/>
              <w:spacing w:before="62" w:beforeLines="20" w:after="62" w:afterLines="20"/>
              <w:jc w:val="center"/>
              <w:rPr>
                <w:rFonts w:hint="eastAsia" w:ascii="宋体" w:hAnsi="宋体" w:eastAsia="宋体" w:cs="宋体"/>
                <w:szCs w:val="21"/>
              </w:rPr>
            </w:pPr>
          </w:p>
        </w:tc>
        <w:tc>
          <w:tcPr>
            <w:tcW w:w="979" w:type="pct"/>
            <w:vAlign w:val="center"/>
          </w:tcPr>
          <w:p>
            <w:pPr>
              <w:autoSpaceDE w:val="0"/>
              <w:autoSpaceDN w:val="0"/>
              <w:spacing w:before="62" w:beforeLines="20" w:after="62" w:afterLines="20"/>
              <w:jc w:val="center"/>
              <w:rPr>
                <w:rFonts w:hint="eastAsia" w:ascii="宋体" w:hAnsi="宋体" w:eastAsia="宋体" w:cs="宋体"/>
                <w:szCs w:val="21"/>
              </w:rPr>
            </w:pPr>
          </w:p>
        </w:tc>
        <w:tc>
          <w:tcPr>
            <w:tcW w:w="853"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138" w:type="pct"/>
            <w:vAlign w:val="center"/>
          </w:tcPr>
          <w:p>
            <w:pPr>
              <w:autoSpaceDE w:val="0"/>
              <w:autoSpaceDN w:val="0"/>
              <w:spacing w:before="62" w:beforeLines="20" w:after="62" w:afterLines="20"/>
              <w:jc w:val="center"/>
              <w:rPr>
                <w:rFonts w:hint="eastAsia" w:ascii="宋体" w:hAnsi="宋体" w:eastAsia="宋体" w:cs="宋体"/>
                <w:szCs w:val="21"/>
              </w:rPr>
            </w:pPr>
          </w:p>
        </w:tc>
        <w:tc>
          <w:tcPr>
            <w:tcW w:w="1538" w:type="pct"/>
            <w:vAlign w:val="center"/>
          </w:tcPr>
          <w:p>
            <w:pPr>
              <w:autoSpaceDE w:val="0"/>
              <w:autoSpaceDN w:val="0"/>
              <w:spacing w:before="62" w:beforeLines="20" w:after="62" w:afterLines="20"/>
              <w:jc w:val="center"/>
              <w:rPr>
                <w:rFonts w:hint="eastAsia" w:ascii="宋体" w:hAnsi="宋体" w:eastAsia="宋体" w:cs="宋体"/>
                <w:szCs w:val="21"/>
              </w:rPr>
            </w:pPr>
          </w:p>
        </w:tc>
      </w:tr>
    </w:tbl>
    <w:p>
      <w:pPr>
        <w:pStyle w:val="17"/>
        <w:overflowPunct w:val="0"/>
        <w:spacing w:before="156" w:beforeLines="50" w:after="0" w:line="360" w:lineRule="auto"/>
        <w:rPr>
          <w:rFonts w:hint="eastAsia"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注明：后附相关资料。需提供证明资料内容详见</w:t>
      </w:r>
      <w:r>
        <w:rPr>
          <w:rFonts w:hint="eastAsia" w:ascii="宋体" w:hAnsi="宋体"/>
          <w:color w:val="000000" w:themeColor="text1"/>
          <w:sz w:val="22"/>
          <w:szCs w:val="22"/>
          <w:u w:val="single"/>
          <w14:textFill>
            <w14:solidFill>
              <w14:schemeClr w14:val="tx1"/>
            </w14:solidFill>
          </w14:textFill>
        </w:rPr>
        <w:t>（招标文件第五部分</w:t>
      </w:r>
      <w:r>
        <w:rPr>
          <w:rFonts w:ascii="宋体" w:hAnsi="宋体"/>
          <w:color w:val="000000" w:themeColor="text1"/>
          <w:sz w:val="22"/>
          <w:szCs w:val="22"/>
          <w:u w:val="single"/>
          <w14:textFill>
            <w14:solidFill>
              <w14:schemeClr w14:val="tx1"/>
            </w14:solidFill>
          </w14:textFill>
        </w:rPr>
        <w:t xml:space="preserve"> </w:t>
      </w:r>
      <w:r>
        <w:rPr>
          <w:rFonts w:hint="eastAsia" w:ascii="宋体" w:hAnsi="宋体"/>
          <w:color w:val="000000" w:themeColor="text1"/>
          <w:sz w:val="22"/>
          <w:szCs w:val="22"/>
          <w:u w:val="single"/>
          <w14:textFill>
            <w14:solidFill>
              <w14:schemeClr w14:val="tx1"/>
            </w14:solidFill>
          </w14:textFill>
        </w:rPr>
        <w:t>评标方法、步骤、标准之</w:t>
      </w:r>
      <w:r>
        <w:rPr>
          <w:rFonts w:hint="eastAsia" w:ascii="宋体" w:hAnsi="宋体"/>
          <w:color w:val="000000" w:themeColor="text1"/>
          <w:kern w:val="0"/>
          <w:sz w:val="22"/>
          <w:szCs w:val="22"/>
          <w:u w:val="single"/>
          <w14:textFill>
            <w14:solidFill>
              <w14:schemeClr w14:val="tx1"/>
            </w14:solidFill>
          </w14:textFill>
        </w:rPr>
        <w:t>附表三</w:t>
      </w:r>
      <w:r>
        <w:rPr>
          <w:rFonts w:hint="eastAsia" w:ascii="宋体" w:hAnsi="宋体"/>
          <w:color w:val="000000" w:themeColor="text1"/>
          <w:sz w:val="22"/>
          <w:szCs w:val="22"/>
          <w:u w:val="single"/>
          <w14:textFill>
            <w14:solidFill>
              <w14:schemeClr w14:val="tx1"/>
            </w14:solidFill>
          </w14:textFill>
        </w:rPr>
        <w:t>详细评审表相对应条款）</w:t>
      </w:r>
      <w:r>
        <w:rPr>
          <w:rFonts w:ascii="宋体" w:hAnsi="宋体"/>
          <w:color w:val="000000" w:themeColor="text1"/>
          <w:sz w:val="22"/>
          <w:szCs w:val="22"/>
          <w:u w:val="single"/>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w:t>
      </w:r>
    </w:p>
    <w:p>
      <w:pPr>
        <w:spacing w:line="360" w:lineRule="auto"/>
        <w:rPr>
          <w:rFonts w:hint="eastAsia" w:ascii="宋体" w:hAnsi="宋体" w:eastAsia="宋体"/>
          <w:color w:val="000000" w:themeColor="text1"/>
          <w:sz w:val="22"/>
          <w:szCs w:val="24"/>
          <w14:textFill>
            <w14:solidFill>
              <w14:schemeClr w14:val="tx1"/>
            </w14:solidFill>
          </w14:textFill>
        </w:rPr>
      </w:pPr>
    </w:p>
    <w:p>
      <w:pPr>
        <w:spacing w:line="360" w:lineRule="auto"/>
        <w:rPr>
          <w:rFonts w:hint="eastAsia" w:ascii="宋体" w:hAnsi="宋体" w:eastAsia="宋体"/>
          <w:color w:val="000000" w:themeColor="text1"/>
          <w:sz w:val="22"/>
          <w:szCs w:val="24"/>
          <w14:textFill>
            <w14:solidFill>
              <w14:schemeClr w14:val="tx1"/>
            </w14:solidFill>
          </w14:textFill>
        </w:rPr>
      </w:pPr>
    </w:p>
    <w:p>
      <w:pPr>
        <w:spacing w:line="360" w:lineRule="auto"/>
        <w:rPr>
          <w:rFonts w:hint="eastAsia" w:ascii="宋体" w:hAnsi="宋体" w:eastAsia="宋体"/>
          <w:color w:val="000000" w:themeColor="text1"/>
          <w:sz w:val="22"/>
          <w:szCs w:val="24"/>
          <w14:textFill>
            <w14:solidFill>
              <w14:schemeClr w14:val="tx1"/>
            </w14:solidFill>
          </w14:textFill>
        </w:rPr>
      </w:pP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37"/>
        <w:gridCol w:w="2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37" w:type="dxa"/>
          </w:tcPr>
          <w:p>
            <w:pPr>
              <w:overflowPunct w:val="0"/>
              <w:adjustRightInd w:val="0"/>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691"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837"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2691"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54" w:name="_Toc23765"/>
      <w:bookmarkStart w:id="155" w:name="_Toc15722"/>
      <w:bookmarkStart w:id="156" w:name="_Toc82388833"/>
      <w:r>
        <w:rPr>
          <w:rFonts w:hint="eastAsia" w:ascii="宋体" w:hAnsi="宋体"/>
          <w:color w:val="000000" w:themeColor="text1"/>
          <w:spacing w:val="12"/>
          <w:sz w:val="22"/>
          <w:szCs w:val="22"/>
          <w14:textFill>
            <w14:solidFill>
              <w14:schemeClr w14:val="tx1"/>
            </w14:solidFill>
          </w14:textFill>
        </w:rPr>
        <w:t>16.</w:t>
      </w:r>
      <w:r>
        <w:rPr>
          <w:rStyle w:val="44"/>
          <w:rFonts w:hint="eastAsia" w:ascii="宋体" w:hAnsi="宋体" w:cs="Times New Roman"/>
          <w:b w:val="0"/>
          <w:bCs w:val="0"/>
          <w:color w:val="000000" w:themeColor="text1"/>
          <w:spacing w:val="12"/>
          <w:sz w:val="22"/>
          <w:szCs w:val="22"/>
          <w14:textFill>
            <w14:solidFill>
              <w14:schemeClr w14:val="tx1"/>
            </w14:solidFill>
          </w14:textFill>
        </w:rPr>
        <w:t>服务</w:t>
      </w:r>
      <w:r>
        <w:rPr>
          <w:rStyle w:val="44"/>
          <w:rFonts w:hint="eastAsia" w:ascii="宋体" w:hAnsi="宋体"/>
          <w:b w:val="0"/>
          <w:bCs w:val="0"/>
          <w:color w:val="000000" w:themeColor="text1"/>
          <w:spacing w:val="12"/>
          <w:sz w:val="22"/>
          <w:szCs w:val="22"/>
          <w14:textFill>
            <w14:solidFill>
              <w14:schemeClr w14:val="tx1"/>
            </w14:solidFill>
          </w14:textFill>
        </w:rPr>
        <w:t>方案</w:t>
      </w:r>
      <w:bookmarkEnd w:id="154"/>
      <w:bookmarkEnd w:id="155"/>
    </w:p>
    <w:p>
      <w:pPr>
        <w:rPr>
          <w:rStyle w:val="44"/>
          <w:rFonts w:hint="eastAsia" w:ascii="宋体" w:hAnsi="宋体" w:eastAsia="宋体" w:cstheme="majorBidi"/>
          <w:color w:val="000000" w:themeColor="text1"/>
          <w:spacing w:val="12"/>
          <w:sz w:val="22"/>
          <w14:textFill>
            <w14:solidFill>
              <w14:schemeClr w14:val="tx1"/>
            </w14:solidFill>
          </w14:textFill>
        </w:rPr>
      </w:pPr>
      <w:r>
        <w:rPr>
          <w:rStyle w:val="44"/>
          <w:rFonts w:hint="eastAsia" w:ascii="宋体" w:hAnsi="宋体" w:eastAsia="宋体" w:cstheme="majorBidi"/>
          <w:color w:val="000000" w:themeColor="text1"/>
          <w:spacing w:val="12"/>
          <w:sz w:val="22"/>
          <w14:textFill>
            <w14:solidFill>
              <w14:schemeClr w14:val="tx1"/>
            </w14:solidFill>
          </w14:textFill>
        </w:rPr>
        <w:t>投标人根据自身情况和招标文件要求自拟。</w:t>
      </w:r>
    </w:p>
    <w:bookmarkEnd w:id="118"/>
    <w:bookmarkEnd w:id="156"/>
    <w:p>
      <w:pPr>
        <w:pStyle w:val="3"/>
        <w:keepNext w:val="0"/>
        <w:keepLines w:val="0"/>
        <w:pageBreakBefore/>
        <w:tabs>
          <w:tab w:val="left" w:pos="284"/>
        </w:tabs>
        <w:ind w:left="420" w:hanging="420"/>
        <w:rPr>
          <w:rStyle w:val="44"/>
          <w:rFonts w:hint="eastAsia" w:ascii="宋体" w:hAnsi="宋体"/>
          <w:b w:val="0"/>
          <w:bCs w:val="0"/>
          <w:color w:val="000000" w:themeColor="text1"/>
          <w:spacing w:val="12"/>
          <w:sz w:val="22"/>
          <w:szCs w:val="22"/>
          <w14:textFill>
            <w14:solidFill>
              <w14:schemeClr w14:val="tx1"/>
            </w14:solidFill>
          </w14:textFill>
        </w:rPr>
      </w:pPr>
      <w:bookmarkStart w:id="157" w:name="_Toc164863468"/>
      <w:bookmarkStart w:id="158" w:name="_Toc16983"/>
      <w:bookmarkStart w:id="159" w:name="_Toc21869"/>
      <w:bookmarkStart w:id="160" w:name="_Toc29690"/>
      <w:r>
        <w:rPr>
          <w:rFonts w:hint="eastAsia" w:ascii="宋体" w:hAnsi="宋体"/>
          <w:color w:val="000000" w:themeColor="text1"/>
          <w:spacing w:val="12"/>
          <w:sz w:val="22"/>
          <w:szCs w:val="22"/>
          <w14:textFill>
            <w14:solidFill>
              <w14:schemeClr w14:val="tx1"/>
            </w14:solidFill>
          </w14:textFill>
        </w:rPr>
        <w:t>17.</w:t>
      </w:r>
      <w:r>
        <w:rPr>
          <w:rStyle w:val="44"/>
          <w:rFonts w:hint="eastAsia" w:ascii="宋体" w:hAnsi="宋体"/>
          <w:b w:val="0"/>
          <w:bCs w:val="0"/>
          <w:color w:val="000000" w:themeColor="text1"/>
          <w:spacing w:val="12"/>
          <w:sz w:val="22"/>
          <w:szCs w:val="22"/>
          <w14:textFill>
            <w14:solidFill>
              <w14:schemeClr w14:val="tx1"/>
            </w14:solidFill>
          </w14:textFill>
        </w:rPr>
        <w:t>★号</w:t>
      </w:r>
      <w:r>
        <w:rPr>
          <w:rStyle w:val="44"/>
          <w:rFonts w:hint="eastAsia" w:ascii="宋体" w:hAnsi="宋体" w:cs="Times New Roman"/>
          <w:b w:val="0"/>
          <w:bCs w:val="0"/>
          <w:color w:val="000000" w:themeColor="text1"/>
          <w:spacing w:val="12"/>
          <w:sz w:val="22"/>
          <w:szCs w:val="22"/>
          <w14:textFill>
            <w14:solidFill>
              <w14:schemeClr w14:val="tx1"/>
            </w14:solidFill>
          </w14:textFill>
        </w:rPr>
        <w:t>条款</w:t>
      </w:r>
      <w:r>
        <w:rPr>
          <w:rStyle w:val="44"/>
          <w:rFonts w:hint="eastAsia" w:ascii="宋体" w:hAnsi="宋体"/>
          <w:b w:val="0"/>
          <w:bCs w:val="0"/>
          <w:color w:val="000000" w:themeColor="text1"/>
          <w:spacing w:val="12"/>
          <w:sz w:val="22"/>
          <w:szCs w:val="22"/>
          <w14:textFill>
            <w14:solidFill>
              <w14:schemeClr w14:val="tx1"/>
            </w14:solidFill>
          </w14:textFill>
        </w:rPr>
        <w:t>要求响应一览表</w:t>
      </w:r>
    </w:p>
    <w:p>
      <w:pPr>
        <w:spacing w:before="312" w:beforeLines="100" w:after="312" w:afterLines="100"/>
        <w:jc w:val="center"/>
        <w:rPr>
          <w:rFonts w:hint="eastAsia" w:ascii="宋体" w:hAnsi="宋体" w:eastAsia="宋体" w:cs="Times New Roman"/>
          <w:b/>
          <w:color w:val="000000" w:themeColor="text1"/>
          <w:spacing w:val="20"/>
          <w:sz w:val="32"/>
          <w:szCs w:val="32"/>
          <w14:textFill>
            <w14:solidFill>
              <w14:schemeClr w14:val="tx1"/>
            </w14:solidFill>
          </w14:textFill>
        </w:rPr>
      </w:pPr>
      <w:r>
        <w:rPr>
          <w:rFonts w:hint="eastAsia" w:ascii="宋体" w:hAnsi="宋体" w:eastAsia="宋体" w:cs="Times New Roman"/>
          <w:b/>
          <w:color w:val="000000" w:themeColor="text1"/>
          <w:spacing w:val="20"/>
          <w:sz w:val="32"/>
          <w:szCs w:val="32"/>
          <w14:textFill>
            <w14:solidFill>
              <w14:schemeClr w14:val="tx1"/>
            </w14:solidFill>
          </w14:textFill>
        </w:rPr>
        <w:t>★号条款响应一览表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3190"/>
        <w:gridCol w:w="1843"/>
        <w:gridCol w:w="1843"/>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0" w:type="auto"/>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序号</w:t>
            </w:r>
          </w:p>
        </w:tc>
        <w:tc>
          <w:tcPr>
            <w:tcW w:w="3190" w:type="dxa"/>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招标需求★号条款要求</w:t>
            </w:r>
          </w:p>
        </w:tc>
        <w:tc>
          <w:tcPr>
            <w:tcW w:w="1843" w:type="dxa"/>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投标人响应内容</w:t>
            </w:r>
          </w:p>
        </w:tc>
        <w:tc>
          <w:tcPr>
            <w:tcW w:w="1843" w:type="dxa"/>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偏离情况及说明</w:t>
            </w:r>
          </w:p>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(正偏离/</w:t>
            </w:r>
            <w:r>
              <w:rPr>
                <w:rFonts w:hint="eastAsia" w:ascii="宋体" w:hAnsi="宋体" w:eastAsia="宋体"/>
                <w:color w:val="000000" w:themeColor="text1"/>
                <w:sz w:val="22"/>
                <w:szCs w:val="24"/>
                <w14:textFill>
                  <w14:solidFill>
                    <w14:schemeClr w14:val="tx1"/>
                  </w14:solidFill>
                </w14:textFill>
              </w:rPr>
              <w:t>无偏离</w:t>
            </w:r>
            <w:r>
              <w:rPr>
                <w:rFonts w:ascii="宋体" w:hAnsi="宋体" w:eastAsia="宋体"/>
                <w:color w:val="000000" w:themeColor="text1"/>
                <w:sz w:val="22"/>
                <w:szCs w:val="24"/>
                <w14:textFill>
                  <w14:solidFill>
                    <w14:schemeClr w14:val="tx1"/>
                  </w14:solidFill>
                </w14:textFill>
              </w:rPr>
              <w:t>/负偏离)</w:t>
            </w:r>
          </w:p>
        </w:tc>
        <w:tc>
          <w:tcPr>
            <w:tcW w:w="1190" w:type="dxa"/>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查阅</w:t>
            </w:r>
            <w:r>
              <w:rPr>
                <w:rFonts w:ascii="宋体" w:hAnsi="宋体" w:eastAsia="宋体"/>
                <w:color w:val="000000" w:themeColor="text1"/>
                <w:sz w:val="22"/>
                <w:szCs w:val="24"/>
                <w14:textFill>
                  <w14:solidFill>
                    <w14:schemeClr w14:val="tx1"/>
                  </w14:solidFill>
                </w14:textFill>
              </w:rPr>
              <w:t>/证明文件索引页码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1</w:t>
            </w:r>
          </w:p>
        </w:tc>
        <w:tc>
          <w:tcPr>
            <w:tcW w:w="3190"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190" w:type="dxa"/>
          </w:tcPr>
          <w:p>
            <w:pPr>
              <w:spacing w:line="360" w:lineRule="auto"/>
              <w:rPr>
                <w:rFonts w:hint="eastAsia" w:ascii="宋体" w:hAnsi="宋体" w:eastAsia="宋体"/>
                <w:color w:val="000000" w:themeColor="text1"/>
                <w:sz w:val="22"/>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2</w:t>
            </w:r>
          </w:p>
        </w:tc>
        <w:tc>
          <w:tcPr>
            <w:tcW w:w="3190"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190" w:type="dxa"/>
          </w:tcPr>
          <w:p>
            <w:pPr>
              <w:spacing w:line="360" w:lineRule="auto"/>
              <w:rPr>
                <w:rFonts w:hint="eastAsia" w:ascii="宋体" w:hAnsi="宋体" w:eastAsia="宋体"/>
                <w:color w:val="000000" w:themeColor="text1"/>
                <w:sz w:val="22"/>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3</w:t>
            </w:r>
          </w:p>
        </w:tc>
        <w:tc>
          <w:tcPr>
            <w:tcW w:w="3190"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190" w:type="dxa"/>
          </w:tcPr>
          <w:p>
            <w:pPr>
              <w:spacing w:line="360" w:lineRule="auto"/>
              <w:rPr>
                <w:rFonts w:hint="eastAsia" w:ascii="宋体" w:hAnsi="宋体" w:eastAsia="宋体"/>
                <w:color w:val="000000" w:themeColor="text1"/>
                <w:sz w:val="22"/>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4</w:t>
            </w:r>
          </w:p>
        </w:tc>
        <w:tc>
          <w:tcPr>
            <w:tcW w:w="3190"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190" w:type="dxa"/>
          </w:tcPr>
          <w:p>
            <w:pPr>
              <w:spacing w:line="360" w:lineRule="auto"/>
              <w:rPr>
                <w:rFonts w:hint="eastAsia" w:ascii="宋体" w:hAnsi="宋体" w:eastAsia="宋体"/>
                <w:color w:val="000000" w:themeColor="text1"/>
                <w:sz w:val="22"/>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vAlign w:val="center"/>
          </w:tcPr>
          <w:p>
            <w:pPr>
              <w:spacing w:line="360" w:lineRule="auto"/>
              <w:jc w:val="center"/>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t>…</w:t>
            </w:r>
          </w:p>
        </w:tc>
        <w:tc>
          <w:tcPr>
            <w:tcW w:w="3190"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843" w:type="dxa"/>
          </w:tcPr>
          <w:p>
            <w:pPr>
              <w:spacing w:line="360" w:lineRule="auto"/>
              <w:rPr>
                <w:rFonts w:hint="eastAsia" w:ascii="宋体" w:hAnsi="宋体" w:eastAsia="宋体"/>
                <w:color w:val="000000" w:themeColor="text1"/>
                <w:sz w:val="22"/>
                <w:szCs w:val="24"/>
                <w14:textFill>
                  <w14:solidFill>
                    <w14:schemeClr w14:val="tx1"/>
                  </w14:solidFill>
                </w14:textFill>
              </w:rPr>
            </w:pPr>
          </w:p>
        </w:tc>
        <w:tc>
          <w:tcPr>
            <w:tcW w:w="1190" w:type="dxa"/>
          </w:tcPr>
          <w:p>
            <w:pPr>
              <w:spacing w:line="360" w:lineRule="auto"/>
              <w:rPr>
                <w:rFonts w:hint="eastAsia" w:ascii="宋体" w:hAnsi="宋体" w:eastAsia="宋体"/>
                <w:color w:val="000000" w:themeColor="text1"/>
                <w:sz w:val="22"/>
                <w:szCs w:val="24"/>
                <w14:textFill>
                  <w14:solidFill>
                    <w14:schemeClr w14:val="tx1"/>
                  </w14:solidFill>
                </w14:textFill>
              </w:rPr>
            </w:pPr>
          </w:p>
        </w:tc>
      </w:tr>
    </w:tbl>
    <w:p>
      <w:pPr>
        <w:spacing w:before="156" w:beforeLines="50" w:line="360" w:lineRule="auto"/>
        <w:rPr>
          <w:rFonts w:hint="eastAsia" w:ascii="宋体" w:hAnsi="宋体" w:eastAsia="宋体"/>
          <w:color w:val="000000" w:themeColor="text1"/>
          <w:sz w:val="22"/>
          <w:szCs w:val="24"/>
          <w14:textFill>
            <w14:solidFill>
              <w14:schemeClr w14:val="tx1"/>
            </w14:solidFill>
          </w14:textFill>
        </w:rPr>
      </w:pPr>
      <w:r>
        <w:rPr>
          <w:rFonts w:hint="eastAsia" w:ascii="宋体" w:hAnsi="宋体" w:eastAsia="宋体"/>
          <w:color w:val="000000" w:themeColor="text1"/>
          <w:sz w:val="22"/>
          <w:szCs w:val="24"/>
          <w14:textFill>
            <w14:solidFill>
              <w14:schemeClr w14:val="tx1"/>
            </w14:solidFill>
          </w14:textFill>
        </w:rPr>
        <w:t>注明：</w:t>
      </w:r>
    </w:p>
    <w:p>
      <w:pPr>
        <w:pStyle w:val="63"/>
        <w:spacing w:line="360" w:lineRule="auto"/>
        <w:ind w:left="0"/>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1)若招标文件“招标需求”中的★号条款中规定须提交相关证明文件的，须按要求提供，并作为附件附于表格后。未按要求提供或未提供完整的，视为负偏离处理。</w:t>
      </w:r>
    </w:p>
    <w:p>
      <w:pPr>
        <w:spacing w:line="360" w:lineRule="auto"/>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2）如投标人对招标文件全部★号条款均无偏离，《★号条款响应表》表格内容可留空不予填报，仅需加盖投标人单位公章，即视为全部★号条款无偏离。</w:t>
      </w:r>
    </w:p>
    <w:p>
      <w:pPr>
        <w:spacing w:line="360" w:lineRule="auto"/>
        <w:rPr>
          <w:rFonts w:hint="eastAsia" w:ascii="宋体" w:hAnsi="宋体" w:eastAsia="宋体"/>
          <w:color w:val="000000" w:themeColor="text1"/>
          <w:sz w:val="22"/>
          <w14:textFill>
            <w14:solidFill>
              <w14:schemeClr w14:val="tx1"/>
            </w14:solidFill>
          </w14:textFill>
        </w:rPr>
      </w:pPr>
    </w:p>
    <w:p>
      <w:pPr>
        <w:spacing w:line="360" w:lineRule="auto"/>
        <w:rPr>
          <w:rFonts w:hint="eastAsia" w:ascii="宋体" w:hAnsi="宋体" w:eastAsia="宋体"/>
          <w:color w:val="000000" w:themeColor="text1"/>
          <w:sz w:val="22"/>
          <w14:textFill>
            <w14:solidFill>
              <w14:schemeClr w14:val="tx1"/>
            </w14:solidFill>
          </w14:textFill>
        </w:rPr>
      </w:pPr>
    </w:p>
    <w:tbl>
      <w:tblPr>
        <w:tblStyle w:val="4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73"/>
        <w:gridCol w:w="27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3" w:type="dxa"/>
          </w:tcPr>
          <w:p>
            <w:pPr>
              <w:overflowPunct w:val="0"/>
              <w:adjustRightInd w:val="0"/>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投标人名称（加盖公章）：</w:t>
            </w:r>
            <w:r>
              <w:rPr>
                <w:rFonts w:ascii="宋体" w:hAnsi="宋体" w:eastAsia="宋体" w:cs="Times New Roman"/>
                <w:color w:val="000000" w:themeColor="text1"/>
                <w:kern w:val="0"/>
                <w:sz w:val="22"/>
                <w:szCs w:val="20"/>
                <w:u w:val="single"/>
                <w14:textFill>
                  <w14:solidFill>
                    <w14:schemeClr w14:val="tx1"/>
                  </w14:solidFill>
                </w14:textFill>
              </w:rPr>
              <w:t xml:space="preserve">                         </w:t>
            </w:r>
          </w:p>
        </w:tc>
        <w:tc>
          <w:tcPr>
            <w:tcW w:w="2755"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3"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r>
              <w:rPr>
                <w:rFonts w:hint="eastAsia" w:ascii="宋体" w:hAnsi="宋体" w:eastAsia="宋体" w:cs="Times New Roman"/>
                <w:color w:val="000000" w:themeColor="text1"/>
                <w:kern w:val="0"/>
                <w:sz w:val="22"/>
                <w:szCs w:val="20"/>
                <w14:textFill>
                  <w14:solidFill>
                    <w14:schemeClr w14:val="tx1"/>
                  </w14:solidFill>
                </w14:textFill>
              </w:rPr>
              <w:t>日期：</w:t>
            </w:r>
            <w:r>
              <w:rPr>
                <w:rFonts w:ascii="宋体" w:hAnsi="宋体" w:eastAsia="宋体" w:cs="Times New Roman"/>
                <w:color w:val="000000" w:themeColor="text1"/>
                <w:kern w:val="0"/>
                <w:sz w:val="22"/>
                <w:szCs w:val="20"/>
                <w:u w:val="single"/>
                <w14:textFill>
                  <w14:solidFill>
                    <w14:schemeClr w14:val="tx1"/>
                  </w14:solidFill>
                </w14:textFill>
              </w:rPr>
              <w:t xml:space="preserve">             年           月            日</w:t>
            </w:r>
          </w:p>
        </w:tc>
        <w:tc>
          <w:tcPr>
            <w:tcW w:w="2755" w:type="dxa"/>
          </w:tcPr>
          <w:p>
            <w:pPr>
              <w:spacing w:line="360" w:lineRule="auto"/>
              <w:rPr>
                <w:rFonts w:hint="eastAsia" w:ascii="宋体" w:hAnsi="宋体" w:eastAsia="宋体" w:cs="Times New Roman"/>
                <w:color w:val="000000" w:themeColor="text1"/>
                <w:kern w:val="0"/>
                <w:sz w:val="22"/>
                <w:szCs w:val="20"/>
                <w14:textFill>
                  <w14:solidFill>
                    <w14:schemeClr w14:val="tx1"/>
                  </w14:solidFill>
                </w14:textFill>
              </w:rPr>
            </w:pPr>
          </w:p>
        </w:tc>
      </w:tr>
    </w:tbl>
    <w:p>
      <w:pPr>
        <w:spacing w:line="360" w:lineRule="auto"/>
        <w:rPr>
          <w:rFonts w:hint="eastAsia" w:ascii="宋体" w:hAnsi="宋体" w:eastAsia="宋体"/>
          <w:color w:val="000000" w:themeColor="text1"/>
          <w:sz w:val="22"/>
          <w14:textFill>
            <w14:solidFill>
              <w14:schemeClr w14:val="tx1"/>
            </w14:solidFill>
          </w14:textFill>
        </w:rPr>
      </w:pPr>
    </w:p>
    <w:p>
      <w:pPr>
        <w:pStyle w:val="3"/>
        <w:keepNext w:val="0"/>
        <w:keepLines w:val="0"/>
        <w:pageBreakBefore/>
        <w:tabs>
          <w:tab w:val="left" w:pos="284"/>
        </w:tabs>
        <w:ind w:left="420" w:hanging="420"/>
        <w:rPr>
          <w:rFonts w:hint="eastAsia" w:ascii="宋体" w:hAnsi="宋体"/>
          <w:color w:val="000000" w:themeColor="text1"/>
          <w:spacing w:val="12"/>
          <w:sz w:val="22"/>
          <w:szCs w:val="22"/>
          <w14:textFill>
            <w14:solidFill>
              <w14:schemeClr w14:val="tx1"/>
            </w14:solidFill>
          </w14:textFill>
        </w:rPr>
      </w:pPr>
      <w:r>
        <w:rPr>
          <w:rFonts w:hint="eastAsia" w:ascii="宋体" w:hAnsi="宋体"/>
          <w:color w:val="000000" w:themeColor="text1"/>
          <w:spacing w:val="12"/>
          <w:sz w:val="22"/>
          <w:szCs w:val="22"/>
          <w14:textFill>
            <w14:solidFill>
              <w14:schemeClr w14:val="tx1"/>
            </w14:solidFill>
          </w14:textFill>
        </w:rPr>
        <w:t>18.</w:t>
      </w:r>
      <w:bookmarkEnd w:id="157"/>
      <w:r>
        <w:rPr>
          <w:rFonts w:hint="eastAsia" w:ascii="宋体" w:hAnsi="宋体"/>
          <w:color w:val="000000" w:themeColor="text1"/>
          <w:spacing w:val="12"/>
          <w:sz w:val="22"/>
          <w:szCs w:val="22"/>
          <w14:textFill>
            <w14:solidFill>
              <w14:schemeClr w14:val="tx1"/>
            </w14:solidFill>
          </w14:textFill>
        </w:rPr>
        <w:t>投标人认为需要提供的其他资料（格式自拟）</w:t>
      </w:r>
    </w:p>
    <w:p>
      <w:pPr>
        <w:pStyle w:val="138"/>
        <w:ind w:firstLine="480"/>
        <w:rPr>
          <w:rFonts w:hint="eastAsia" w:ascii="宋体" w:hAnsi="宋体" w:cs="宋体"/>
          <w:szCs w:val="24"/>
        </w:rPr>
      </w:pPr>
      <w:r>
        <w:rPr>
          <w:rFonts w:hint="eastAsia" w:ascii="宋体" w:hAnsi="宋体" w:cs="宋体"/>
          <w:szCs w:val="24"/>
        </w:rPr>
        <w:t>投标人应结合招标文件要求，提供其他相关有利于体现企业实力、服务能力的其他内容。其他内容可根据企业情况自行补充。</w:t>
      </w:r>
    </w:p>
    <w:p>
      <w:pPr>
        <w:rPr>
          <w:rFonts w:hint="eastAsia" w:ascii="宋体" w:hAnsi="宋体" w:eastAsia="宋体"/>
          <w:color w:val="000000" w:themeColor="text1"/>
          <w:spacing w:val="20"/>
          <w:sz w:val="36"/>
          <w:szCs w:val="36"/>
          <w14:textFill>
            <w14:solidFill>
              <w14:schemeClr w14:val="tx1"/>
            </w14:solidFill>
          </w14:textFill>
        </w:rPr>
      </w:pPr>
    </w:p>
    <w:p>
      <w:pPr>
        <w:pStyle w:val="2"/>
        <w:keepNext w:val="0"/>
        <w:keepLines w:val="0"/>
        <w:pageBreakBefore/>
        <w:spacing w:line="360" w:lineRule="auto"/>
        <w:jc w:val="center"/>
        <w:rPr>
          <w:rFonts w:hint="eastAsia" w:ascii="宋体" w:hAnsi="宋体" w:eastAsia="宋体"/>
          <w:color w:val="000000" w:themeColor="text1"/>
          <w:spacing w:val="20"/>
          <w:sz w:val="36"/>
          <w:szCs w:val="36"/>
          <w14:textFill>
            <w14:solidFill>
              <w14:schemeClr w14:val="tx1"/>
            </w14:solidFill>
          </w14:textFill>
        </w:rPr>
      </w:pPr>
      <w:r>
        <w:rPr>
          <w:rFonts w:hint="eastAsia" w:ascii="宋体" w:hAnsi="宋体" w:eastAsia="宋体"/>
          <w:color w:val="000000" w:themeColor="text1"/>
          <w:spacing w:val="20"/>
          <w:sz w:val="36"/>
          <w:szCs w:val="36"/>
          <w14:textFill>
            <w14:solidFill>
              <w14:schemeClr w14:val="tx1"/>
            </w14:solidFill>
          </w14:textFill>
        </w:rPr>
        <w:t>第八部分 唱标信封格式</w:t>
      </w:r>
      <w:bookmarkEnd w:id="158"/>
      <w:bookmarkEnd w:id="159"/>
      <w:bookmarkEnd w:id="160"/>
    </w:p>
    <w:p>
      <w:pPr>
        <w:spacing w:line="360" w:lineRule="auto"/>
        <w:jc w:val="center"/>
        <w:rPr>
          <w:rFonts w:hint="eastAsia" w:ascii="宋体" w:hAnsi="宋体" w:eastAsia="宋体"/>
          <w:bCs/>
          <w:color w:val="000000" w:themeColor="text1"/>
          <w:sz w:val="52"/>
          <w:szCs w:val="52"/>
          <w14:textFill>
            <w14:solidFill>
              <w14:schemeClr w14:val="tx1"/>
            </w14:solidFill>
          </w14:textFill>
        </w:rPr>
      </w:pPr>
    </w:p>
    <w:p>
      <w:pPr>
        <w:spacing w:line="360" w:lineRule="auto"/>
        <w:jc w:val="center"/>
        <w:rPr>
          <w:rFonts w:hint="eastAsia" w:ascii="宋体" w:hAnsi="宋体" w:eastAsia="宋体"/>
          <w:bCs/>
          <w:color w:val="000000" w:themeColor="text1"/>
          <w:sz w:val="44"/>
          <w:szCs w:val="44"/>
          <w14:textFill>
            <w14:solidFill>
              <w14:schemeClr w14:val="tx1"/>
            </w14:solidFill>
          </w14:textFill>
        </w:rPr>
      </w:pPr>
      <w:r>
        <w:rPr>
          <w:rFonts w:hint="eastAsia" w:ascii="宋体" w:hAnsi="宋体" w:eastAsia="宋体"/>
          <w:bCs/>
          <w:color w:val="000000" w:themeColor="text1"/>
          <w:sz w:val="44"/>
          <w:szCs w:val="44"/>
          <w14:textFill>
            <w14:solidFill>
              <w14:schemeClr w14:val="tx1"/>
            </w14:solidFill>
          </w14:textFill>
        </w:rPr>
        <w:t>赴柬埔寨、印尼开展文化交流活动及行程服务项目</w:t>
      </w:r>
    </w:p>
    <w:p>
      <w:pPr>
        <w:spacing w:line="360" w:lineRule="auto"/>
        <w:jc w:val="center"/>
        <w:rPr>
          <w:rFonts w:hint="eastAsia" w:ascii="宋体" w:hAnsi="宋体" w:eastAsia="宋体"/>
          <w:b/>
          <w:color w:val="000000" w:themeColor="text1"/>
          <w:sz w:val="22"/>
          <w14:textFill>
            <w14:solidFill>
              <w14:schemeClr w14:val="tx1"/>
            </w14:solidFill>
          </w14:textFill>
        </w:rPr>
      </w:pPr>
    </w:p>
    <w:p>
      <w:pPr>
        <w:spacing w:line="360" w:lineRule="auto"/>
        <w:jc w:val="center"/>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Cs/>
          <w:color w:val="000000" w:themeColor="text1"/>
          <w:sz w:val="32"/>
          <w:szCs w:val="32"/>
          <w14:textFill>
            <w14:solidFill>
              <w14:schemeClr w14:val="tx1"/>
            </w14:solidFill>
          </w14:textFill>
        </w:rPr>
        <w:t>（项目编号：</w:t>
      </w:r>
      <w:r>
        <w:rPr>
          <w:rFonts w:ascii="宋体" w:hAnsi="宋体" w:eastAsia="宋体"/>
          <w:bCs/>
          <w:color w:val="000000" w:themeColor="text1"/>
          <w:sz w:val="32"/>
          <w:szCs w:val="32"/>
          <w:u w:val="single"/>
          <w14:textFill>
            <w14:solidFill>
              <w14:schemeClr w14:val="tx1"/>
            </w14:solidFill>
          </w14:textFill>
        </w:rPr>
        <w:t xml:space="preserve">             </w:t>
      </w:r>
      <w:r>
        <w:rPr>
          <w:rFonts w:hint="eastAsia" w:ascii="宋体" w:hAnsi="宋体" w:eastAsia="宋体"/>
          <w:bCs/>
          <w:color w:val="000000" w:themeColor="text1"/>
          <w:sz w:val="32"/>
          <w:szCs w:val="32"/>
          <w14:textFill>
            <w14:solidFill>
              <w14:schemeClr w14:val="tx1"/>
            </w14:solidFill>
          </w14:textFill>
        </w:rPr>
        <w:t>）</w:t>
      </w:r>
    </w:p>
    <w:p>
      <w:pPr>
        <w:spacing w:before="1404" w:beforeLines="450" w:line="360" w:lineRule="auto"/>
        <w:jc w:val="center"/>
        <w:rPr>
          <w:rFonts w:hint="eastAsia" w:ascii="宋体" w:hAnsi="宋体" w:eastAsia="宋体"/>
          <w:b/>
          <w:color w:val="000000" w:themeColor="text1"/>
          <w:spacing w:val="60"/>
          <w:sz w:val="96"/>
          <w:szCs w:val="96"/>
          <w14:textFill>
            <w14:solidFill>
              <w14:schemeClr w14:val="tx1"/>
            </w14:solidFill>
          </w14:textFill>
        </w:rPr>
      </w:pPr>
      <w:r>
        <w:rPr>
          <w:rFonts w:hint="eastAsia" w:ascii="宋体" w:hAnsi="宋体" w:eastAsia="宋体"/>
          <w:b/>
          <w:color w:val="000000" w:themeColor="text1"/>
          <w:spacing w:val="60"/>
          <w:sz w:val="96"/>
          <w:szCs w:val="96"/>
          <w14:textFill>
            <w14:solidFill>
              <w14:schemeClr w14:val="tx1"/>
            </w14:solidFill>
          </w14:textFill>
        </w:rPr>
        <w:t>唱标信封</w:t>
      </w:r>
    </w:p>
    <w:p>
      <w:pPr>
        <w:spacing w:after="2028" w:afterLines="650" w:line="360" w:lineRule="auto"/>
        <w:jc w:val="center"/>
        <w:rPr>
          <w:rFonts w:hint="eastAsia" w:ascii="宋体" w:hAnsi="宋体" w:eastAsia="宋体"/>
          <w:b/>
          <w:color w:val="000000" w:themeColor="text1"/>
          <w:sz w:val="22"/>
          <w14:textFill>
            <w14:solidFill>
              <w14:schemeClr w14:val="tx1"/>
            </w14:solidFill>
          </w14:textFill>
        </w:rPr>
      </w:pPr>
      <w:r>
        <w:rPr>
          <w:rFonts w:hint="eastAsia" w:ascii="宋体" w:hAnsi="宋体" w:eastAsia="宋体"/>
          <w:b/>
          <w:color w:val="000000" w:themeColor="text1"/>
          <w:sz w:val="22"/>
          <w14:textFill>
            <w14:solidFill>
              <w14:schemeClr w14:val="tx1"/>
            </w14:solidFill>
          </w14:textFill>
        </w:rPr>
        <w:t>（封面格式仅供参考）</w:t>
      </w:r>
    </w:p>
    <w:tbl>
      <w:tblPr>
        <w:tblStyle w:val="42"/>
        <w:tblW w:w="418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85"/>
        <w:gridCol w:w="52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421" w:type="pct"/>
            <w:vAlign w:val="center"/>
          </w:tcPr>
          <w:p>
            <w:pPr>
              <w:spacing w:line="360" w:lineRule="auto"/>
              <w:jc w:val="right"/>
              <w:rPr>
                <w:rFonts w:hint="eastAsia"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投标人名称：</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421" w:type="pct"/>
            <w:vAlign w:val="center"/>
          </w:tcPr>
          <w:p>
            <w:pPr>
              <w:spacing w:line="360" w:lineRule="auto"/>
              <w:jc w:val="right"/>
              <w:rPr>
                <w:rFonts w:hint="eastAsia"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投标人地址：</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421" w:type="pct"/>
            <w:vAlign w:val="center"/>
          </w:tcPr>
          <w:p>
            <w:pPr>
              <w:spacing w:line="360" w:lineRule="auto"/>
              <w:jc w:val="right"/>
              <w:rPr>
                <w:rFonts w:hint="eastAsia" w:ascii="宋体" w:hAnsi="宋体" w:eastAsia="宋体" w:cs="Times New Roman"/>
                <w:color w:val="000000" w:themeColor="text1"/>
                <w:spacing w:val="-10"/>
                <w:kern w:val="0"/>
                <w:sz w:val="28"/>
                <w:szCs w:val="28"/>
                <w14:textFill>
                  <w14:solidFill>
                    <w14:schemeClr w14:val="tx1"/>
                  </w14:solidFill>
                </w14:textFill>
              </w:rPr>
            </w:pPr>
            <w:r>
              <w:rPr>
                <w:rFonts w:hint="eastAsia" w:ascii="宋体" w:hAnsi="宋体" w:eastAsia="宋体" w:cs="Times New Roman"/>
                <w:color w:val="000000" w:themeColor="text1"/>
                <w:kern w:val="0"/>
                <w:sz w:val="28"/>
                <w:szCs w:val="28"/>
                <w14:textFill>
                  <w14:solidFill>
                    <w14:schemeClr w14:val="tx1"/>
                  </w14:solidFill>
                </w14:textFill>
              </w:rPr>
              <w:t>投标联系人</w:t>
            </w:r>
            <w:r>
              <w:rPr>
                <w:rFonts w:hint="eastAsia" w:ascii="宋体" w:hAnsi="宋体" w:eastAsia="宋体" w:cs="Times New Roman"/>
                <w:color w:val="000000" w:themeColor="text1"/>
                <w:spacing w:val="-10"/>
                <w:kern w:val="0"/>
                <w:sz w:val="28"/>
                <w:szCs w:val="28"/>
                <w14:textFill>
                  <w14:solidFill>
                    <w14:schemeClr w14:val="tx1"/>
                  </w14:solidFill>
                </w14:textFill>
              </w:rPr>
              <w:t>：</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421" w:type="pct"/>
            <w:vAlign w:val="center"/>
          </w:tcPr>
          <w:p>
            <w:pPr>
              <w:tabs>
                <w:tab w:val="left" w:pos="170"/>
              </w:tabs>
              <w:spacing w:line="360" w:lineRule="auto"/>
              <w:jc w:val="center"/>
              <w:rPr>
                <w:rFonts w:hint="eastAsia" w:ascii="宋体" w:hAnsi="宋体" w:eastAsia="宋体" w:cs="Times New Roman"/>
                <w:color w:val="000000" w:themeColor="text1"/>
                <w:kern w:val="0"/>
                <w:sz w:val="28"/>
                <w:szCs w:val="28"/>
                <w14:textFill>
                  <w14:solidFill>
                    <w14:schemeClr w14:val="tx1"/>
                  </w14:solidFill>
                </w14:textFill>
              </w:rPr>
            </w:pPr>
            <w:r>
              <w:rPr>
                <w:rFonts w:hint="eastAsia" w:ascii="宋体" w:hAnsi="宋体" w:eastAsia="宋体" w:cs="Times New Roman"/>
                <w:color w:val="000000" w:themeColor="text1"/>
                <w:spacing w:val="24"/>
                <w:kern w:val="0"/>
                <w:sz w:val="28"/>
                <w:szCs w:val="28"/>
                <w14:textFill>
                  <w14:solidFill>
                    <w14:schemeClr w14:val="tx1"/>
                  </w14:solidFill>
                </w14:textFill>
              </w:rPr>
              <w:t>联系电话</w:t>
            </w:r>
            <w:r>
              <w:rPr>
                <w:rFonts w:hint="eastAsia" w:ascii="宋体" w:hAnsi="宋体" w:eastAsia="宋体" w:cs="Times New Roman"/>
                <w:color w:val="000000" w:themeColor="text1"/>
                <w:kern w:val="0"/>
                <w:sz w:val="28"/>
                <w:szCs w:val="28"/>
                <w14:textFill>
                  <w14:solidFill>
                    <w14:schemeClr w14:val="tx1"/>
                  </w14:solidFill>
                </w14:textFill>
              </w:rPr>
              <w:t>：</w:t>
            </w:r>
          </w:p>
        </w:tc>
        <w:tc>
          <w:tcPr>
            <w:tcW w:w="3579" w:type="pct"/>
            <w:vAlign w:val="center"/>
          </w:tcPr>
          <w:p>
            <w:pPr>
              <w:spacing w:line="360" w:lineRule="auto"/>
              <w:jc w:val="left"/>
              <w:rPr>
                <w:rFonts w:hint="eastAsia" w:ascii="宋体" w:hAnsi="宋体" w:eastAsia="宋体" w:cs="Times New Roman"/>
                <w:color w:val="000000" w:themeColor="text1"/>
                <w:kern w:val="0"/>
                <w:sz w:val="28"/>
                <w:szCs w:val="28"/>
                <w:u w:val="single"/>
                <w14:textFill>
                  <w14:solidFill>
                    <w14:schemeClr w14:val="tx1"/>
                  </w14:solidFill>
                </w14:textFill>
              </w:rPr>
            </w:pPr>
            <w:r>
              <w:rPr>
                <w:rFonts w:ascii="宋体" w:hAnsi="宋体" w:eastAsia="宋体" w:cs="Times New Roman"/>
                <w:color w:val="000000" w:themeColor="text1"/>
                <w:kern w:val="0"/>
                <w:sz w:val="28"/>
                <w:szCs w:val="28"/>
                <w:u w:val="single"/>
                <w14:textFill>
                  <w14:solidFill>
                    <w14:schemeClr w14:val="tx1"/>
                  </w14:solidFill>
                </w14:textFill>
              </w:rPr>
              <w:t xml:space="preserve">                                       </w:t>
            </w:r>
          </w:p>
        </w:tc>
      </w:tr>
    </w:tbl>
    <w:p>
      <w:pPr>
        <w:spacing w:before="468" w:beforeLines="150" w:line="600" w:lineRule="exact"/>
        <w:jc w:val="center"/>
        <w:rPr>
          <w:rFonts w:hint="eastAsia" w:ascii="宋体" w:hAnsi="宋体" w:eastAsia="宋体"/>
          <w:b/>
          <w:bCs/>
          <w:color w:val="000000" w:themeColor="text1"/>
          <w:spacing w:val="40"/>
          <w:sz w:val="28"/>
          <w:szCs w:val="28"/>
          <w14:textFill>
            <w14:solidFill>
              <w14:schemeClr w14:val="tx1"/>
            </w14:solidFill>
          </w14:textFill>
        </w:rPr>
      </w:pPr>
      <w:r>
        <w:rPr>
          <w:rFonts w:hint="eastAsia" w:ascii="宋体" w:hAnsi="宋体" w:eastAsia="宋体"/>
          <w:b/>
          <w:color w:val="000000" w:themeColor="text1"/>
          <w:spacing w:val="40"/>
          <w:sz w:val="28"/>
          <w:szCs w:val="28"/>
          <w14:textFill>
            <w14:solidFill>
              <w14:schemeClr w14:val="tx1"/>
            </w14:solidFill>
          </w14:textFill>
        </w:rPr>
        <w:t>日期：</w:t>
      </w:r>
      <w:r>
        <w:rPr>
          <w:rFonts w:hint="eastAsia" w:ascii="宋体" w:hAnsi="宋体" w:eastAsia="宋体"/>
          <w:b/>
          <w:color w:val="000000" w:themeColor="text1"/>
          <w:spacing w:val="20"/>
          <w:sz w:val="22"/>
          <w14:textFill>
            <w14:solidFill>
              <w14:schemeClr w14:val="tx1"/>
            </w14:solidFill>
          </w14:textFill>
        </w:rPr>
        <w:t xml:space="preserve">    </w:t>
      </w:r>
      <w:r>
        <w:rPr>
          <w:rFonts w:hint="eastAsia" w:ascii="宋体" w:hAnsi="宋体" w:eastAsia="宋体"/>
          <w:b/>
          <w:color w:val="000000" w:themeColor="text1"/>
          <w:spacing w:val="40"/>
          <w:sz w:val="28"/>
          <w:szCs w:val="28"/>
          <w14:textFill>
            <w14:solidFill>
              <w14:schemeClr w14:val="tx1"/>
            </w14:solidFill>
          </w14:textFill>
        </w:rPr>
        <w:t xml:space="preserve">年 </w:t>
      </w:r>
      <w:r>
        <w:rPr>
          <w:rFonts w:ascii="宋体" w:hAnsi="宋体" w:eastAsia="宋体"/>
          <w:b/>
          <w:color w:val="000000" w:themeColor="text1"/>
          <w:spacing w:val="40"/>
          <w:sz w:val="28"/>
          <w:szCs w:val="28"/>
          <w14:textFill>
            <w14:solidFill>
              <w14:schemeClr w14:val="tx1"/>
            </w14:solidFill>
          </w14:textFill>
        </w:rPr>
        <w:t xml:space="preserve"> </w:t>
      </w:r>
      <w:r>
        <w:rPr>
          <w:rFonts w:hint="eastAsia" w:ascii="宋体" w:hAnsi="宋体" w:eastAsia="宋体"/>
          <w:b/>
          <w:color w:val="000000" w:themeColor="text1"/>
          <w:spacing w:val="40"/>
          <w:sz w:val="28"/>
          <w:szCs w:val="28"/>
          <w14:textFill>
            <w14:solidFill>
              <w14:schemeClr w14:val="tx1"/>
            </w14:solidFill>
          </w14:textFill>
        </w:rPr>
        <w:t xml:space="preserve">月 </w:t>
      </w:r>
      <w:r>
        <w:rPr>
          <w:rFonts w:ascii="宋体" w:hAnsi="宋体" w:eastAsia="宋体"/>
          <w:b/>
          <w:color w:val="000000" w:themeColor="text1"/>
          <w:spacing w:val="40"/>
          <w:sz w:val="28"/>
          <w:szCs w:val="28"/>
          <w14:textFill>
            <w14:solidFill>
              <w14:schemeClr w14:val="tx1"/>
            </w14:solidFill>
          </w14:textFill>
        </w:rPr>
        <w:t xml:space="preserve"> </w:t>
      </w:r>
      <w:r>
        <w:rPr>
          <w:rFonts w:hint="eastAsia" w:ascii="宋体" w:hAnsi="宋体" w:eastAsia="宋体"/>
          <w:b/>
          <w:color w:val="000000" w:themeColor="text1"/>
          <w:spacing w:val="40"/>
          <w:sz w:val="28"/>
          <w:szCs w:val="28"/>
          <w14:textFill>
            <w14:solidFill>
              <w14:schemeClr w14:val="tx1"/>
            </w14:solidFill>
          </w14:textFill>
        </w:rPr>
        <w:t>日</w:t>
      </w:r>
    </w:p>
    <w:p>
      <w:pPr>
        <w:spacing w:line="360" w:lineRule="auto"/>
        <w:rPr>
          <w:rFonts w:hint="eastAsia" w:ascii="宋体" w:hAnsi="宋体" w:eastAsia="宋体"/>
          <w:color w:val="000000" w:themeColor="text1"/>
          <w:sz w:val="22"/>
          <w:szCs w:val="24"/>
          <w14:textFill>
            <w14:solidFill>
              <w14:schemeClr w14:val="tx1"/>
            </w14:solidFill>
          </w14:textFill>
        </w:rPr>
      </w:pPr>
    </w:p>
    <w:p>
      <w:pPr>
        <w:widowControl/>
        <w:jc w:val="left"/>
        <w:rPr>
          <w:rFonts w:hint="eastAsia" w:ascii="宋体" w:hAnsi="宋体" w:eastAsia="宋体"/>
          <w:color w:val="000000" w:themeColor="text1"/>
          <w:sz w:val="22"/>
          <w:szCs w:val="24"/>
          <w14:textFill>
            <w14:solidFill>
              <w14:schemeClr w14:val="tx1"/>
            </w14:solidFill>
          </w14:textFill>
        </w:rPr>
      </w:pPr>
      <w:r>
        <w:rPr>
          <w:rFonts w:ascii="宋体" w:hAnsi="宋体" w:eastAsia="宋体"/>
          <w:color w:val="000000" w:themeColor="text1"/>
          <w:sz w:val="22"/>
          <w:szCs w:val="24"/>
          <w14:textFill>
            <w14:solidFill>
              <w14:schemeClr w14:val="tx1"/>
            </w14:solidFill>
          </w14:textFill>
        </w:rPr>
        <w:br w:type="page"/>
      </w:r>
    </w:p>
    <w:p>
      <w:pPr>
        <w:pStyle w:val="63"/>
        <w:numPr>
          <w:ilvl w:val="0"/>
          <w:numId w:val="37"/>
        </w:numPr>
        <w:spacing w:before="312" w:beforeLines="100" w:after="312" w:afterLines="100" w:line="360" w:lineRule="auto"/>
        <w:contextualSpacing w:val="0"/>
        <w:jc w:val="left"/>
        <w:rPr>
          <w:rFonts w:hint="eastAsia" w:ascii="宋体" w:hAnsi="宋体" w:eastAsia="宋体"/>
          <w:b/>
          <w:color w:val="000000" w:themeColor="text1"/>
          <w:spacing w:val="20"/>
          <w:sz w:val="32"/>
          <w:szCs w:val="32"/>
          <w14:textFill>
            <w14:solidFill>
              <w14:schemeClr w14:val="tx1"/>
            </w14:solidFill>
          </w14:textFill>
        </w:rPr>
      </w:pPr>
      <w:r>
        <w:rPr>
          <w:rFonts w:hint="eastAsia" w:ascii="宋体" w:hAnsi="宋体" w:eastAsia="宋体"/>
          <w:b/>
          <w:color w:val="000000" w:themeColor="text1"/>
          <w:spacing w:val="20"/>
          <w:sz w:val="32"/>
          <w:szCs w:val="32"/>
          <w14:textFill>
            <w14:solidFill>
              <w14:schemeClr w14:val="tx1"/>
            </w14:solidFill>
          </w14:textFill>
        </w:rPr>
        <w:t>唱标信封内装：</w:t>
      </w:r>
    </w:p>
    <w:p>
      <w:pPr>
        <w:pStyle w:val="63"/>
        <w:numPr>
          <w:ilvl w:val="0"/>
          <w:numId w:val="38"/>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投标函加盖投标人公章；</w:t>
      </w:r>
    </w:p>
    <w:p>
      <w:pPr>
        <w:pStyle w:val="63"/>
        <w:numPr>
          <w:ilvl w:val="0"/>
          <w:numId w:val="38"/>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开标一览表加盖投标人公章；</w:t>
      </w:r>
    </w:p>
    <w:p>
      <w:pPr>
        <w:pStyle w:val="63"/>
        <w:numPr>
          <w:ilvl w:val="0"/>
          <w:numId w:val="38"/>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分项报价表加盖投标人公章（如有）；</w:t>
      </w:r>
    </w:p>
    <w:p>
      <w:pPr>
        <w:pStyle w:val="63"/>
        <w:numPr>
          <w:ilvl w:val="0"/>
          <w:numId w:val="38"/>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法定代表人证明书或法定代表人授权委托书加盖投标人公章；</w:t>
      </w:r>
    </w:p>
    <w:p>
      <w:pPr>
        <w:pStyle w:val="63"/>
        <w:numPr>
          <w:ilvl w:val="0"/>
          <w:numId w:val="38"/>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银行汇款凭证加盖投标人公章；</w:t>
      </w:r>
    </w:p>
    <w:p>
      <w:pPr>
        <w:pStyle w:val="63"/>
        <w:numPr>
          <w:ilvl w:val="0"/>
          <w:numId w:val="38"/>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color w:val="000000" w:themeColor="text1"/>
          <w:sz w:val="22"/>
          <w14:textFill>
            <w14:solidFill>
              <w14:schemeClr w14:val="tx1"/>
            </w14:solidFill>
          </w14:textFill>
        </w:rPr>
        <w:t>电子文件（U</w:t>
      </w:r>
      <w:r>
        <w:rPr>
          <w:rFonts w:ascii="宋体" w:hAnsi="宋体" w:eastAsia="宋体"/>
          <w:color w:val="000000" w:themeColor="text1"/>
          <w:sz w:val="22"/>
          <w14:textFill>
            <w14:solidFill>
              <w14:schemeClr w14:val="tx1"/>
            </w14:solidFill>
          </w14:textFill>
        </w:rPr>
        <w:t>盘）；</w:t>
      </w:r>
    </w:p>
    <w:p>
      <w:pPr>
        <w:pStyle w:val="63"/>
        <w:numPr>
          <w:ilvl w:val="0"/>
          <w:numId w:val="38"/>
        </w:numPr>
        <w:spacing w:line="360" w:lineRule="auto"/>
        <w:contextualSpacing w:val="0"/>
        <w:rPr>
          <w:rFonts w:hint="eastAsia" w:ascii="宋体" w:hAnsi="宋体" w:eastAsia="宋体"/>
          <w:color w:val="000000" w:themeColor="text1"/>
          <w:sz w:val="22"/>
          <w14:textFill>
            <w14:solidFill>
              <w14:schemeClr w14:val="tx1"/>
            </w14:solidFill>
          </w14:textFill>
        </w:rPr>
      </w:pPr>
      <w:r>
        <w:rPr>
          <w:rFonts w:hint="eastAsia" w:ascii="宋体" w:hAnsi="宋体" w:eastAsia="宋体"/>
          <w:bCs/>
          <w:color w:val="000000" w:themeColor="text1"/>
          <w:sz w:val="22"/>
          <w14:textFill>
            <w14:solidFill>
              <w14:schemeClr w14:val="tx1"/>
            </w14:solidFill>
          </w14:textFill>
        </w:rPr>
        <w:t>其他格式（如有）</w:t>
      </w:r>
      <w:r>
        <w:rPr>
          <w:rFonts w:hint="eastAsia" w:ascii="宋体" w:hAnsi="宋体" w:eastAsia="宋体"/>
          <w:color w:val="000000" w:themeColor="text1"/>
          <w:sz w:val="22"/>
          <w14:textFill>
            <w14:solidFill>
              <w14:schemeClr w14:val="tx1"/>
            </w14:solidFill>
          </w14:textFill>
        </w:rPr>
        <w:t>。</w:t>
      </w:r>
    </w:p>
    <w:p>
      <w:pPr>
        <w:widowControl/>
        <w:jc w:val="left"/>
        <w:rPr>
          <w:rFonts w:hint="eastAsia" w:ascii="宋体" w:hAnsi="宋体" w:eastAsia="宋体"/>
          <w:color w:val="000000" w:themeColor="text1"/>
          <w:sz w:val="22"/>
          <w:szCs w:val="24"/>
          <w14:textFill>
            <w14:solidFill>
              <w14:schemeClr w14:val="tx1"/>
            </w14:solidFill>
          </w14:textFill>
        </w:rPr>
      </w:pPr>
    </w:p>
    <w:p>
      <w:pPr>
        <w:rPr>
          <w:rFonts w:hint="eastAsia" w:ascii="宋体" w:hAnsi="宋体" w:eastAsia="宋体"/>
        </w:rPr>
      </w:pPr>
    </w:p>
    <w:sectPr>
      <w:footerReference r:id="rId8" w:type="default"/>
      <w:pgSz w:w="11906" w:h="16838"/>
      <w:pgMar w:top="1521" w:right="1558" w:bottom="993" w:left="1797" w:header="851" w:footer="680"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1569CE-EEFD-4AF6-970E-FD6EF62994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CC8D39D-EA95-4CBA-9C51-35590A61B56D}"/>
  </w:font>
  <w:font w:name="等线">
    <w:panose1 w:val="02010600030101010101"/>
    <w:charset w:val="86"/>
    <w:family w:val="auto"/>
    <w:pitch w:val="default"/>
    <w:sig w:usb0="A00002BF" w:usb1="38CF7CFA" w:usb2="00000016" w:usb3="00000000" w:csb0="0004000F" w:csb1="00000000"/>
    <w:embedRegular r:id="rId3" w:fontKey="{AC823D83-9768-488D-807C-AA5D8BD2880F}"/>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embedRegular r:id="rId4" w:fontKey="{8A2C5EA1-3C39-4134-838B-F4058CC6F19D}"/>
  </w:font>
  <w:font w:name="Courier New">
    <w:panose1 w:val="02070309020205020404"/>
    <w:charset w:val="00"/>
    <w:family w:val="modern"/>
    <w:pitch w:val="default"/>
    <w:sig w:usb0="E0002EFF" w:usb1="C0007843" w:usb2="00000009" w:usb3="00000000" w:csb0="400001FF" w:csb1="FFFF0000"/>
  </w:font>
  <w:font w:name="仿宋体">
    <w:altName w:val="仿宋"/>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C9C8968B-B9CD-4450-9D26-6F7BB505299C}"/>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embedRegular r:id="rId6" w:fontKey="{44B623C3-68F0-4E72-8104-4B44E20CA70D}"/>
  </w:font>
  <w:font w:name="DEZBWU+FZY4JW--GB1-0">
    <w:altName w:val="微软雅黑"/>
    <w:panose1 w:val="00000000000000000000"/>
    <w:charset w:val="00"/>
    <w:family w:val="swiss"/>
    <w:pitch w:val="default"/>
    <w:sig w:usb0="00000000" w:usb1="00000000" w:usb2="00000000" w:usb3="00000000" w:csb0="00040000" w:csb1="00000000"/>
  </w:font>
  <w:font w:name="??????_GBK">
    <w:altName w:val="Calibri"/>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embedRegular r:id="rId7" w:fontKey="{BA99E886-8407-4894-8AE8-5334494DB0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6"/>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rPr>
                              <w:rFonts w:hint="eastAsia"/>
                            </w:rPr>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6"/>
                      <w:rPr>
                        <w:rFonts w:hint="eastAsia"/>
                      </w:rPr>
                    </w:pPr>
                    <w:r>
                      <w:fldChar w:fldCharType="begin"/>
                    </w:r>
                    <w:r>
                      <w:instrText xml:space="preserve"> PAGE  \* MERGEFORMAT </w:instrText>
                    </w:r>
                    <w:r>
                      <w:fldChar w:fldCharType="separate"/>
                    </w:r>
                    <w:r>
                      <w:t>47</w:t>
                    </w:r>
                    <w:r>
                      <w:fldChar w:fldCharType="end"/>
                    </w:r>
                  </w:p>
                </w:txbxContent>
              </v:textbox>
            </v:shape>
          </w:pict>
        </mc:Fallback>
      </mc:AlternateContent>
    </w:r>
  </w:p>
  <w:p>
    <w:pPr>
      <w:pStyle w:val="2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rPr>
                              <w:rFonts w:hint="eastAsia"/>
                            </w:rPr>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26"/>
                      <w:rPr>
                        <w:rFonts w:hint="eastAsia"/>
                      </w:rPr>
                    </w:pPr>
                    <w:r>
                      <w:fldChar w:fldCharType="begin"/>
                    </w:r>
                    <w:r>
                      <w:instrText xml:space="preserve"> PAGE  \* MERGEFORMAT </w:instrText>
                    </w:r>
                    <w:r>
                      <w:fldChar w:fldCharType="separate"/>
                    </w:r>
                    <w:r>
                      <w:t>46</w:t>
                    </w:r>
                    <w:r>
                      <w:fldChar w:fldCharType="end"/>
                    </w:r>
                  </w:p>
                </w:txbxContent>
              </v:textbox>
            </v:shape>
          </w:pict>
        </mc:Fallback>
      </mc:AlternateContent>
    </w:r>
  </w:p>
  <w:p>
    <w:pPr>
      <w:pStyle w:val="2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6365933" name="文本框 5863659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rPr>
                              <w:rFonts w:hint="eastAsia"/>
                            </w:rPr>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l32Ls1AgAAZQQAAA4AAABkcnMvZTJvRG9jLnhtbK1UzY7TMBC+I/EO&#10;lu80/VGrUjVdla2KkCp2pYI4u47TRPKfbLdJeQB4A05cuO9z9Tn4nDQtWjjsgYsznvF8M/PNTOZ3&#10;tZLkKJwvjU7poNenRGhuslLvU/r50/rNlBIfmM6YNFqk9CQ8vVu8fjWv7EwMTWFkJhwBiPazyqa0&#10;CMHOksTzQijme8YKDWNunGIBV7dPMscqoCuZDPv9SVIZl1lnuPAe2lVrpBdE9xJAk+clFyvDD0ro&#10;0KI6IVlASb4oraeLJts8Fzw85LkXgciUotLQnAgCeRfPZDFns71jtij5JQX2khSe1aRYqRH0CrVi&#10;gZGDK/+CUiV3xps89LhRSVtIwwiqGPSfcbMtmBVNLaDa2yvp/v/B8o/HR0fKLKXj6WQ0Gb8djSjR&#10;TKHx5x/fzz+fzr++kZsJdFXWz+C1tfAL9TtTY4gijVHvoYws1LlT8Yv6COwg+3QlW9SB8Og0HU6n&#10;fZg4bN0FOMnN3Tof3gujSBRS6tDNhmR23PjQPu2exGjarEspoWczqUmV0slo3G8crhaAS40Yt2Sj&#10;FOpdfalgZ7ITCnOmnRRv+bpE8A3z4ZE5jAYSxvKEBxy5NAhiLhIlhXFf/6WP79ExWCmpMGop1dgs&#10;SuQHjU4CMHSC64RdJ+iDujeY3QGW0vJGhIMLshNzZ9QXbNQyxoCJaY5IKQ2deB/accdGcrFcNo8w&#10;e5aFjd5aHqEjY94uDwEENrxGUlomLlxh+prOXDYljvef9+bV7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XfYuzUCAABlBAAADgAAAAAAAAABACAAAAAfAQAAZHJzL2Uyb0RvYy54bWxQ&#10;SwUGAAAAAAYABgBZAQAAxgUAAAAA&#10;">
              <v:fill on="f" focussize="0,0"/>
              <v:stroke on="f" weight="0.5pt"/>
              <v:imagedata o:title=""/>
              <o:lock v:ext="edit" aspectratio="f"/>
              <v:textbox inset="0mm,0mm,0mm,0mm" style="mso-fit-shape-to-text:t;">
                <w:txbxContent>
                  <w:p>
                    <w:pPr>
                      <w:pStyle w:val="26"/>
                      <w:rPr>
                        <w:rFonts w:hint="eastAsia"/>
                      </w:rPr>
                    </w:pPr>
                    <w:r>
                      <w:fldChar w:fldCharType="begin"/>
                    </w:r>
                    <w:r>
                      <w:instrText xml:space="preserve"> PAGE  \* MERGEFORMAT </w:instrText>
                    </w:r>
                    <w:r>
                      <w:fldChar w:fldCharType="separate"/>
                    </w:r>
                    <w:r>
                      <w:t>46</w:t>
                    </w:r>
                    <w:r>
                      <w:fldChar w:fldCharType="end"/>
                    </w:r>
                  </w:p>
                </w:txbxContent>
              </v:textbox>
            </v:shape>
          </w:pict>
        </mc:Fallback>
      </mc:AlternateContent>
    </w:r>
  </w:p>
  <w:p>
    <w:pPr>
      <w:pStyle w:val="26"/>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24778" name="文本框 155247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rPr>
                              <w:rFonts w:hint="eastAsia"/>
                            </w:rPr>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am1FUzAgAAYwQAAA4AAABkcnMvZTJvRG9jLnhtbK1UzY7TMBC+I/EO&#10;lu80aaG7VdV0VbYqQqrYlQri7DpOE8l/st0m5QHgDThx4c5z9Tn4nDQtWjjsgYsznvF8M/PNTGZ3&#10;jZLkIJyvjM7ocJBSIjQ3eaV3Gf30cfVqQokPTOdMGi0yehSe3s1fvpjVdipGpjQyF44ARPtpbTNa&#10;hmCnSeJ5KRTzA2OFhrEwTrGAq9sluWM10JVMRml6k9TG5dYZLryHdtkZ6RnRPQfQFEXFxdLwvRI6&#10;dKhOSBZQki8r6+m8zbYoBA8PReFFIDKjqDS0J4JA3sYzmc/YdOeYLSt+ToE9J4UnNSlWaQS9QC1Z&#10;YGTvqr+gVMWd8aYIA25U0hXSMoIqhukTbjYls6KtBVR7eyHd/z9Y/uHw6EiVYxLG49Gb21t0XzOF&#10;vp++fzv9+HX6+ZVcLCCrtn4Kn42FV2jemgaOkcSo91BGDprCqfhFdQR2UH28UC2aQHh0mowmkxQm&#10;Dlt/AU5ydbfOh3fCKBKFjDr0sqWYHdY+dE/7JzGaNqtKSujZVGpSZ/Tm9ThtHS4WgEuNGNdkoxSa&#10;bXOuYGvyIwpzppsTb/mqQvA18+GROQwGEsbqhAcchTQIYs4SJaVxX/6lj+/RL1gpqTFoGdXYK0rk&#10;e40+AjD0guuFbS/ovbo3mNwhVtLyVoSDC7IXC2fUZ+zTIsaAiWmOSBkNvXgfumHHPnKxWLSPMHmW&#10;hbXeWB6hI2PeLvYBBLa8RlI6Js5cYfbazpz3JA73n/f21fXfMP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am1FUzAgAAYwQAAA4AAAAAAAAAAQAgAAAAHwEAAGRycy9lMm9Eb2MueG1sUEsF&#10;BgAAAAAGAAYAWQEAAMQFAAAAAA==&#10;">
              <v:fill on="f" focussize="0,0"/>
              <v:stroke on="f" weight="0.5pt"/>
              <v:imagedata o:title=""/>
              <o:lock v:ext="edit" aspectratio="f"/>
              <v:textbox inset="0mm,0mm,0mm,0mm" style="mso-fit-shape-to-text:t;">
                <w:txbxContent>
                  <w:p>
                    <w:pPr>
                      <w:pStyle w:val="26"/>
                      <w:rPr>
                        <w:rFonts w:hint="eastAsia"/>
                      </w:rPr>
                    </w:pPr>
                    <w:r>
                      <w:fldChar w:fldCharType="begin"/>
                    </w:r>
                    <w:r>
                      <w:instrText xml:space="preserve"> PAGE  \* MERGEFORMAT </w:instrText>
                    </w:r>
                    <w:r>
                      <w:fldChar w:fldCharType="separate"/>
                    </w:r>
                    <w:r>
                      <w:t>47</w:t>
                    </w:r>
                    <w:r>
                      <w:fldChar w:fldCharType="end"/>
                    </w:r>
                  </w:p>
                </w:txbxContent>
              </v:textbox>
            </v:shape>
          </w:pict>
        </mc:Fallback>
      </mc:AlternateContent>
    </w:r>
  </w:p>
  <w:p>
    <w:pPr>
      <w:pStyle w:val="2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rPr>
        <w:rFonts w:hint="eastAsia" w:ascii="黑体" w:hAnsi="黑体" w:eastAsia="黑体"/>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CD7FBD"/>
    <w:multiLevelType w:val="multilevel"/>
    <w:tmpl w:val="B5CD7FBD"/>
    <w:lvl w:ilvl="0" w:tentative="0">
      <w:start w:val="3"/>
      <w:numFmt w:val="decimal"/>
      <w:lvlText w:val="%1"/>
      <w:lvlJc w:val="left"/>
      <w:pPr>
        <w:ind w:left="425" w:hanging="425"/>
      </w:pPr>
      <w:rPr>
        <w:rFonts w:hint="default" w:ascii="宋体" w:hAnsi="宋体" w:eastAsia="宋体" w:cs="宋体"/>
      </w:rPr>
    </w:lvl>
    <w:lvl w:ilvl="1" w:tentative="0">
      <w:start w:val="1"/>
      <w:numFmt w:val="decimal"/>
      <w:lvlText w:val="4.%2"/>
      <w:lvlJc w:val="left"/>
      <w:pPr>
        <w:ind w:left="567" w:hanging="567"/>
      </w:pPr>
      <w:rPr>
        <w:rFonts w:hint="default" w:ascii="宋体" w:hAnsi="宋体" w:eastAsia="宋体" w:cs="宋体"/>
      </w:rPr>
    </w:lvl>
    <w:lvl w:ilvl="2" w:tentative="0">
      <w:start w:val="3"/>
      <w:numFmt w:val="decimal"/>
      <w:lvlText w:val="%1.4.%3"/>
      <w:lvlJc w:val="left"/>
      <w:pPr>
        <w:ind w:left="709" w:hanging="709"/>
      </w:pPr>
      <w:rPr>
        <w:rFonts w:hint="default"/>
      </w:rPr>
    </w:lvl>
    <w:lvl w:ilvl="3" w:tentative="0">
      <w:start w:val="1"/>
      <w:numFmt w:val="decimal"/>
      <w:lvlText w:val="%1.%2.%3.%4."/>
      <w:lvlJc w:val="left"/>
      <w:pPr>
        <w:ind w:left="851" w:hanging="851"/>
      </w:pPr>
      <w:rPr>
        <w:rFonts w:hint="default" w:ascii="宋体" w:hAnsi="宋体" w:eastAsia="宋体" w:cs="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FCC625C0"/>
    <w:multiLevelType w:val="multilevel"/>
    <w:tmpl w:val="FCC625C0"/>
    <w:lvl w:ilvl="0" w:tentative="0">
      <w:start w:val="1"/>
      <w:numFmt w:val="decimal"/>
      <w:lvlText w:val="2.%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40A34B3"/>
    <w:multiLevelType w:val="multilevel"/>
    <w:tmpl w:val="040A34B3"/>
    <w:lvl w:ilvl="0" w:tentative="0">
      <w:start w:val="1"/>
      <w:numFmt w:val="decimal"/>
      <w:lvlText w:val="14.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8AF46D7"/>
    <w:multiLevelType w:val="multilevel"/>
    <w:tmpl w:val="08AF46D7"/>
    <w:lvl w:ilvl="0" w:tentative="0">
      <w:start w:val="1"/>
      <w:numFmt w:val="decimal"/>
      <w:lvlText w:val="3.%1"/>
      <w:lvlJc w:val="left"/>
      <w:pPr>
        <w:ind w:left="941"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A9528F9"/>
    <w:multiLevelType w:val="multilevel"/>
    <w:tmpl w:val="0A9528F9"/>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B5D1CF6"/>
    <w:multiLevelType w:val="multilevel"/>
    <w:tmpl w:val="0B5D1CF6"/>
    <w:lvl w:ilvl="0" w:tentative="0">
      <w:start w:val="1"/>
      <w:numFmt w:val="decimal"/>
      <w:lvlText w:val="1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A600377"/>
    <w:multiLevelType w:val="multilevel"/>
    <w:tmpl w:val="1A600377"/>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C4E0595"/>
    <w:multiLevelType w:val="multilevel"/>
    <w:tmpl w:val="1C4E059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25F566EF"/>
    <w:multiLevelType w:val="multilevel"/>
    <w:tmpl w:val="25F566EF"/>
    <w:lvl w:ilvl="0" w:tentative="0">
      <w:start w:val="11"/>
      <w:numFmt w:val="decimal"/>
      <w:lvlText w:val="%1"/>
      <w:lvlJc w:val="left"/>
      <w:pPr>
        <w:ind w:left="425" w:hanging="425"/>
      </w:pPr>
      <w:rPr>
        <w:rFonts w:hint="eastAsia"/>
      </w:rPr>
    </w:lvl>
    <w:lvl w:ilvl="1" w:tentative="0">
      <w:start w:val="2"/>
      <w:numFmt w:val="decimal"/>
      <w:lvlText w:val="%1.%2"/>
      <w:lvlJc w:val="left"/>
      <w:pPr>
        <w:ind w:left="567" w:hanging="567"/>
      </w:pPr>
      <w:rPr>
        <w:rFonts w:hint="eastAsia"/>
      </w:rPr>
    </w:lvl>
    <w:lvl w:ilvl="2" w:tentative="0">
      <w:start w:val="1"/>
      <w:numFmt w:val="decimal"/>
      <w:lvlText w:val="12.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
    <w:nsid w:val="2C2B1E1F"/>
    <w:multiLevelType w:val="multilevel"/>
    <w:tmpl w:val="2C2B1E1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FF332FE"/>
    <w:multiLevelType w:val="multilevel"/>
    <w:tmpl w:val="2FF332F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32BF1864"/>
    <w:multiLevelType w:val="multilevel"/>
    <w:tmpl w:val="32BF1864"/>
    <w:lvl w:ilvl="0" w:tentative="0">
      <w:start w:val="1"/>
      <w:numFmt w:val="chineseCountingThousand"/>
      <w:lvlText w:val="%1、"/>
      <w:lvlJc w:val="left"/>
      <w:pPr>
        <w:ind w:left="420" w:hanging="42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46F47EE"/>
    <w:multiLevelType w:val="multilevel"/>
    <w:tmpl w:val="346F47EE"/>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4CE7977"/>
    <w:multiLevelType w:val="multilevel"/>
    <w:tmpl w:val="34CE7977"/>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B5D1229"/>
    <w:multiLevelType w:val="multilevel"/>
    <w:tmpl w:val="3B5D1229"/>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BFF7564"/>
    <w:multiLevelType w:val="multilevel"/>
    <w:tmpl w:val="3BFF7564"/>
    <w:lvl w:ilvl="0" w:tentative="0">
      <w:start w:val="1"/>
      <w:numFmt w:val="decimal"/>
      <w:lvlText w:val="%1"/>
      <w:lvlJc w:val="left"/>
      <w:pPr>
        <w:ind w:left="425" w:hanging="425"/>
      </w:pPr>
      <w:rPr>
        <w:rFonts w:hint="eastAsia"/>
      </w:rPr>
    </w:lvl>
    <w:lvl w:ilvl="1" w:tentative="0">
      <w:start w:val="2"/>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6">
    <w:nsid w:val="426A2696"/>
    <w:multiLevelType w:val="multilevel"/>
    <w:tmpl w:val="426A2696"/>
    <w:lvl w:ilvl="0" w:tentative="0">
      <w:start w:val="13"/>
      <w:numFmt w:val="decimal"/>
      <w:lvlText w:val="%1"/>
      <w:lvlJc w:val="left"/>
      <w:pPr>
        <w:ind w:left="425" w:hanging="425"/>
      </w:pPr>
      <w:rPr>
        <w:rFonts w:hint="eastAsia"/>
      </w:rPr>
    </w:lvl>
    <w:lvl w:ilvl="1" w:tentative="0">
      <w:start w:val="1"/>
      <w:numFmt w:val="decimal"/>
      <w:lvlText w:val="10.%2"/>
      <w:lvlJc w:val="left"/>
      <w:pPr>
        <w:ind w:left="567" w:hanging="567"/>
      </w:pPr>
      <w:rPr>
        <w:rFonts w:hint="eastAsia"/>
      </w:rPr>
    </w:lvl>
    <w:lvl w:ilvl="2" w:tentative="0">
      <w:start w:val="3"/>
      <w:numFmt w:val="decimal"/>
      <w:lvlText w:val="%1.2.1"/>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7">
    <w:nsid w:val="482F7A7A"/>
    <w:multiLevelType w:val="multilevel"/>
    <w:tmpl w:val="482F7A7A"/>
    <w:lvl w:ilvl="0" w:tentative="0">
      <w:start w:val="1"/>
      <w:numFmt w:val="decimal"/>
      <w:lvlText w:val="8.%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9FB7819"/>
    <w:multiLevelType w:val="multilevel"/>
    <w:tmpl w:val="49FB781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A804453"/>
    <w:multiLevelType w:val="multilevel"/>
    <w:tmpl w:val="4A804453"/>
    <w:lvl w:ilvl="0" w:tentative="0">
      <w:start w:val="1"/>
      <w:numFmt w:val="decimal"/>
      <w:lvlText w:val="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4AE21275"/>
    <w:multiLevelType w:val="multilevel"/>
    <w:tmpl w:val="4AE21275"/>
    <w:lvl w:ilvl="0" w:tentative="0">
      <w:start w:val="8"/>
      <w:numFmt w:val="decimal"/>
      <w:lvlText w:val="%1"/>
      <w:lvlJc w:val="left"/>
      <w:pPr>
        <w:ind w:left="425" w:hanging="425"/>
      </w:pPr>
      <w:rPr>
        <w:rFonts w:hint="eastAsia"/>
      </w:rPr>
    </w:lvl>
    <w:lvl w:ilvl="1" w:tentative="0">
      <w:start w:val="1"/>
      <w:numFmt w:val="decimal"/>
      <w:lvlText w:val="6.%2"/>
      <w:lvlJc w:val="left"/>
      <w:pPr>
        <w:ind w:left="567" w:hanging="567"/>
      </w:pPr>
      <w:rPr>
        <w:rFonts w:hint="eastAsia"/>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1">
    <w:nsid w:val="52BA71BE"/>
    <w:multiLevelType w:val="multilevel"/>
    <w:tmpl w:val="52BA71BE"/>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3.%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2">
    <w:nsid w:val="53331BC6"/>
    <w:multiLevelType w:val="multilevel"/>
    <w:tmpl w:val="53331BC6"/>
    <w:lvl w:ilvl="0" w:tentative="0">
      <w:start w:val="3"/>
      <w:numFmt w:val="decimal"/>
      <w:lvlText w:val="%1"/>
      <w:lvlJc w:val="left"/>
      <w:pPr>
        <w:ind w:left="425" w:hanging="425"/>
      </w:pPr>
      <w:rPr>
        <w:rFonts w:hint="eastAsia"/>
      </w:rPr>
    </w:lvl>
    <w:lvl w:ilvl="1" w:tentative="0">
      <w:start w:val="1"/>
      <w:numFmt w:val="decimal"/>
      <w:lvlText w:val="3.%2"/>
      <w:lvlJc w:val="left"/>
      <w:pPr>
        <w:ind w:left="567" w:hanging="567"/>
      </w:pPr>
      <w:rPr>
        <w:rFonts w:hint="eastAsia"/>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3">
    <w:nsid w:val="55E32074"/>
    <w:multiLevelType w:val="multilevel"/>
    <w:tmpl w:val="55E3207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7E64E5F"/>
    <w:multiLevelType w:val="multilevel"/>
    <w:tmpl w:val="57E64E5F"/>
    <w:lvl w:ilvl="0" w:tentative="0">
      <w:start w:val="1"/>
      <w:numFmt w:val="decimal"/>
      <w:lvlText w:val="%1"/>
      <w:lvlJc w:val="left"/>
      <w:pPr>
        <w:ind w:left="420" w:hanging="420"/>
      </w:pPr>
      <w:rPr>
        <w:rFonts w:hint="eastAsia"/>
        <w:b/>
        <w:i w:val="0"/>
        <w:color w:val="auto"/>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8DC2BF5"/>
    <w:multiLevelType w:val="multilevel"/>
    <w:tmpl w:val="58DC2BF5"/>
    <w:lvl w:ilvl="0" w:tentative="0">
      <w:start w:val="1"/>
      <w:numFmt w:val="decimal"/>
      <w:lvlText w:val="10.%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92B198C"/>
    <w:multiLevelType w:val="multilevel"/>
    <w:tmpl w:val="592B198C"/>
    <w:lvl w:ilvl="0" w:tentative="0">
      <w:start w:val="1"/>
      <w:numFmt w:val="chineseCountingThousand"/>
      <w:lvlText w:val="%1、"/>
      <w:lvlJc w:val="left"/>
      <w:pPr>
        <w:ind w:left="420" w:hanging="42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1636B35"/>
    <w:multiLevelType w:val="multilevel"/>
    <w:tmpl w:val="61636B35"/>
    <w:lvl w:ilvl="0" w:tentative="0">
      <w:start w:val="1"/>
      <w:numFmt w:val="decimal"/>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3173248"/>
    <w:multiLevelType w:val="multilevel"/>
    <w:tmpl w:val="63173248"/>
    <w:lvl w:ilvl="0" w:tentative="0">
      <w:start w:val="1"/>
      <w:numFmt w:val="decimal"/>
      <w:lvlText w:val="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5715ED9"/>
    <w:multiLevelType w:val="multilevel"/>
    <w:tmpl w:val="65715E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7F55E3A"/>
    <w:multiLevelType w:val="multilevel"/>
    <w:tmpl w:val="67F55E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BCC430F"/>
    <w:multiLevelType w:val="multilevel"/>
    <w:tmpl w:val="6BCC43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2">
    <w:nsid w:val="7264255B"/>
    <w:multiLevelType w:val="multilevel"/>
    <w:tmpl w:val="7264255B"/>
    <w:lvl w:ilvl="0" w:tentative="0">
      <w:start w:val="1"/>
      <w:numFmt w:val="chineseCountingThousand"/>
      <w:lvlText w:val="(%1)"/>
      <w:lvlJc w:val="left"/>
      <w:pPr>
        <w:ind w:left="420" w:hanging="420"/>
      </w:pPr>
      <w:rPr>
        <w:rFonts w:hint="eastAsia"/>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28821B6"/>
    <w:multiLevelType w:val="multilevel"/>
    <w:tmpl w:val="728821B6"/>
    <w:lvl w:ilvl="0" w:tentative="0">
      <w:start w:val="1"/>
      <w:numFmt w:val="decimal"/>
      <w:lvlText w:val="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72E62A6A"/>
    <w:multiLevelType w:val="multilevel"/>
    <w:tmpl w:val="72E62A6A"/>
    <w:lvl w:ilvl="0" w:tentative="0">
      <w:start w:val="1"/>
      <w:numFmt w:val="decimal"/>
      <w:lvlText w:val="9.%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C9C2E3E"/>
    <w:multiLevelType w:val="multilevel"/>
    <w:tmpl w:val="7C9C2E3E"/>
    <w:lvl w:ilvl="0" w:tentative="0">
      <w:start w:val="2"/>
      <w:numFmt w:val="decimal"/>
      <w:lvlText w:val="%1"/>
      <w:lvlJc w:val="left"/>
      <w:pPr>
        <w:ind w:left="425" w:hanging="425"/>
      </w:pPr>
      <w:rPr>
        <w:rFonts w:hint="eastAsia"/>
      </w:rPr>
    </w:lvl>
    <w:lvl w:ilvl="1" w:tentative="0">
      <w:start w:val="1"/>
      <w:numFmt w:val="decimal"/>
      <w:lvlText w:val="%1.%2"/>
      <w:lvlJc w:val="left"/>
      <w:pPr>
        <w:ind w:left="851" w:hanging="567"/>
      </w:pPr>
      <w:rPr>
        <w:rFonts w:hint="eastAsia"/>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6">
    <w:nsid w:val="7D823685"/>
    <w:multiLevelType w:val="multilevel"/>
    <w:tmpl w:val="7D82368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7FEF4FD5"/>
    <w:multiLevelType w:val="multilevel"/>
    <w:tmpl w:val="7FEF4FD5"/>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11"/>
  </w:num>
  <w:num w:numId="3">
    <w:abstractNumId w:val="1"/>
  </w:num>
  <w:num w:numId="4">
    <w:abstractNumId w:val="3"/>
  </w:num>
  <w:num w:numId="5">
    <w:abstractNumId w:val="6"/>
  </w:num>
  <w:num w:numId="6">
    <w:abstractNumId w:val="28"/>
  </w:num>
  <w:num w:numId="7">
    <w:abstractNumId w:val="19"/>
  </w:num>
  <w:num w:numId="8">
    <w:abstractNumId w:val="33"/>
  </w:num>
  <w:num w:numId="9">
    <w:abstractNumId w:val="17"/>
  </w:num>
  <w:num w:numId="10">
    <w:abstractNumId w:val="34"/>
  </w:num>
  <w:num w:numId="11">
    <w:abstractNumId w:val="25"/>
  </w:num>
  <w:num w:numId="12">
    <w:abstractNumId w:val="5"/>
  </w:num>
  <w:num w:numId="13">
    <w:abstractNumId w:val="37"/>
  </w:num>
  <w:num w:numId="14">
    <w:abstractNumId w:val="8"/>
  </w:num>
  <w:num w:numId="15">
    <w:abstractNumId w:val="14"/>
  </w:num>
  <w:num w:numId="16">
    <w:abstractNumId w:val="4"/>
  </w:num>
  <w:num w:numId="17">
    <w:abstractNumId w:val="2"/>
  </w:num>
  <w:num w:numId="18">
    <w:abstractNumId w:val="13"/>
  </w:num>
  <w:num w:numId="19">
    <w:abstractNumId w:val="26"/>
  </w:num>
  <w:num w:numId="20">
    <w:abstractNumId w:val="24"/>
  </w:num>
  <w:num w:numId="21">
    <w:abstractNumId w:val="21"/>
  </w:num>
  <w:num w:numId="22">
    <w:abstractNumId w:val="15"/>
  </w:num>
  <w:num w:numId="23">
    <w:abstractNumId w:val="35"/>
  </w:num>
  <w:num w:numId="24">
    <w:abstractNumId w:val="27"/>
  </w:num>
  <w:num w:numId="25">
    <w:abstractNumId w:val="22"/>
  </w:num>
  <w:num w:numId="26">
    <w:abstractNumId w:val="0"/>
  </w:num>
  <w:num w:numId="27">
    <w:abstractNumId w:val="20"/>
  </w:num>
  <w:num w:numId="28">
    <w:abstractNumId w:val="16"/>
  </w:num>
  <w:num w:numId="29">
    <w:abstractNumId w:val="31"/>
  </w:num>
  <w:num w:numId="30">
    <w:abstractNumId w:val="7"/>
  </w:num>
  <w:num w:numId="31">
    <w:abstractNumId w:val="9"/>
  </w:num>
  <w:num w:numId="32">
    <w:abstractNumId w:val="29"/>
  </w:num>
  <w:num w:numId="33">
    <w:abstractNumId w:val="30"/>
  </w:num>
  <w:num w:numId="34">
    <w:abstractNumId w:val="32"/>
  </w:num>
  <w:num w:numId="35">
    <w:abstractNumId w:val="36"/>
  </w:num>
  <w:num w:numId="36">
    <w:abstractNumId w:val="18"/>
  </w:num>
  <w:num w:numId="37">
    <w:abstractNumId w:val="10"/>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67"/>
    <w:rsid w:val="00025BEB"/>
    <w:rsid w:val="00033F47"/>
    <w:rsid w:val="00053BC8"/>
    <w:rsid w:val="00062065"/>
    <w:rsid w:val="00066C25"/>
    <w:rsid w:val="000A7170"/>
    <w:rsid w:val="000E086C"/>
    <w:rsid w:val="00106386"/>
    <w:rsid w:val="00114B2E"/>
    <w:rsid w:val="00157453"/>
    <w:rsid w:val="001809BB"/>
    <w:rsid w:val="00180B5A"/>
    <w:rsid w:val="001A452A"/>
    <w:rsid w:val="001B3372"/>
    <w:rsid w:val="001D52D8"/>
    <w:rsid w:val="001F2F4C"/>
    <w:rsid w:val="00212106"/>
    <w:rsid w:val="00223602"/>
    <w:rsid w:val="00240A8A"/>
    <w:rsid w:val="002411B4"/>
    <w:rsid w:val="0025215A"/>
    <w:rsid w:val="00253FC2"/>
    <w:rsid w:val="0028333B"/>
    <w:rsid w:val="0028611B"/>
    <w:rsid w:val="00293E23"/>
    <w:rsid w:val="002B12C7"/>
    <w:rsid w:val="002B3C00"/>
    <w:rsid w:val="002B3C78"/>
    <w:rsid w:val="002B467A"/>
    <w:rsid w:val="002B4BF8"/>
    <w:rsid w:val="002D1E3C"/>
    <w:rsid w:val="003050F2"/>
    <w:rsid w:val="00323A77"/>
    <w:rsid w:val="00333255"/>
    <w:rsid w:val="00334B46"/>
    <w:rsid w:val="0033753E"/>
    <w:rsid w:val="00345548"/>
    <w:rsid w:val="0034695B"/>
    <w:rsid w:val="00372BAF"/>
    <w:rsid w:val="003B091A"/>
    <w:rsid w:val="003B73F4"/>
    <w:rsid w:val="003C2E5E"/>
    <w:rsid w:val="003D74D8"/>
    <w:rsid w:val="003E01A3"/>
    <w:rsid w:val="003F4BF2"/>
    <w:rsid w:val="00411C2B"/>
    <w:rsid w:val="004228AE"/>
    <w:rsid w:val="00435A3C"/>
    <w:rsid w:val="004360CC"/>
    <w:rsid w:val="00436D1D"/>
    <w:rsid w:val="0045518B"/>
    <w:rsid w:val="00467900"/>
    <w:rsid w:val="0047597B"/>
    <w:rsid w:val="004A1AD0"/>
    <w:rsid w:val="004B4309"/>
    <w:rsid w:val="004D65E4"/>
    <w:rsid w:val="004E4659"/>
    <w:rsid w:val="004F35BA"/>
    <w:rsid w:val="004F44DB"/>
    <w:rsid w:val="00520737"/>
    <w:rsid w:val="0052172E"/>
    <w:rsid w:val="00524407"/>
    <w:rsid w:val="00574C50"/>
    <w:rsid w:val="0059240D"/>
    <w:rsid w:val="005C3266"/>
    <w:rsid w:val="005D41B1"/>
    <w:rsid w:val="00614603"/>
    <w:rsid w:val="00655D0C"/>
    <w:rsid w:val="00660589"/>
    <w:rsid w:val="00666345"/>
    <w:rsid w:val="00667DE1"/>
    <w:rsid w:val="00673ABD"/>
    <w:rsid w:val="0067667D"/>
    <w:rsid w:val="00692DFE"/>
    <w:rsid w:val="006B2588"/>
    <w:rsid w:val="006B5E84"/>
    <w:rsid w:val="006B7C04"/>
    <w:rsid w:val="006D6746"/>
    <w:rsid w:val="006E01B1"/>
    <w:rsid w:val="00700DB4"/>
    <w:rsid w:val="00706230"/>
    <w:rsid w:val="00711B7A"/>
    <w:rsid w:val="00715C93"/>
    <w:rsid w:val="00734133"/>
    <w:rsid w:val="00734215"/>
    <w:rsid w:val="007450EE"/>
    <w:rsid w:val="00773B5B"/>
    <w:rsid w:val="00777272"/>
    <w:rsid w:val="00787E67"/>
    <w:rsid w:val="00797BF5"/>
    <w:rsid w:val="007D0D66"/>
    <w:rsid w:val="007E4F54"/>
    <w:rsid w:val="007E7F7A"/>
    <w:rsid w:val="007F5C56"/>
    <w:rsid w:val="00802E26"/>
    <w:rsid w:val="00825BA2"/>
    <w:rsid w:val="008420DC"/>
    <w:rsid w:val="00853084"/>
    <w:rsid w:val="008825E9"/>
    <w:rsid w:val="0088450A"/>
    <w:rsid w:val="00886484"/>
    <w:rsid w:val="00892D55"/>
    <w:rsid w:val="00893964"/>
    <w:rsid w:val="00893C23"/>
    <w:rsid w:val="008F06E1"/>
    <w:rsid w:val="008F353C"/>
    <w:rsid w:val="008F4925"/>
    <w:rsid w:val="00917FE8"/>
    <w:rsid w:val="009250BC"/>
    <w:rsid w:val="00943081"/>
    <w:rsid w:val="00945937"/>
    <w:rsid w:val="00950C49"/>
    <w:rsid w:val="00956B52"/>
    <w:rsid w:val="00966BF5"/>
    <w:rsid w:val="00985D6B"/>
    <w:rsid w:val="009E27CA"/>
    <w:rsid w:val="009E657E"/>
    <w:rsid w:val="009F7158"/>
    <w:rsid w:val="00A27514"/>
    <w:rsid w:val="00A773B0"/>
    <w:rsid w:val="00AA5477"/>
    <w:rsid w:val="00AA569A"/>
    <w:rsid w:val="00AE6886"/>
    <w:rsid w:val="00B024F9"/>
    <w:rsid w:val="00B05EBB"/>
    <w:rsid w:val="00B071EF"/>
    <w:rsid w:val="00B32255"/>
    <w:rsid w:val="00B339BC"/>
    <w:rsid w:val="00B42A57"/>
    <w:rsid w:val="00B465A5"/>
    <w:rsid w:val="00B5504F"/>
    <w:rsid w:val="00B56E6B"/>
    <w:rsid w:val="00B76409"/>
    <w:rsid w:val="00BA7215"/>
    <w:rsid w:val="00BB0C8F"/>
    <w:rsid w:val="00BB7639"/>
    <w:rsid w:val="00BD17FE"/>
    <w:rsid w:val="00C049F4"/>
    <w:rsid w:val="00C24A24"/>
    <w:rsid w:val="00C3343F"/>
    <w:rsid w:val="00C42D1D"/>
    <w:rsid w:val="00C877BD"/>
    <w:rsid w:val="00CA2C23"/>
    <w:rsid w:val="00CB397F"/>
    <w:rsid w:val="00CE0D3D"/>
    <w:rsid w:val="00CF1399"/>
    <w:rsid w:val="00D70273"/>
    <w:rsid w:val="00D7182F"/>
    <w:rsid w:val="00D835C8"/>
    <w:rsid w:val="00D875D5"/>
    <w:rsid w:val="00D94625"/>
    <w:rsid w:val="00D97A0E"/>
    <w:rsid w:val="00DA5596"/>
    <w:rsid w:val="00DD1CD7"/>
    <w:rsid w:val="00DE3DE2"/>
    <w:rsid w:val="00DE7CA0"/>
    <w:rsid w:val="00E2192B"/>
    <w:rsid w:val="00E43308"/>
    <w:rsid w:val="00E72C22"/>
    <w:rsid w:val="00E92115"/>
    <w:rsid w:val="00E95790"/>
    <w:rsid w:val="00EA6B9C"/>
    <w:rsid w:val="00EC3FB6"/>
    <w:rsid w:val="00EC5123"/>
    <w:rsid w:val="00EF11B5"/>
    <w:rsid w:val="00EF185F"/>
    <w:rsid w:val="00F07296"/>
    <w:rsid w:val="00F20379"/>
    <w:rsid w:val="00F270AD"/>
    <w:rsid w:val="00F45ACD"/>
    <w:rsid w:val="00F46A7B"/>
    <w:rsid w:val="00F5535D"/>
    <w:rsid w:val="00F60D09"/>
    <w:rsid w:val="00FB7F73"/>
    <w:rsid w:val="00FF3BE0"/>
    <w:rsid w:val="01161381"/>
    <w:rsid w:val="012621B3"/>
    <w:rsid w:val="017B5688"/>
    <w:rsid w:val="01B53CD8"/>
    <w:rsid w:val="01C722ED"/>
    <w:rsid w:val="01F77C55"/>
    <w:rsid w:val="020E3E06"/>
    <w:rsid w:val="025D4496"/>
    <w:rsid w:val="028B2DDB"/>
    <w:rsid w:val="02F0499F"/>
    <w:rsid w:val="030B2CFA"/>
    <w:rsid w:val="032B6C3A"/>
    <w:rsid w:val="03C06A6D"/>
    <w:rsid w:val="03D33559"/>
    <w:rsid w:val="03D61BC7"/>
    <w:rsid w:val="03D651E9"/>
    <w:rsid w:val="046046C1"/>
    <w:rsid w:val="047B09B6"/>
    <w:rsid w:val="04807AAD"/>
    <w:rsid w:val="051F4906"/>
    <w:rsid w:val="054144F3"/>
    <w:rsid w:val="05435B4D"/>
    <w:rsid w:val="05452235"/>
    <w:rsid w:val="055204AE"/>
    <w:rsid w:val="05760640"/>
    <w:rsid w:val="05B00929"/>
    <w:rsid w:val="05DE26BC"/>
    <w:rsid w:val="06163BD1"/>
    <w:rsid w:val="062C002C"/>
    <w:rsid w:val="064A64CB"/>
    <w:rsid w:val="065B23A9"/>
    <w:rsid w:val="069B7E16"/>
    <w:rsid w:val="06CD130C"/>
    <w:rsid w:val="07CD6512"/>
    <w:rsid w:val="07D258D6"/>
    <w:rsid w:val="07DC069D"/>
    <w:rsid w:val="07DC5543"/>
    <w:rsid w:val="0822685D"/>
    <w:rsid w:val="0837069C"/>
    <w:rsid w:val="08387E2F"/>
    <w:rsid w:val="086A19D0"/>
    <w:rsid w:val="08A6123D"/>
    <w:rsid w:val="09A92667"/>
    <w:rsid w:val="09BC683E"/>
    <w:rsid w:val="09BE5E69"/>
    <w:rsid w:val="0A177036"/>
    <w:rsid w:val="0A1E6CC1"/>
    <w:rsid w:val="0A5B2FD2"/>
    <w:rsid w:val="0A92134D"/>
    <w:rsid w:val="0A952398"/>
    <w:rsid w:val="0ACF2BA1"/>
    <w:rsid w:val="0B0264D2"/>
    <w:rsid w:val="0B100BEF"/>
    <w:rsid w:val="0B343C8C"/>
    <w:rsid w:val="0B590DB3"/>
    <w:rsid w:val="0B71355A"/>
    <w:rsid w:val="0B7E7CFF"/>
    <w:rsid w:val="0B917C52"/>
    <w:rsid w:val="0BBF2615"/>
    <w:rsid w:val="0C0D27A6"/>
    <w:rsid w:val="0CCD32C8"/>
    <w:rsid w:val="0CFE728F"/>
    <w:rsid w:val="0D256CBB"/>
    <w:rsid w:val="0DC44CDF"/>
    <w:rsid w:val="0DF058DF"/>
    <w:rsid w:val="0DF30B86"/>
    <w:rsid w:val="0E3A4EE9"/>
    <w:rsid w:val="0E713C39"/>
    <w:rsid w:val="0E8A6F0A"/>
    <w:rsid w:val="0ED133D0"/>
    <w:rsid w:val="0EF203A7"/>
    <w:rsid w:val="0F297E64"/>
    <w:rsid w:val="0F346E76"/>
    <w:rsid w:val="0F3B4AA4"/>
    <w:rsid w:val="0F3E10C6"/>
    <w:rsid w:val="0F7D7F04"/>
    <w:rsid w:val="0FA67D74"/>
    <w:rsid w:val="0FE3385B"/>
    <w:rsid w:val="100E221B"/>
    <w:rsid w:val="10197E03"/>
    <w:rsid w:val="10233173"/>
    <w:rsid w:val="10710382"/>
    <w:rsid w:val="10A73CA2"/>
    <w:rsid w:val="10DD0216"/>
    <w:rsid w:val="113B43D9"/>
    <w:rsid w:val="113C24E0"/>
    <w:rsid w:val="11837975"/>
    <w:rsid w:val="11A01790"/>
    <w:rsid w:val="12005730"/>
    <w:rsid w:val="124B2BB7"/>
    <w:rsid w:val="125346A3"/>
    <w:rsid w:val="1259362B"/>
    <w:rsid w:val="136C352F"/>
    <w:rsid w:val="13765CAF"/>
    <w:rsid w:val="13824654"/>
    <w:rsid w:val="138B0FFA"/>
    <w:rsid w:val="13C407C9"/>
    <w:rsid w:val="13C92283"/>
    <w:rsid w:val="13CA72F1"/>
    <w:rsid w:val="1403445D"/>
    <w:rsid w:val="141352AC"/>
    <w:rsid w:val="141D2BE6"/>
    <w:rsid w:val="14DE7716"/>
    <w:rsid w:val="1528122B"/>
    <w:rsid w:val="15963967"/>
    <w:rsid w:val="159C6E3B"/>
    <w:rsid w:val="159E329B"/>
    <w:rsid w:val="16551BAC"/>
    <w:rsid w:val="16A86180"/>
    <w:rsid w:val="16BF171B"/>
    <w:rsid w:val="16C3745D"/>
    <w:rsid w:val="170830C2"/>
    <w:rsid w:val="17184FD1"/>
    <w:rsid w:val="171D3DAE"/>
    <w:rsid w:val="171E53C5"/>
    <w:rsid w:val="176543D6"/>
    <w:rsid w:val="179374F0"/>
    <w:rsid w:val="179901BE"/>
    <w:rsid w:val="17EF7DDE"/>
    <w:rsid w:val="18AF5EEB"/>
    <w:rsid w:val="18C764D3"/>
    <w:rsid w:val="191E6BCD"/>
    <w:rsid w:val="192B3098"/>
    <w:rsid w:val="19B12C50"/>
    <w:rsid w:val="19B13FAC"/>
    <w:rsid w:val="1A073FD1"/>
    <w:rsid w:val="1A4179A7"/>
    <w:rsid w:val="1A7867B1"/>
    <w:rsid w:val="1AD339E7"/>
    <w:rsid w:val="1AE17EB2"/>
    <w:rsid w:val="1AF23E6D"/>
    <w:rsid w:val="1B0E67CD"/>
    <w:rsid w:val="1B143E9C"/>
    <w:rsid w:val="1B6603B7"/>
    <w:rsid w:val="1B80591D"/>
    <w:rsid w:val="1BAF59BF"/>
    <w:rsid w:val="1C4A5EDB"/>
    <w:rsid w:val="1C5906B1"/>
    <w:rsid w:val="1C853942"/>
    <w:rsid w:val="1C9871D4"/>
    <w:rsid w:val="1CE15475"/>
    <w:rsid w:val="1CE41A63"/>
    <w:rsid w:val="1CFF21E3"/>
    <w:rsid w:val="1D0B1216"/>
    <w:rsid w:val="1D631B51"/>
    <w:rsid w:val="1D8B1ECB"/>
    <w:rsid w:val="1DB25B36"/>
    <w:rsid w:val="1E27716B"/>
    <w:rsid w:val="1E345474"/>
    <w:rsid w:val="1E9718C5"/>
    <w:rsid w:val="1EAC07D7"/>
    <w:rsid w:val="1EFC175F"/>
    <w:rsid w:val="1F1075FE"/>
    <w:rsid w:val="1F546652"/>
    <w:rsid w:val="1F582B40"/>
    <w:rsid w:val="1F5C0AB2"/>
    <w:rsid w:val="1FA048FD"/>
    <w:rsid w:val="1FDA1374"/>
    <w:rsid w:val="1FFD4ABC"/>
    <w:rsid w:val="20322BB2"/>
    <w:rsid w:val="2066578D"/>
    <w:rsid w:val="20BD316F"/>
    <w:rsid w:val="20FF79E4"/>
    <w:rsid w:val="21157435"/>
    <w:rsid w:val="21244318"/>
    <w:rsid w:val="21451F5F"/>
    <w:rsid w:val="215D225D"/>
    <w:rsid w:val="21DE0F1E"/>
    <w:rsid w:val="21E0783E"/>
    <w:rsid w:val="21FE759C"/>
    <w:rsid w:val="226E0871"/>
    <w:rsid w:val="22744381"/>
    <w:rsid w:val="22A97DD2"/>
    <w:rsid w:val="22AC302C"/>
    <w:rsid w:val="22CE51C0"/>
    <w:rsid w:val="22E55C6E"/>
    <w:rsid w:val="22E60C94"/>
    <w:rsid w:val="22F36A6E"/>
    <w:rsid w:val="23485805"/>
    <w:rsid w:val="236253A1"/>
    <w:rsid w:val="2378337E"/>
    <w:rsid w:val="23E016DF"/>
    <w:rsid w:val="2451588E"/>
    <w:rsid w:val="245F4577"/>
    <w:rsid w:val="24ED56A6"/>
    <w:rsid w:val="25007C46"/>
    <w:rsid w:val="25127A59"/>
    <w:rsid w:val="252D4FBC"/>
    <w:rsid w:val="253A2EBB"/>
    <w:rsid w:val="2550492B"/>
    <w:rsid w:val="25690008"/>
    <w:rsid w:val="256A5593"/>
    <w:rsid w:val="256C5331"/>
    <w:rsid w:val="25DB7E88"/>
    <w:rsid w:val="25E1345C"/>
    <w:rsid w:val="262013E4"/>
    <w:rsid w:val="263A2B6C"/>
    <w:rsid w:val="267C3185"/>
    <w:rsid w:val="26964247"/>
    <w:rsid w:val="269C1420"/>
    <w:rsid w:val="26DB2738"/>
    <w:rsid w:val="26FD6EE4"/>
    <w:rsid w:val="2727745C"/>
    <w:rsid w:val="27691A9B"/>
    <w:rsid w:val="279369D8"/>
    <w:rsid w:val="27B06F8F"/>
    <w:rsid w:val="282C4D02"/>
    <w:rsid w:val="286F0F39"/>
    <w:rsid w:val="28A23EA3"/>
    <w:rsid w:val="28B5472C"/>
    <w:rsid w:val="28BB4440"/>
    <w:rsid w:val="2909137C"/>
    <w:rsid w:val="291B6C85"/>
    <w:rsid w:val="29437F8A"/>
    <w:rsid w:val="296E3259"/>
    <w:rsid w:val="29802F8C"/>
    <w:rsid w:val="298F31CF"/>
    <w:rsid w:val="2A700E04"/>
    <w:rsid w:val="2A7614CF"/>
    <w:rsid w:val="2A7725E1"/>
    <w:rsid w:val="2A9E5584"/>
    <w:rsid w:val="2A9F3544"/>
    <w:rsid w:val="2ACC4D5C"/>
    <w:rsid w:val="2AD342EA"/>
    <w:rsid w:val="2AD87F46"/>
    <w:rsid w:val="2AF61758"/>
    <w:rsid w:val="2B285E1A"/>
    <w:rsid w:val="2B352220"/>
    <w:rsid w:val="2B4F48F6"/>
    <w:rsid w:val="2B7663F5"/>
    <w:rsid w:val="2B825426"/>
    <w:rsid w:val="2B8E7BE2"/>
    <w:rsid w:val="2C525374"/>
    <w:rsid w:val="2C70553A"/>
    <w:rsid w:val="2C856E0A"/>
    <w:rsid w:val="2CA64AB8"/>
    <w:rsid w:val="2CA827D9"/>
    <w:rsid w:val="2CAC0AE7"/>
    <w:rsid w:val="2CAC3FA5"/>
    <w:rsid w:val="2CB73169"/>
    <w:rsid w:val="2CBC077F"/>
    <w:rsid w:val="2CC15D95"/>
    <w:rsid w:val="2CC17B44"/>
    <w:rsid w:val="2CDC672B"/>
    <w:rsid w:val="2CF84474"/>
    <w:rsid w:val="2D12039F"/>
    <w:rsid w:val="2D37707D"/>
    <w:rsid w:val="2DA6425F"/>
    <w:rsid w:val="2DE75388"/>
    <w:rsid w:val="2E5F307B"/>
    <w:rsid w:val="2EA16AC2"/>
    <w:rsid w:val="2EA32C9A"/>
    <w:rsid w:val="2EE11C02"/>
    <w:rsid w:val="2F061C83"/>
    <w:rsid w:val="2F503401"/>
    <w:rsid w:val="2FBE036A"/>
    <w:rsid w:val="2FDD287C"/>
    <w:rsid w:val="2FEC1C05"/>
    <w:rsid w:val="301D7787"/>
    <w:rsid w:val="306B6744"/>
    <w:rsid w:val="3095556F"/>
    <w:rsid w:val="309D4424"/>
    <w:rsid w:val="30BD6095"/>
    <w:rsid w:val="30D77936"/>
    <w:rsid w:val="30E20088"/>
    <w:rsid w:val="31874330"/>
    <w:rsid w:val="31880A17"/>
    <w:rsid w:val="31C70704"/>
    <w:rsid w:val="31F61D0E"/>
    <w:rsid w:val="31F73BF9"/>
    <w:rsid w:val="322873BD"/>
    <w:rsid w:val="326956A0"/>
    <w:rsid w:val="326F1DF0"/>
    <w:rsid w:val="32D51026"/>
    <w:rsid w:val="330C18F1"/>
    <w:rsid w:val="33114C55"/>
    <w:rsid w:val="332E1CAB"/>
    <w:rsid w:val="3353526D"/>
    <w:rsid w:val="33570442"/>
    <w:rsid w:val="33831806"/>
    <w:rsid w:val="33A31D51"/>
    <w:rsid w:val="341475AB"/>
    <w:rsid w:val="34315AAE"/>
    <w:rsid w:val="34525525"/>
    <w:rsid w:val="345B262C"/>
    <w:rsid w:val="346266E6"/>
    <w:rsid w:val="3475051A"/>
    <w:rsid w:val="347C4231"/>
    <w:rsid w:val="34936269"/>
    <w:rsid w:val="34E02B31"/>
    <w:rsid w:val="35664908"/>
    <w:rsid w:val="3567614D"/>
    <w:rsid w:val="35796DB5"/>
    <w:rsid w:val="35D15E83"/>
    <w:rsid w:val="35EB310D"/>
    <w:rsid w:val="35EE72E3"/>
    <w:rsid w:val="36232870"/>
    <w:rsid w:val="365B6913"/>
    <w:rsid w:val="365E2D8E"/>
    <w:rsid w:val="36A66AAC"/>
    <w:rsid w:val="36B129D7"/>
    <w:rsid w:val="36E4006F"/>
    <w:rsid w:val="36FA4102"/>
    <w:rsid w:val="37040185"/>
    <w:rsid w:val="372431A9"/>
    <w:rsid w:val="3760340A"/>
    <w:rsid w:val="377111BB"/>
    <w:rsid w:val="37A549DF"/>
    <w:rsid w:val="37D526F5"/>
    <w:rsid w:val="38402264"/>
    <w:rsid w:val="385B0D81"/>
    <w:rsid w:val="38BB2AC2"/>
    <w:rsid w:val="391C70D4"/>
    <w:rsid w:val="3938261A"/>
    <w:rsid w:val="3978161E"/>
    <w:rsid w:val="39936754"/>
    <w:rsid w:val="3A080B60"/>
    <w:rsid w:val="3A083A4E"/>
    <w:rsid w:val="3A0C102D"/>
    <w:rsid w:val="3A5E2E76"/>
    <w:rsid w:val="3A974782"/>
    <w:rsid w:val="3AC679D1"/>
    <w:rsid w:val="3AC727C9"/>
    <w:rsid w:val="3AD76784"/>
    <w:rsid w:val="3B0B29B1"/>
    <w:rsid w:val="3B201FB2"/>
    <w:rsid w:val="3B487AA5"/>
    <w:rsid w:val="3B712735"/>
    <w:rsid w:val="3B7D62AC"/>
    <w:rsid w:val="3BBC7588"/>
    <w:rsid w:val="3BC5726F"/>
    <w:rsid w:val="3C11600E"/>
    <w:rsid w:val="3C707A5C"/>
    <w:rsid w:val="3D301F44"/>
    <w:rsid w:val="3D4501F5"/>
    <w:rsid w:val="3D540560"/>
    <w:rsid w:val="3D70539A"/>
    <w:rsid w:val="3D7F382F"/>
    <w:rsid w:val="3D8F3346"/>
    <w:rsid w:val="3DB57F2F"/>
    <w:rsid w:val="3DDD201D"/>
    <w:rsid w:val="3DDF21F3"/>
    <w:rsid w:val="3E265A58"/>
    <w:rsid w:val="3E341E56"/>
    <w:rsid w:val="3EB00201"/>
    <w:rsid w:val="3EE43086"/>
    <w:rsid w:val="3F4C14EF"/>
    <w:rsid w:val="3F5059A5"/>
    <w:rsid w:val="3FDD2FDA"/>
    <w:rsid w:val="401A783F"/>
    <w:rsid w:val="4024246B"/>
    <w:rsid w:val="402B37FA"/>
    <w:rsid w:val="406665E0"/>
    <w:rsid w:val="407D392A"/>
    <w:rsid w:val="408D0A90"/>
    <w:rsid w:val="41036BA2"/>
    <w:rsid w:val="41355173"/>
    <w:rsid w:val="414A7CB0"/>
    <w:rsid w:val="41A1720F"/>
    <w:rsid w:val="41B13830"/>
    <w:rsid w:val="420628C1"/>
    <w:rsid w:val="425D7555"/>
    <w:rsid w:val="427A10BF"/>
    <w:rsid w:val="42844D1D"/>
    <w:rsid w:val="42A2429F"/>
    <w:rsid w:val="42F93F4B"/>
    <w:rsid w:val="432476D1"/>
    <w:rsid w:val="436A7544"/>
    <w:rsid w:val="437332E3"/>
    <w:rsid w:val="437360F3"/>
    <w:rsid w:val="43854607"/>
    <w:rsid w:val="439B2A45"/>
    <w:rsid w:val="43AD124F"/>
    <w:rsid w:val="43B33FA1"/>
    <w:rsid w:val="43CA332A"/>
    <w:rsid w:val="43FC4E40"/>
    <w:rsid w:val="43FC5F5C"/>
    <w:rsid w:val="441E6911"/>
    <w:rsid w:val="44BC0EC5"/>
    <w:rsid w:val="44C304A5"/>
    <w:rsid w:val="44F05012"/>
    <w:rsid w:val="453942C3"/>
    <w:rsid w:val="456B4699"/>
    <w:rsid w:val="456C27C2"/>
    <w:rsid w:val="45A664D5"/>
    <w:rsid w:val="45D77CED"/>
    <w:rsid w:val="45EF7078"/>
    <w:rsid w:val="466E2510"/>
    <w:rsid w:val="4696306B"/>
    <w:rsid w:val="46B1292F"/>
    <w:rsid w:val="46DA1DCB"/>
    <w:rsid w:val="46E82445"/>
    <w:rsid w:val="46FF32EA"/>
    <w:rsid w:val="47DC5461"/>
    <w:rsid w:val="47FE32A4"/>
    <w:rsid w:val="485458B8"/>
    <w:rsid w:val="48E541DA"/>
    <w:rsid w:val="49215B02"/>
    <w:rsid w:val="49496DF2"/>
    <w:rsid w:val="498047F1"/>
    <w:rsid w:val="498D1C96"/>
    <w:rsid w:val="49A77509"/>
    <w:rsid w:val="49DE7676"/>
    <w:rsid w:val="4A0759A1"/>
    <w:rsid w:val="4A0E56AE"/>
    <w:rsid w:val="4A702F34"/>
    <w:rsid w:val="4AB03279"/>
    <w:rsid w:val="4B556AAB"/>
    <w:rsid w:val="4B991F60"/>
    <w:rsid w:val="4BD20FCE"/>
    <w:rsid w:val="4C577725"/>
    <w:rsid w:val="4C6B31BA"/>
    <w:rsid w:val="4C87000A"/>
    <w:rsid w:val="4C940979"/>
    <w:rsid w:val="4CA46E0E"/>
    <w:rsid w:val="4DA22C22"/>
    <w:rsid w:val="4DCE1C69"/>
    <w:rsid w:val="4DF109D9"/>
    <w:rsid w:val="4E13667D"/>
    <w:rsid w:val="4E555EE6"/>
    <w:rsid w:val="4E6212A7"/>
    <w:rsid w:val="4E8A5B90"/>
    <w:rsid w:val="4ED447EE"/>
    <w:rsid w:val="4F196F13"/>
    <w:rsid w:val="4F6F07FB"/>
    <w:rsid w:val="4F8A1006"/>
    <w:rsid w:val="4F9A742C"/>
    <w:rsid w:val="4FBB02D7"/>
    <w:rsid w:val="4FCE07FB"/>
    <w:rsid w:val="4FE439C5"/>
    <w:rsid w:val="50406E4E"/>
    <w:rsid w:val="504212CC"/>
    <w:rsid w:val="50483F54"/>
    <w:rsid w:val="50B377D1"/>
    <w:rsid w:val="515D2151"/>
    <w:rsid w:val="51844B18"/>
    <w:rsid w:val="5187285A"/>
    <w:rsid w:val="519136D9"/>
    <w:rsid w:val="52232583"/>
    <w:rsid w:val="5223678D"/>
    <w:rsid w:val="52923395"/>
    <w:rsid w:val="52D90E94"/>
    <w:rsid w:val="53A771E4"/>
    <w:rsid w:val="53AE0572"/>
    <w:rsid w:val="53BC2C8F"/>
    <w:rsid w:val="53E775E0"/>
    <w:rsid w:val="53F73CC7"/>
    <w:rsid w:val="544E58B1"/>
    <w:rsid w:val="54617393"/>
    <w:rsid w:val="547215A0"/>
    <w:rsid w:val="54CC5154"/>
    <w:rsid w:val="54D47B64"/>
    <w:rsid w:val="54D758A7"/>
    <w:rsid w:val="54EA0B06"/>
    <w:rsid w:val="54F8309A"/>
    <w:rsid w:val="55252AB6"/>
    <w:rsid w:val="55564A1D"/>
    <w:rsid w:val="55C53951"/>
    <w:rsid w:val="55CF657E"/>
    <w:rsid w:val="55D64741"/>
    <w:rsid w:val="55E54BF6"/>
    <w:rsid w:val="55EA1A7C"/>
    <w:rsid w:val="560D5101"/>
    <w:rsid w:val="56C8194B"/>
    <w:rsid w:val="56E074B2"/>
    <w:rsid w:val="570560F5"/>
    <w:rsid w:val="572B7FA1"/>
    <w:rsid w:val="57346FE0"/>
    <w:rsid w:val="581E3DE2"/>
    <w:rsid w:val="587E5503"/>
    <w:rsid w:val="589609B8"/>
    <w:rsid w:val="58B67977"/>
    <w:rsid w:val="58F307D5"/>
    <w:rsid w:val="592F4F24"/>
    <w:rsid w:val="59387893"/>
    <w:rsid w:val="59725B9E"/>
    <w:rsid w:val="59A321FB"/>
    <w:rsid w:val="59FC1E8A"/>
    <w:rsid w:val="59FF38D6"/>
    <w:rsid w:val="5A584D94"/>
    <w:rsid w:val="5A767910"/>
    <w:rsid w:val="5A933A63"/>
    <w:rsid w:val="5B20000B"/>
    <w:rsid w:val="5B264E92"/>
    <w:rsid w:val="5B9A0DFA"/>
    <w:rsid w:val="5BBE50CA"/>
    <w:rsid w:val="5BF31218"/>
    <w:rsid w:val="5C0C397A"/>
    <w:rsid w:val="5C0F2E1E"/>
    <w:rsid w:val="5C1271C4"/>
    <w:rsid w:val="5C2E04A2"/>
    <w:rsid w:val="5D064C64"/>
    <w:rsid w:val="5D115D28"/>
    <w:rsid w:val="5D177188"/>
    <w:rsid w:val="5D1A0A26"/>
    <w:rsid w:val="5D4779D9"/>
    <w:rsid w:val="5D8C454D"/>
    <w:rsid w:val="5D942587"/>
    <w:rsid w:val="5DB620BA"/>
    <w:rsid w:val="5DDE1A54"/>
    <w:rsid w:val="5E19222D"/>
    <w:rsid w:val="5E873E9A"/>
    <w:rsid w:val="5F311A8C"/>
    <w:rsid w:val="5F426012"/>
    <w:rsid w:val="602045A6"/>
    <w:rsid w:val="60262315"/>
    <w:rsid w:val="6076702F"/>
    <w:rsid w:val="60F577E0"/>
    <w:rsid w:val="61234306"/>
    <w:rsid w:val="63036162"/>
    <w:rsid w:val="632A3916"/>
    <w:rsid w:val="63317EFD"/>
    <w:rsid w:val="6349122D"/>
    <w:rsid w:val="63A21FE0"/>
    <w:rsid w:val="63A2696C"/>
    <w:rsid w:val="64373C6C"/>
    <w:rsid w:val="64487AEA"/>
    <w:rsid w:val="645660FC"/>
    <w:rsid w:val="646B1B68"/>
    <w:rsid w:val="649D1366"/>
    <w:rsid w:val="64B90B25"/>
    <w:rsid w:val="64C46DBE"/>
    <w:rsid w:val="64DB54E7"/>
    <w:rsid w:val="656B5ACE"/>
    <w:rsid w:val="65801643"/>
    <w:rsid w:val="65A55E84"/>
    <w:rsid w:val="65B86F90"/>
    <w:rsid w:val="65D44695"/>
    <w:rsid w:val="65D86317"/>
    <w:rsid w:val="65E676F8"/>
    <w:rsid w:val="661701F9"/>
    <w:rsid w:val="661975C7"/>
    <w:rsid w:val="661A65E0"/>
    <w:rsid w:val="661C580F"/>
    <w:rsid w:val="662B01BE"/>
    <w:rsid w:val="66E159EC"/>
    <w:rsid w:val="66EB643A"/>
    <w:rsid w:val="66F42721"/>
    <w:rsid w:val="670562A3"/>
    <w:rsid w:val="67144334"/>
    <w:rsid w:val="672957C5"/>
    <w:rsid w:val="672D6420"/>
    <w:rsid w:val="674072DB"/>
    <w:rsid w:val="675B4642"/>
    <w:rsid w:val="675E7762"/>
    <w:rsid w:val="67813B5D"/>
    <w:rsid w:val="67A96C2F"/>
    <w:rsid w:val="67B657F0"/>
    <w:rsid w:val="67C577E1"/>
    <w:rsid w:val="67CA6A39"/>
    <w:rsid w:val="67CD5013"/>
    <w:rsid w:val="67D506D1"/>
    <w:rsid w:val="68261A5A"/>
    <w:rsid w:val="6883020A"/>
    <w:rsid w:val="688F4C62"/>
    <w:rsid w:val="68A55922"/>
    <w:rsid w:val="68A85138"/>
    <w:rsid w:val="69085BD7"/>
    <w:rsid w:val="697D6E98"/>
    <w:rsid w:val="699F0943"/>
    <w:rsid w:val="6A5A6906"/>
    <w:rsid w:val="6A7B25F3"/>
    <w:rsid w:val="6B064398"/>
    <w:rsid w:val="6B170851"/>
    <w:rsid w:val="6C027425"/>
    <w:rsid w:val="6CAB163C"/>
    <w:rsid w:val="6CC10EBE"/>
    <w:rsid w:val="6D2B3895"/>
    <w:rsid w:val="6D672D97"/>
    <w:rsid w:val="6D7B2E1B"/>
    <w:rsid w:val="6DAF51BB"/>
    <w:rsid w:val="6E1C20FB"/>
    <w:rsid w:val="6E8D72AA"/>
    <w:rsid w:val="6E93126D"/>
    <w:rsid w:val="6F011A46"/>
    <w:rsid w:val="6F672FA0"/>
    <w:rsid w:val="6FCB5F7A"/>
    <w:rsid w:val="70390D6C"/>
    <w:rsid w:val="70622071"/>
    <w:rsid w:val="71070C1D"/>
    <w:rsid w:val="71597917"/>
    <w:rsid w:val="715A71EC"/>
    <w:rsid w:val="715C655F"/>
    <w:rsid w:val="716B0441"/>
    <w:rsid w:val="71825001"/>
    <w:rsid w:val="71A76679"/>
    <w:rsid w:val="71AD44F9"/>
    <w:rsid w:val="71C31235"/>
    <w:rsid w:val="71DA172D"/>
    <w:rsid w:val="71FF2C4F"/>
    <w:rsid w:val="72077373"/>
    <w:rsid w:val="720A00BE"/>
    <w:rsid w:val="72C135F3"/>
    <w:rsid w:val="73146EFC"/>
    <w:rsid w:val="73CF2113"/>
    <w:rsid w:val="7480340D"/>
    <w:rsid w:val="74C77892"/>
    <w:rsid w:val="756F30EC"/>
    <w:rsid w:val="75DA6B4D"/>
    <w:rsid w:val="76004806"/>
    <w:rsid w:val="76051355"/>
    <w:rsid w:val="763E19C6"/>
    <w:rsid w:val="766A1AF6"/>
    <w:rsid w:val="76EC08E6"/>
    <w:rsid w:val="76EF4389"/>
    <w:rsid w:val="771922DD"/>
    <w:rsid w:val="77204A34"/>
    <w:rsid w:val="772F78A5"/>
    <w:rsid w:val="77320927"/>
    <w:rsid w:val="773504DF"/>
    <w:rsid w:val="775906FC"/>
    <w:rsid w:val="776164FC"/>
    <w:rsid w:val="77756AFD"/>
    <w:rsid w:val="77972F48"/>
    <w:rsid w:val="77BE5C6E"/>
    <w:rsid w:val="77F24622"/>
    <w:rsid w:val="78000AED"/>
    <w:rsid w:val="783427E8"/>
    <w:rsid w:val="783764D9"/>
    <w:rsid w:val="783B1371"/>
    <w:rsid w:val="78571BF1"/>
    <w:rsid w:val="785C0F2F"/>
    <w:rsid w:val="788A485A"/>
    <w:rsid w:val="793447CB"/>
    <w:rsid w:val="794B3FEA"/>
    <w:rsid w:val="79535904"/>
    <w:rsid w:val="796E5F2A"/>
    <w:rsid w:val="79894B12"/>
    <w:rsid w:val="7991467A"/>
    <w:rsid w:val="79962B9E"/>
    <w:rsid w:val="79E1771C"/>
    <w:rsid w:val="7A990981"/>
    <w:rsid w:val="7A9F152D"/>
    <w:rsid w:val="7AAB0E79"/>
    <w:rsid w:val="7AC13981"/>
    <w:rsid w:val="7AF366E7"/>
    <w:rsid w:val="7B187F43"/>
    <w:rsid w:val="7B3732A5"/>
    <w:rsid w:val="7B5353D8"/>
    <w:rsid w:val="7B6051FB"/>
    <w:rsid w:val="7C102D04"/>
    <w:rsid w:val="7C146169"/>
    <w:rsid w:val="7C286864"/>
    <w:rsid w:val="7C8735B6"/>
    <w:rsid w:val="7C920512"/>
    <w:rsid w:val="7CE11542"/>
    <w:rsid w:val="7CE37753"/>
    <w:rsid w:val="7D3F53C1"/>
    <w:rsid w:val="7D764B72"/>
    <w:rsid w:val="7D797726"/>
    <w:rsid w:val="7D973620"/>
    <w:rsid w:val="7DB061A5"/>
    <w:rsid w:val="7DCC2276"/>
    <w:rsid w:val="7E2D5F9A"/>
    <w:rsid w:val="7E6B47E6"/>
    <w:rsid w:val="7E773198"/>
    <w:rsid w:val="7E7D0743"/>
    <w:rsid w:val="7EB472B1"/>
    <w:rsid w:val="7EE87A27"/>
    <w:rsid w:val="7F1F7C60"/>
    <w:rsid w:val="7F743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9" w:semiHidden="0" w:name="heading 3"/>
    <w:lsdException w:qFormat="1" w:uiPriority="9"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iPriority="99" w:semiHidden="0" w:name="Body Text Indent 3"/>
    <w:lsdException w:qFormat="1"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50"/>
    <w:qFormat/>
    <w:uiPriority w:val="9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51"/>
    <w:unhideWhenUsed/>
    <w:qFormat/>
    <w:uiPriority w:val="0"/>
    <w:pPr>
      <w:keepNext/>
      <w:keepLines/>
      <w:spacing w:before="160" w:after="80" w:line="360" w:lineRule="auto"/>
      <w:jc w:val="left"/>
      <w:outlineLvl w:val="1"/>
    </w:pPr>
    <w:rPr>
      <w:rFonts w:eastAsia="宋体" w:asciiTheme="majorHAnsi" w:hAnsiTheme="majorHAnsi" w:cstheme="majorBidi"/>
      <w:sz w:val="28"/>
      <w:szCs w:val="40"/>
    </w:rPr>
  </w:style>
  <w:style w:type="paragraph" w:styleId="4">
    <w:name w:val="heading 3"/>
    <w:basedOn w:val="1"/>
    <w:next w:val="1"/>
    <w:link w:val="52"/>
    <w:unhideWhenUsed/>
    <w:qFormat/>
    <w:uiPriority w:val="9"/>
    <w:pPr>
      <w:keepNext/>
      <w:keepLines/>
      <w:jc w:val="left"/>
      <w:outlineLvl w:val="2"/>
    </w:pPr>
    <w:rPr>
      <w:rFonts w:eastAsia="宋体" w:asciiTheme="majorHAnsi" w:hAnsiTheme="majorHAnsi" w:cstheme="majorBidi"/>
      <w:szCs w:val="32"/>
    </w:rPr>
  </w:style>
  <w:style w:type="paragraph" w:styleId="5">
    <w:name w:val="heading 4"/>
    <w:basedOn w:val="1"/>
    <w:next w:val="1"/>
    <w:link w:val="53"/>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54"/>
    <w:unhideWhenUsed/>
    <w:qFormat/>
    <w:uiPriority w:val="0"/>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5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5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5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5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43">
    <w:name w:val="Default Paragraph Font"/>
    <w:semiHidden/>
    <w:unhideWhenUsed/>
    <w:uiPriority w:val="1"/>
  </w:style>
  <w:style w:type="table" w:default="1" w:styleId="41">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style>
  <w:style w:type="paragraph" w:styleId="12">
    <w:name w:val="Normal Indent"/>
    <w:basedOn w:val="1"/>
    <w:next w:val="1"/>
    <w:qFormat/>
    <w:uiPriority w:val="99"/>
    <w:pPr>
      <w:ind w:firstLine="420"/>
    </w:pPr>
    <w:rPr>
      <w:rFonts w:ascii="Times New Roman" w:hAnsi="Times New Roman" w:eastAsia="宋体" w:cs="Times New Roman"/>
      <w:kern w:val="0"/>
      <w:sz w:val="20"/>
      <w:szCs w:val="20"/>
    </w:rPr>
  </w:style>
  <w:style w:type="paragraph" w:styleId="13">
    <w:name w:val="caption"/>
    <w:basedOn w:val="1"/>
    <w:next w:val="1"/>
    <w:qFormat/>
    <w:uiPriority w:val="99"/>
    <w:rPr>
      <w:rFonts w:ascii="Arial" w:hAnsi="Arial" w:eastAsia="黑体" w:cs="Arial"/>
      <w:sz w:val="20"/>
      <w:szCs w:val="20"/>
    </w:rPr>
  </w:style>
  <w:style w:type="paragraph" w:styleId="14">
    <w:name w:val="Document Map"/>
    <w:basedOn w:val="1"/>
    <w:link w:val="69"/>
    <w:semiHidden/>
    <w:unhideWhenUsed/>
    <w:qFormat/>
    <w:uiPriority w:val="99"/>
    <w:rPr>
      <w:rFonts w:ascii="宋体" w:eastAsia="宋体"/>
      <w:sz w:val="18"/>
      <w:szCs w:val="18"/>
    </w:rPr>
  </w:style>
  <w:style w:type="paragraph" w:styleId="15">
    <w:name w:val="annotation text"/>
    <w:basedOn w:val="1"/>
    <w:link w:val="70"/>
    <w:unhideWhenUsed/>
    <w:qFormat/>
    <w:uiPriority w:val="0"/>
    <w:pPr>
      <w:jc w:val="left"/>
    </w:pPr>
  </w:style>
  <w:style w:type="paragraph" w:styleId="16">
    <w:name w:val="Body Text 3"/>
    <w:basedOn w:val="1"/>
    <w:link w:val="71"/>
    <w:qFormat/>
    <w:uiPriority w:val="0"/>
    <w:pPr>
      <w:spacing w:after="120"/>
    </w:pPr>
    <w:rPr>
      <w:rFonts w:ascii="Times New Roman" w:hAnsi="Times New Roman" w:eastAsia="宋体" w:cs="Times New Roman"/>
      <w:kern w:val="0"/>
      <w:sz w:val="16"/>
      <w:szCs w:val="16"/>
    </w:rPr>
  </w:style>
  <w:style w:type="paragraph" w:styleId="17">
    <w:name w:val="Body Text"/>
    <w:basedOn w:val="1"/>
    <w:link w:val="68"/>
    <w:qFormat/>
    <w:uiPriority w:val="99"/>
    <w:pPr>
      <w:spacing w:after="120"/>
    </w:pPr>
    <w:rPr>
      <w:rFonts w:ascii="Times New Roman" w:hAnsi="Times New Roman" w:eastAsia="宋体" w:cs="Times New Roman"/>
      <w:szCs w:val="24"/>
    </w:rPr>
  </w:style>
  <w:style w:type="paragraph" w:styleId="18">
    <w:name w:val="Body Text Indent"/>
    <w:basedOn w:val="1"/>
    <w:link w:val="72"/>
    <w:unhideWhenUsed/>
    <w:qFormat/>
    <w:uiPriority w:val="99"/>
    <w:pPr>
      <w:spacing w:after="120"/>
      <w:ind w:left="420" w:leftChars="200"/>
    </w:pPr>
  </w:style>
  <w:style w:type="paragraph" w:styleId="19">
    <w:name w:val="Block Text"/>
    <w:basedOn w:val="1"/>
    <w:unhideWhenUsed/>
    <w:qFormat/>
    <w:uiPriority w:val="0"/>
    <w:pPr>
      <w:adjustRightInd w:val="0"/>
      <w:snapToGrid w:val="0"/>
      <w:spacing w:line="352" w:lineRule="auto"/>
      <w:ind w:left="718" w:leftChars="342" w:right="-82" w:rightChars="-39" w:firstLine="480" w:firstLineChars="200"/>
    </w:pPr>
    <w:rPr>
      <w:rFonts w:ascii="宋体" w:hAnsi="宋体" w:eastAsia="宋体" w:cs="Times New Roman"/>
      <w:sz w:val="24"/>
      <w:szCs w:val="24"/>
    </w:rPr>
  </w:style>
  <w:style w:type="paragraph" w:styleId="20">
    <w:name w:val="toc 5"/>
    <w:basedOn w:val="1"/>
    <w:next w:val="1"/>
    <w:unhideWhenUsed/>
    <w:qFormat/>
    <w:uiPriority w:val="39"/>
    <w:pPr>
      <w:ind w:left="1680" w:leftChars="800"/>
    </w:pPr>
  </w:style>
  <w:style w:type="paragraph" w:styleId="21">
    <w:name w:val="toc 3"/>
    <w:basedOn w:val="1"/>
    <w:next w:val="1"/>
    <w:unhideWhenUsed/>
    <w:qFormat/>
    <w:uiPriority w:val="39"/>
    <w:pPr>
      <w:widowControl/>
      <w:spacing w:after="100" w:line="276" w:lineRule="auto"/>
      <w:ind w:left="440"/>
      <w:jc w:val="left"/>
    </w:pPr>
    <w:rPr>
      <w:kern w:val="0"/>
      <w:sz w:val="22"/>
    </w:rPr>
  </w:style>
  <w:style w:type="paragraph" w:styleId="22">
    <w:name w:val="Plain Text"/>
    <w:basedOn w:val="1"/>
    <w:link w:val="73"/>
    <w:qFormat/>
    <w:uiPriority w:val="99"/>
    <w:rPr>
      <w:rFonts w:ascii="宋体" w:hAnsi="Courier New" w:eastAsia="宋体"/>
      <w:szCs w:val="24"/>
    </w:rPr>
  </w:style>
  <w:style w:type="paragraph" w:styleId="23">
    <w:name w:val="toc 8"/>
    <w:basedOn w:val="1"/>
    <w:next w:val="1"/>
    <w:unhideWhenUsed/>
    <w:qFormat/>
    <w:uiPriority w:val="39"/>
    <w:pPr>
      <w:ind w:left="2940" w:leftChars="1400"/>
    </w:pPr>
  </w:style>
  <w:style w:type="paragraph" w:styleId="24">
    <w:name w:val="Date"/>
    <w:basedOn w:val="1"/>
    <w:next w:val="1"/>
    <w:link w:val="74"/>
    <w:unhideWhenUsed/>
    <w:qFormat/>
    <w:uiPriority w:val="0"/>
    <w:pPr>
      <w:ind w:left="100" w:leftChars="2500"/>
    </w:pPr>
  </w:style>
  <w:style w:type="paragraph" w:styleId="25">
    <w:name w:val="Balloon Text"/>
    <w:basedOn w:val="1"/>
    <w:link w:val="75"/>
    <w:unhideWhenUsed/>
    <w:qFormat/>
    <w:uiPriority w:val="0"/>
    <w:rPr>
      <w:sz w:val="18"/>
      <w:szCs w:val="18"/>
    </w:rPr>
  </w:style>
  <w:style w:type="paragraph" w:styleId="26">
    <w:name w:val="footer"/>
    <w:basedOn w:val="1"/>
    <w:link w:val="76"/>
    <w:unhideWhenUsed/>
    <w:qFormat/>
    <w:uiPriority w:val="99"/>
    <w:pPr>
      <w:tabs>
        <w:tab w:val="center" w:pos="4153"/>
        <w:tab w:val="right" w:pos="8306"/>
      </w:tabs>
      <w:snapToGrid w:val="0"/>
      <w:jc w:val="left"/>
    </w:pPr>
    <w:rPr>
      <w:sz w:val="18"/>
      <w:szCs w:val="18"/>
    </w:rPr>
  </w:style>
  <w:style w:type="paragraph" w:styleId="27">
    <w:name w:val="header"/>
    <w:basedOn w:val="1"/>
    <w:link w:val="77"/>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unhideWhenUsed/>
    <w:qFormat/>
    <w:uiPriority w:val="39"/>
    <w:pPr>
      <w:widowControl/>
      <w:tabs>
        <w:tab w:val="right" w:leader="dot" w:pos="8273"/>
      </w:tabs>
      <w:spacing w:line="360" w:lineRule="auto"/>
      <w:jc w:val="left"/>
    </w:pPr>
    <w:rPr>
      <w:rFonts w:eastAsia="黑体"/>
      <w:kern w:val="0"/>
      <w:sz w:val="22"/>
    </w:rPr>
  </w:style>
  <w:style w:type="paragraph" w:styleId="29">
    <w:name w:val="toc 4"/>
    <w:basedOn w:val="1"/>
    <w:next w:val="1"/>
    <w:unhideWhenUsed/>
    <w:qFormat/>
    <w:uiPriority w:val="39"/>
    <w:pPr>
      <w:ind w:left="1260" w:leftChars="600"/>
    </w:pPr>
  </w:style>
  <w:style w:type="paragraph" w:styleId="30">
    <w:name w:val="index heading"/>
    <w:basedOn w:val="1"/>
    <w:next w:val="31"/>
    <w:qFormat/>
    <w:uiPriority w:val="99"/>
    <w:rPr>
      <w:rFonts w:ascii="Times New Roman" w:hAnsi="Times New Roman" w:eastAsia="宋体" w:cs="Times New Roman"/>
      <w:szCs w:val="20"/>
    </w:rPr>
  </w:style>
  <w:style w:type="paragraph" w:styleId="31">
    <w:name w:val="index 1"/>
    <w:basedOn w:val="1"/>
    <w:next w:val="1"/>
    <w:unhideWhenUsed/>
    <w:qFormat/>
    <w:uiPriority w:val="99"/>
  </w:style>
  <w:style w:type="paragraph" w:styleId="32">
    <w:name w:val="Subtitle"/>
    <w:basedOn w:val="1"/>
    <w:next w:val="1"/>
    <w:link w:val="6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toc 6"/>
    <w:basedOn w:val="1"/>
    <w:next w:val="1"/>
    <w:unhideWhenUsed/>
    <w:qFormat/>
    <w:uiPriority w:val="39"/>
    <w:pPr>
      <w:ind w:left="2100" w:leftChars="1000"/>
    </w:pPr>
  </w:style>
  <w:style w:type="paragraph" w:styleId="34">
    <w:name w:val="Body Text Indent 3"/>
    <w:basedOn w:val="1"/>
    <w:link w:val="78"/>
    <w:unhideWhenUsed/>
    <w:qFormat/>
    <w:uiPriority w:val="99"/>
    <w:pPr>
      <w:spacing w:after="120"/>
      <w:ind w:left="420" w:leftChars="200"/>
    </w:pPr>
    <w:rPr>
      <w:sz w:val="16"/>
      <w:szCs w:val="16"/>
    </w:rPr>
  </w:style>
  <w:style w:type="paragraph" w:styleId="35">
    <w:name w:val="toc 2"/>
    <w:basedOn w:val="1"/>
    <w:next w:val="1"/>
    <w:unhideWhenUsed/>
    <w:qFormat/>
    <w:uiPriority w:val="39"/>
    <w:pPr>
      <w:widowControl/>
      <w:tabs>
        <w:tab w:val="left" w:pos="709"/>
        <w:tab w:val="right" w:leader="dot" w:pos="8302"/>
      </w:tabs>
      <w:spacing w:after="100" w:line="276" w:lineRule="auto"/>
      <w:ind w:left="220"/>
      <w:jc w:val="left"/>
    </w:pPr>
    <w:rPr>
      <w:kern w:val="0"/>
      <w:sz w:val="22"/>
    </w:rPr>
  </w:style>
  <w:style w:type="paragraph" w:styleId="36">
    <w:name w:val="toc 9"/>
    <w:basedOn w:val="1"/>
    <w:next w:val="1"/>
    <w:unhideWhenUsed/>
    <w:qFormat/>
    <w:uiPriority w:val="39"/>
    <w:pPr>
      <w:ind w:left="3360" w:leftChars="1600"/>
    </w:pPr>
  </w:style>
  <w:style w:type="paragraph" w:styleId="37">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38">
    <w:name w:val="Title"/>
    <w:basedOn w:val="1"/>
    <w:next w:val="1"/>
    <w:link w:val="59"/>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39">
    <w:name w:val="annotation subject"/>
    <w:basedOn w:val="15"/>
    <w:next w:val="15"/>
    <w:link w:val="79"/>
    <w:unhideWhenUsed/>
    <w:qFormat/>
    <w:uiPriority w:val="0"/>
    <w:rPr>
      <w:b/>
      <w:bCs/>
    </w:rPr>
  </w:style>
  <w:style w:type="paragraph" w:styleId="40">
    <w:name w:val="Body Text First Indent 2"/>
    <w:basedOn w:val="18"/>
    <w:link w:val="80"/>
    <w:unhideWhenUsed/>
    <w:qFormat/>
    <w:uiPriority w:val="0"/>
    <w:pPr>
      <w:spacing w:after="0"/>
      <w:ind w:left="0" w:leftChars="0" w:firstLine="420" w:firstLineChars="200"/>
    </w:pPr>
    <w:rPr>
      <w:rFonts w:ascii="Times New Roman" w:hAnsi="Times New Roman" w:eastAsia="仿宋体" w:cs="Times New Roman"/>
      <w:kern w:val="0"/>
      <w:sz w:val="32"/>
      <w:szCs w:val="32"/>
    </w:rPr>
  </w:style>
  <w:style w:type="table" w:styleId="42">
    <w:name w:val="Table Grid"/>
    <w:basedOn w:val="4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basedOn w:val="43"/>
    <w:qFormat/>
    <w:uiPriority w:val="0"/>
    <w:rPr>
      <w:b/>
      <w:bCs/>
    </w:rPr>
  </w:style>
  <w:style w:type="character" w:styleId="45">
    <w:name w:val="page number"/>
    <w:qFormat/>
    <w:uiPriority w:val="0"/>
  </w:style>
  <w:style w:type="character" w:styleId="46">
    <w:name w:val="FollowedHyperlink"/>
    <w:basedOn w:val="43"/>
    <w:unhideWhenUsed/>
    <w:qFormat/>
    <w:uiPriority w:val="99"/>
    <w:rPr>
      <w:color w:val="954F72" w:themeColor="followedHyperlink"/>
      <w:u w:val="single"/>
      <w14:textFill>
        <w14:solidFill>
          <w14:schemeClr w14:val="folHlink"/>
        </w14:solidFill>
      </w14:textFill>
    </w:rPr>
  </w:style>
  <w:style w:type="character" w:styleId="47">
    <w:name w:val="Emphasis"/>
    <w:basedOn w:val="43"/>
    <w:qFormat/>
    <w:uiPriority w:val="20"/>
    <w:rPr>
      <w:i/>
      <w:iCs/>
    </w:rPr>
  </w:style>
  <w:style w:type="character" w:styleId="48">
    <w:name w:val="Hyperlink"/>
    <w:qFormat/>
    <w:uiPriority w:val="99"/>
    <w:rPr>
      <w:color w:val="0000FF"/>
      <w:u w:val="single"/>
    </w:rPr>
  </w:style>
  <w:style w:type="character" w:styleId="49">
    <w:name w:val="annotation reference"/>
    <w:basedOn w:val="43"/>
    <w:unhideWhenUsed/>
    <w:qFormat/>
    <w:uiPriority w:val="0"/>
    <w:rPr>
      <w:sz w:val="21"/>
      <w:szCs w:val="21"/>
    </w:rPr>
  </w:style>
  <w:style w:type="character" w:customStyle="1" w:styleId="50">
    <w:name w:val="标题 1 字符"/>
    <w:basedOn w:val="43"/>
    <w:link w:val="2"/>
    <w:qFormat/>
    <w:uiPriority w:val="99"/>
    <w:rPr>
      <w:rFonts w:asciiTheme="majorHAnsi" w:hAnsiTheme="majorHAnsi" w:eastAsiaTheme="majorEastAsia" w:cstheme="majorBidi"/>
      <w:color w:val="2F5597" w:themeColor="accent1" w:themeShade="BF"/>
      <w:sz w:val="48"/>
      <w:szCs w:val="48"/>
    </w:rPr>
  </w:style>
  <w:style w:type="character" w:customStyle="1" w:styleId="51">
    <w:name w:val="标题 2 字符"/>
    <w:basedOn w:val="43"/>
    <w:link w:val="3"/>
    <w:qFormat/>
    <w:uiPriority w:val="0"/>
    <w:rPr>
      <w:rFonts w:asciiTheme="majorHAnsi" w:hAnsiTheme="majorHAnsi" w:cstheme="majorBidi"/>
      <w:kern w:val="2"/>
      <w:sz w:val="28"/>
      <w:szCs w:val="40"/>
      <w14:ligatures w14:val="standardContextual"/>
    </w:rPr>
  </w:style>
  <w:style w:type="character" w:customStyle="1" w:styleId="52">
    <w:name w:val="标题 3 字符"/>
    <w:basedOn w:val="43"/>
    <w:link w:val="4"/>
    <w:qFormat/>
    <w:uiPriority w:val="9"/>
    <w:rPr>
      <w:rFonts w:asciiTheme="majorHAnsi" w:hAnsiTheme="majorHAnsi" w:cstheme="majorBidi"/>
      <w:kern w:val="2"/>
      <w:sz w:val="21"/>
      <w:szCs w:val="32"/>
      <w14:ligatures w14:val="standardContextual"/>
    </w:rPr>
  </w:style>
  <w:style w:type="character" w:customStyle="1" w:styleId="53">
    <w:name w:val="标题 4 字符"/>
    <w:basedOn w:val="43"/>
    <w:link w:val="5"/>
    <w:semiHidden/>
    <w:qFormat/>
    <w:uiPriority w:val="9"/>
    <w:rPr>
      <w:rFonts w:cstheme="majorBidi"/>
      <w:color w:val="2F5597" w:themeColor="accent1" w:themeShade="BF"/>
      <w:sz w:val="28"/>
      <w:szCs w:val="28"/>
    </w:rPr>
  </w:style>
  <w:style w:type="character" w:customStyle="1" w:styleId="54">
    <w:name w:val="标题 5 字符"/>
    <w:basedOn w:val="43"/>
    <w:link w:val="6"/>
    <w:qFormat/>
    <w:uiPriority w:val="0"/>
    <w:rPr>
      <w:rFonts w:cstheme="majorBidi"/>
      <w:color w:val="2F5597" w:themeColor="accent1" w:themeShade="BF"/>
      <w:sz w:val="24"/>
      <w:szCs w:val="24"/>
    </w:rPr>
  </w:style>
  <w:style w:type="character" w:customStyle="1" w:styleId="55">
    <w:name w:val="标题 6 字符"/>
    <w:basedOn w:val="43"/>
    <w:link w:val="7"/>
    <w:semiHidden/>
    <w:qFormat/>
    <w:uiPriority w:val="9"/>
    <w:rPr>
      <w:rFonts w:cstheme="majorBidi"/>
      <w:b/>
      <w:bCs/>
      <w:color w:val="2F5597" w:themeColor="accent1" w:themeShade="BF"/>
    </w:rPr>
  </w:style>
  <w:style w:type="character" w:customStyle="1" w:styleId="56">
    <w:name w:val="标题 7 字符"/>
    <w:basedOn w:val="4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57">
    <w:name w:val="标题 8 字符"/>
    <w:basedOn w:val="4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58">
    <w:name w:val="标题 9 字符"/>
    <w:basedOn w:val="4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9">
    <w:name w:val="标题 字符"/>
    <w:basedOn w:val="43"/>
    <w:link w:val="38"/>
    <w:qFormat/>
    <w:uiPriority w:val="10"/>
    <w:rPr>
      <w:rFonts w:asciiTheme="majorHAnsi" w:hAnsiTheme="majorHAnsi" w:eastAsiaTheme="majorEastAsia" w:cstheme="majorBidi"/>
      <w:spacing w:val="-10"/>
      <w:kern w:val="28"/>
      <w:sz w:val="56"/>
      <w:szCs w:val="56"/>
    </w:rPr>
  </w:style>
  <w:style w:type="character" w:customStyle="1" w:styleId="60">
    <w:name w:val="副标题 字符"/>
    <w:basedOn w:val="43"/>
    <w:link w:val="3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1">
    <w:name w:val="Quote"/>
    <w:basedOn w:val="1"/>
    <w:next w:val="1"/>
    <w:link w:val="6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62">
    <w:name w:val="引用 字符"/>
    <w:basedOn w:val="43"/>
    <w:link w:val="61"/>
    <w:qFormat/>
    <w:uiPriority w:val="29"/>
    <w:rPr>
      <w:i/>
      <w:iCs/>
      <w:color w:val="404040" w:themeColor="text1" w:themeTint="BF"/>
      <w14:textFill>
        <w14:solidFill>
          <w14:schemeClr w14:val="tx1">
            <w14:lumMod w14:val="75000"/>
            <w14:lumOff w14:val="25000"/>
          </w14:schemeClr>
        </w14:solidFill>
      </w14:textFill>
    </w:rPr>
  </w:style>
  <w:style w:type="paragraph" w:styleId="63">
    <w:name w:val="List Paragraph"/>
    <w:basedOn w:val="1"/>
    <w:link w:val="89"/>
    <w:qFormat/>
    <w:uiPriority w:val="34"/>
    <w:pPr>
      <w:ind w:left="720"/>
      <w:contextualSpacing/>
    </w:pPr>
  </w:style>
  <w:style w:type="character" w:customStyle="1" w:styleId="64">
    <w:name w:val="明显强调1"/>
    <w:basedOn w:val="43"/>
    <w:qFormat/>
    <w:uiPriority w:val="21"/>
    <w:rPr>
      <w:i/>
      <w:iCs/>
      <w:color w:val="2F5597" w:themeColor="accent1" w:themeShade="BF"/>
    </w:rPr>
  </w:style>
  <w:style w:type="paragraph" w:styleId="65">
    <w:name w:val="Intense Quote"/>
    <w:basedOn w:val="1"/>
    <w:next w:val="1"/>
    <w:link w:val="6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66">
    <w:name w:val="明显引用 字符"/>
    <w:basedOn w:val="43"/>
    <w:link w:val="65"/>
    <w:qFormat/>
    <w:uiPriority w:val="30"/>
    <w:rPr>
      <w:i/>
      <w:iCs/>
      <w:color w:val="2F5597" w:themeColor="accent1" w:themeShade="BF"/>
    </w:rPr>
  </w:style>
  <w:style w:type="character" w:customStyle="1" w:styleId="67">
    <w:name w:val="明显参考1"/>
    <w:basedOn w:val="43"/>
    <w:qFormat/>
    <w:uiPriority w:val="32"/>
    <w:rPr>
      <w:b/>
      <w:bCs/>
      <w:smallCaps/>
      <w:color w:val="2F5597" w:themeColor="accent1" w:themeShade="BF"/>
      <w:spacing w:val="5"/>
    </w:rPr>
  </w:style>
  <w:style w:type="character" w:customStyle="1" w:styleId="68">
    <w:name w:val="正文文本 字符"/>
    <w:basedOn w:val="43"/>
    <w:link w:val="17"/>
    <w:qFormat/>
    <w:uiPriority w:val="99"/>
    <w:rPr>
      <w:rFonts w:ascii="Times New Roman" w:hAnsi="Times New Roman" w:eastAsia="宋体" w:cs="Times New Roman"/>
      <w:szCs w:val="24"/>
    </w:rPr>
  </w:style>
  <w:style w:type="character" w:customStyle="1" w:styleId="69">
    <w:name w:val="文档结构图 字符"/>
    <w:basedOn w:val="43"/>
    <w:link w:val="14"/>
    <w:semiHidden/>
    <w:qFormat/>
    <w:uiPriority w:val="99"/>
    <w:rPr>
      <w:rFonts w:ascii="宋体" w:eastAsia="宋体"/>
      <w:sz w:val="18"/>
      <w:szCs w:val="18"/>
    </w:rPr>
  </w:style>
  <w:style w:type="character" w:customStyle="1" w:styleId="70">
    <w:name w:val="批注文字 字符"/>
    <w:basedOn w:val="43"/>
    <w:link w:val="15"/>
    <w:qFormat/>
    <w:uiPriority w:val="0"/>
  </w:style>
  <w:style w:type="character" w:customStyle="1" w:styleId="71">
    <w:name w:val="正文文本 3 字符"/>
    <w:basedOn w:val="43"/>
    <w:link w:val="16"/>
    <w:qFormat/>
    <w:uiPriority w:val="0"/>
    <w:rPr>
      <w:rFonts w:ascii="Times New Roman" w:hAnsi="Times New Roman" w:eastAsia="宋体" w:cs="Times New Roman"/>
      <w:kern w:val="0"/>
      <w:sz w:val="16"/>
      <w:szCs w:val="16"/>
    </w:rPr>
  </w:style>
  <w:style w:type="character" w:customStyle="1" w:styleId="72">
    <w:name w:val="正文文本缩进 字符"/>
    <w:basedOn w:val="43"/>
    <w:link w:val="18"/>
    <w:qFormat/>
    <w:uiPriority w:val="99"/>
  </w:style>
  <w:style w:type="character" w:customStyle="1" w:styleId="73">
    <w:name w:val="纯文本 字符"/>
    <w:basedOn w:val="43"/>
    <w:link w:val="22"/>
    <w:qFormat/>
    <w:uiPriority w:val="99"/>
    <w:rPr>
      <w:rFonts w:ascii="宋体" w:hAnsi="Courier New" w:eastAsia="宋体"/>
      <w:szCs w:val="24"/>
    </w:rPr>
  </w:style>
  <w:style w:type="character" w:customStyle="1" w:styleId="74">
    <w:name w:val="日期 字符"/>
    <w:basedOn w:val="43"/>
    <w:link w:val="24"/>
    <w:qFormat/>
    <w:uiPriority w:val="0"/>
  </w:style>
  <w:style w:type="character" w:customStyle="1" w:styleId="75">
    <w:name w:val="批注框文本 字符"/>
    <w:basedOn w:val="43"/>
    <w:link w:val="25"/>
    <w:qFormat/>
    <w:uiPriority w:val="0"/>
    <w:rPr>
      <w:sz w:val="18"/>
      <w:szCs w:val="18"/>
    </w:rPr>
  </w:style>
  <w:style w:type="character" w:customStyle="1" w:styleId="76">
    <w:name w:val="页脚 字符"/>
    <w:basedOn w:val="43"/>
    <w:link w:val="26"/>
    <w:qFormat/>
    <w:uiPriority w:val="99"/>
    <w:rPr>
      <w:sz w:val="18"/>
      <w:szCs w:val="18"/>
    </w:rPr>
  </w:style>
  <w:style w:type="character" w:customStyle="1" w:styleId="77">
    <w:name w:val="页眉 字符"/>
    <w:basedOn w:val="43"/>
    <w:link w:val="27"/>
    <w:qFormat/>
    <w:uiPriority w:val="99"/>
    <w:rPr>
      <w:sz w:val="18"/>
      <w:szCs w:val="18"/>
    </w:rPr>
  </w:style>
  <w:style w:type="character" w:customStyle="1" w:styleId="78">
    <w:name w:val="正文文本缩进 3 字符"/>
    <w:basedOn w:val="43"/>
    <w:link w:val="34"/>
    <w:qFormat/>
    <w:uiPriority w:val="99"/>
    <w:rPr>
      <w:sz w:val="16"/>
      <w:szCs w:val="16"/>
    </w:rPr>
  </w:style>
  <w:style w:type="character" w:customStyle="1" w:styleId="79">
    <w:name w:val="批注主题 字符"/>
    <w:basedOn w:val="70"/>
    <w:link w:val="39"/>
    <w:qFormat/>
    <w:uiPriority w:val="0"/>
    <w:rPr>
      <w:b/>
      <w:bCs/>
    </w:rPr>
  </w:style>
  <w:style w:type="character" w:customStyle="1" w:styleId="80">
    <w:name w:val="正文文本首行缩进 2 字符"/>
    <w:basedOn w:val="72"/>
    <w:link w:val="40"/>
    <w:qFormat/>
    <w:uiPriority w:val="0"/>
    <w:rPr>
      <w:rFonts w:ascii="Times New Roman" w:hAnsi="Times New Roman" w:eastAsia="仿宋体" w:cs="Times New Roman"/>
      <w:kern w:val="0"/>
      <w:sz w:val="32"/>
      <w:szCs w:val="32"/>
    </w:rPr>
  </w:style>
  <w:style w:type="character" w:customStyle="1" w:styleId="81">
    <w:name w:val="p141"/>
    <w:qFormat/>
    <w:uiPriority w:val="0"/>
    <w:rPr>
      <w:sz w:val="21"/>
      <w:szCs w:val="21"/>
    </w:rPr>
  </w:style>
  <w:style w:type="paragraph" w:customStyle="1" w:styleId="82">
    <w:name w:val="TOC 标题1"/>
    <w:basedOn w:val="2"/>
    <w:next w:val="1"/>
    <w:unhideWhenUsed/>
    <w:qFormat/>
    <w:uiPriority w:val="39"/>
    <w:pPr>
      <w:widowControl/>
      <w:spacing w:after="0" w:line="276" w:lineRule="auto"/>
      <w:jc w:val="left"/>
      <w:outlineLvl w:val="9"/>
    </w:pPr>
    <w:rPr>
      <w:b/>
      <w:bCs/>
      <w:kern w:val="0"/>
      <w:sz w:val="28"/>
      <w:szCs w:val="28"/>
    </w:rPr>
  </w:style>
  <w:style w:type="paragraph" w:customStyle="1" w:styleId="83">
    <w:name w:val="正文缩进2格"/>
    <w:basedOn w:val="1"/>
    <w:link w:val="84"/>
    <w:qFormat/>
    <w:uiPriority w:val="0"/>
    <w:pPr>
      <w:spacing w:line="600" w:lineRule="exact"/>
      <w:ind w:firstLine="639" w:firstLineChars="206"/>
    </w:pPr>
    <w:rPr>
      <w:rFonts w:ascii="仿宋_GB2312" w:hAnsi="宋体" w:eastAsia="仿宋_GB2312" w:cs="Times New Roman"/>
      <w:sz w:val="31"/>
      <w:szCs w:val="28"/>
    </w:rPr>
  </w:style>
  <w:style w:type="character" w:customStyle="1" w:styleId="84">
    <w:name w:val="正文缩进2格 Char"/>
    <w:link w:val="83"/>
    <w:qFormat/>
    <w:uiPriority w:val="0"/>
    <w:rPr>
      <w:rFonts w:ascii="仿宋_GB2312" w:hAnsi="宋体" w:eastAsia="仿宋_GB2312" w:cs="Times New Roman"/>
      <w:sz w:val="31"/>
      <w:szCs w:val="28"/>
    </w:rPr>
  </w:style>
  <w:style w:type="character" w:customStyle="1" w:styleId="85">
    <w:name w:val="纯文本 Char"/>
    <w:basedOn w:val="43"/>
    <w:semiHidden/>
    <w:qFormat/>
    <w:uiPriority w:val="99"/>
    <w:rPr>
      <w:rFonts w:ascii="宋体" w:hAnsi="Courier New" w:eastAsia="宋体" w:cs="Courier New"/>
      <w:szCs w:val="21"/>
    </w:rPr>
  </w:style>
  <w:style w:type="character" w:customStyle="1" w:styleId="86">
    <w:name w:val="正文缩进2格 Char Char"/>
    <w:basedOn w:val="43"/>
    <w:qFormat/>
    <w:uiPriority w:val="0"/>
    <w:rPr>
      <w:rFonts w:ascii="仿宋_GB2312" w:hAnsi="宋体" w:eastAsia="仿宋_GB2312"/>
      <w:kern w:val="2"/>
      <w:sz w:val="31"/>
      <w:szCs w:val="28"/>
      <w:lang w:val="en-US" w:eastAsia="zh-CN" w:bidi="ar-SA"/>
    </w:rPr>
  </w:style>
  <w:style w:type="paragraph" w:customStyle="1" w:styleId="87">
    <w:name w:val="正文缩进4格"/>
    <w:basedOn w:val="83"/>
    <w:qFormat/>
    <w:uiPriority w:val="0"/>
    <w:pPr>
      <w:spacing w:line="340" w:lineRule="exact"/>
      <w:ind w:firstLine="315" w:firstLineChars="0"/>
    </w:pPr>
    <w:rPr>
      <w:rFonts w:ascii="宋体" w:eastAsia="宋体"/>
      <w:sz w:val="24"/>
      <w:szCs w:val="24"/>
    </w:rPr>
  </w:style>
  <w:style w:type="character" w:customStyle="1" w:styleId="88">
    <w:name w:val="正文文本 Char"/>
    <w:basedOn w:val="43"/>
    <w:semiHidden/>
    <w:qFormat/>
    <w:uiPriority w:val="99"/>
  </w:style>
  <w:style w:type="character" w:customStyle="1" w:styleId="89">
    <w:name w:val="列表段落 字符"/>
    <w:link w:val="63"/>
    <w:qFormat/>
    <w:uiPriority w:val="34"/>
  </w:style>
  <w:style w:type="paragraph" w:customStyle="1" w:styleId="90">
    <w:name w:val="保留正文"/>
    <w:basedOn w:val="17"/>
    <w:qFormat/>
    <w:uiPriority w:val="0"/>
    <w:pPr>
      <w:keepNext/>
      <w:spacing w:after="160"/>
    </w:pPr>
  </w:style>
  <w:style w:type="paragraph" w:customStyle="1" w:styleId="91">
    <w:name w:val="列出段落1"/>
    <w:basedOn w:val="1"/>
    <w:qFormat/>
    <w:uiPriority w:val="0"/>
    <w:pPr>
      <w:ind w:firstLine="420" w:firstLineChars="200"/>
    </w:pPr>
    <w:rPr>
      <w:rFonts w:ascii="Calibri" w:hAnsi="Calibri" w:eastAsia="宋体" w:cs="黑体"/>
    </w:rPr>
  </w:style>
  <w:style w:type="paragraph" w:customStyle="1" w:styleId="92">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93">
    <w:name w:val="_Style 202"/>
    <w:basedOn w:val="1"/>
    <w:qFormat/>
    <w:uiPriority w:val="0"/>
    <w:pPr>
      <w:tabs>
        <w:tab w:val="left" w:pos="360"/>
      </w:tabs>
    </w:pPr>
    <w:rPr>
      <w:rFonts w:ascii="Times New Roman" w:hAnsi="Times New Roman" w:eastAsia="宋体" w:cs="Times New Roman"/>
      <w:szCs w:val="24"/>
    </w:rPr>
  </w:style>
  <w:style w:type="paragraph" w:customStyle="1" w:styleId="94">
    <w:name w:val="Char1 Char Char Char"/>
    <w:basedOn w:val="1"/>
    <w:qFormat/>
    <w:uiPriority w:val="0"/>
    <w:rPr>
      <w:rFonts w:ascii="黑体" w:hAnsi="Verdana" w:eastAsia="黑体" w:cs="Times New Roman"/>
      <w:kern w:val="0"/>
      <w:sz w:val="32"/>
      <w:szCs w:val="32"/>
      <w:lang w:eastAsia="en-US"/>
    </w:rPr>
  </w:style>
  <w:style w:type="paragraph" w:customStyle="1" w:styleId="95">
    <w:name w:val="1 Char Char Char Char"/>
    <w:basedOn w:val="1"/>
    <w:qFormat/>
    <w:uiPriority w:val="0"/>
    <w:pPr>
      <w:spacing w:after="160" w:line="240" w:lineRule="exact"/>
    </w:pPr>
    <w:rPr>
      <w:rFonts w:ascii="Times New Roman" w:hAnsi="Times New Roman" w:eastAsia="宋体" w:cs="Times New Roman"/>
      <w:szCs w:val="24"/>
    </w:rPr>
  </w:style>
  <w:style w:type="paragraph" w:customStyle="1" w:styleId="96">
    <w:name w:val="样式4"/>
    <w:basedOn w:val="1"/>
    <w:qFormat/>
    <w:uiPriority w:val="0"/>
    <w:pPr>
      <w:tabs>
        <w:tab w:val="left" w:pos="2328"/>
      </w:tabs>
      <w:ind w:left="2328" w:hanging="708"/>
    </w:pPr>
    <w:rPr>
      <w:rFonts w:ascii="Times New Roman" w:hAnsi="Times New Roman" w:eastAsia="宋体" w:cs="Times New Roman"/>
      <w:szCs w:val="24"/>
    </w:rPr>
  </w:style>
  <w:style w:type="paragraph" w:customStyle="1" w:styleId="97">
    <w:name w:val="Char Char Char Char Char Char Char Char Char Char Char Char1 Char Char Char Char"/>
    <w:basedOn w:val="1"/>
    <w:qFormat/>
    <w:uiPriority w:val="0"/>
    <w:pPr>
      <w:widowControl/>
      <w:spacing w:after="160" w:line="240" w:lineRule="exact"/>
      <w:jc w:val="center"/>
    </w:pPr>
    <w:rPr>
      <w:rFonts w:ascii="黑体" w:hAnsi="Verdana" w:eastAsia="黑体" w:cs="Times New Roman"/>
      <w:kern w:val="0"/>
      <w:sz w:val="32"/>
      <w:szCs w:val="32"/>
      <w:lang w:eastAsia="en-US"/>
    </w:rPr>
  </w:style>
  <w:style w:type="character" w:customStyle="1" w:styleId="98">
    <w:name w:val="未处理的提及1"/>
    <w:basedOn w:val="43"/>
    <w:semiHidden/>
    <w:unhideWhenUsed/>
    <w:qFormat/>
    <w:uiPriority w:val="99"/>
    <w:rPr>
      <w:color w:val="605E5C"/>
      <w:shd w:val="clear" w:color="auto" w:fill="E1DFDD"/>
    </w:rPr>
  </w:style>
  <w:style w:type="character" w:customStyle="1" w:styleId="99">
    <w:name w:val="未处理的提及2"/>
    <w:basedOn w:val="43"/>
    <w:semiHidden/>
    <w:unhideWhenUsed/>
    <w:qFormat/>
    <w:uiPriority w:val="99"/>
    <w:rPr>
      <w:color w:val="605E5C"/>
      <w:shd w:val="clear" w:color="auto" w:fill="E1DFDD"/>
    </w:rPr>
  </w:style>
  <w:style w:type="paragraph" w:customStyle="1" w:styleId="100">
    <w:name w:val="_Style 3"/>
    <w:next w:val="34"/>
    <w:qFormat/>
    <w:uiPriority w:val="0"/>
    <w:pPr>
      <w:widowControl w:val="0"/>
      <w:jc w:val="both"/>
    </w:pPr>
    <w:rPr>
      <w:rFonts w:ascii="Times New Roman" w:hAnsi="Times New Roman" w:eastAsia="宋体" w:cs="Times New Roman"/>
      <w:kern w:val="2"/>
      <w:sz w:val="21"/>
      <w:szCs w:val="22"/>
      <w:lang w:val="en-US" w:eastAsia="zh-CN" w:bidi="ar-SA"/>
      <w14:ligatures w14:val="standardContextual"/>
    </w:rPr>
  </w:style>
  <w:style w:type="character" w:customStyle="1" w:styleId="101">
    <w:name w:val="15"/>
    <w:basedOn w:val="43"/>
    <w:qFormat/>
    <w:uiPriority w:val="0"/>
    <w:rPr>
      <w:rFonts w:hint="eastAsia" w:ascii="微软雅黑" w:hAnsi="微软雅黑" w:eastAsia="微软雅黑"/>
      <w:color w:val="000000"/>
      <w:sz w:val="20"/>
      <w:szCs w:val="20"/>
    </w:rPr>
  </w:style>
  <w:style w:type="character" w:customStyle="1" w:styleId="102">
    <w:name w:val="16"/>
    <w:basedOn w:val="43"/>
    <w:qFormat/>
    <w:uiPriority w:val="0"/>
    <w:rPr>
      <w:rFonts w:hint="eastAsia" w:ascii="微软雅黑" w:hAnsi="微软雅黑" w:eastAsia="微软雅黑"/>
      <w:color w:val="000000"/>
      <w:sz w:val="20"/>
      <w:szCs w:val="20"/>
    </w:rPr>
  </w:style>
  <w:style w:type="character" w:customStyle="1" w:styleId="103">
    <w:name w:val="font21"/>
    <w:basedOn w:val="43"/>
    <w:qFormat/>
    <w:uiPriority w:val="0"/>
    <w:rPr>
      <w:rFonts w:ascii="宋体" w:hAnsi="宋体" w:eastAsia="宋体" w:cs="宋体"/>
      <w:color w:val="000000"/>
      <w:sz w:val="20"/>
      <w:szCs w:val="20"/>
      <w:u w:val="none"/>
    </w:rPr>
  </w:style>
  <w:style w:type="character" w:customStyle="1" w:styleId="104">
    <w:name w:val="font31"/>
    <w:basedOn w:val="43"/>
    <w:qFormat/>
    <w:uiPriority w:val="0"/>
    <w:rPr>
      <w:rFonts w:ascii="宋体" w:hAnsi="宋体" w:eastAsia="宋体" w:cs="宋体"/>
      <w:color w:val="000000"/>
      <w:sz w:val="24"/>
      <w:szCs w:val="24"/>
      <w:u w:val="none"/>
    </w:rPr>
  </w:style>
  <w:style w:type="paragraph" w:customStyle="1" w:styleId="105">
    <w:name w:val="Char"/>
    <w:basedOn w:val="1"/>
    <w:qFormat/>
    <w:uiPriority w:val="99"/>
    <w:pPr>
      <w:widowControl/>
      <w:spacing w:after="160" w:line="240" w:lineRule="exact"/>
      <w:jc w:val="left"/>
    </w:pPr>
    <w:rPr>
      <w:rFonts w:ascii="Verdana" w:hAnsi="Verdana" w:eastAsia="宋体" w:cs="Times New Roman"/>
      <w:kern w:val="0"/>
      <w:szCs w:val="20"/>
      <w:lang w:eastAsia="en-US"/>
    </w:rPr>
  </w:style>
  <w:style w:type="paragraph" w:customStyle="1" w:styleId="106">
    <w:name w:val="题注5"/>
    <w:basedOn w:val="1"/>
    <w:next w:val="13"/>
    <w:qFormat/>
    <w:uiPriority w:val="99"/>
    <w:pPr>
      <w:jc w:val="center"/>
    </w:pPr>
    <w:rPr>
      <w:rFonts w:ascii="Times New Roman" w:hAnsi="Times New Roman" w:eastAsia="宋体" w:cs="Times New Roman"/>
      <w:b/>
      <w:color w:val="000000"/>
      <w:sz w:val="24"/>
      <w:szCs w:val="21"/>
    </w:rPr>
  </w:style>
  <w:style w:type="paragraph" w:customStyle="1" w:styleId="107">
    <w:name w:val="题注4"/>
    <w:basedOn w:val="1"/>
    <w:next w:val="13"/>
    <w:qFormat/>
    <w:uiPriority w:val="99"/>
    <w:pPr>
      <w:ind w:left="-132" w:leftChars="-64" w:right="-105" w:rightChars="-50" w:hanging="2"/>
      <w:jc w:val="center"/>
    </w:pPr>
    <w:rPr>
      <w:rFonts w:ascii="Times New Roman" w:hAnsi="Times New Roman" w:eastAsia="宋体" w:cs="Times New Roman"/>
      <w:b/>
      <w:color w:val="FF0000"/>
      <w:szCs w:val="21"/>
      <w:lang w:val="en-GB"/>
    </w:rPr>
  </w:style>
  <w:style w:type="paragraph" w:customStyle="1" w:styleId="108">
    <w:name w:val="表格文字"/>
    <w:basedOn w:val="1"/>
    <w:qFormat/>
    <w:uiPriority w:val="99"/>
    <w:pPr>
      <w:spacing w:before="25" w:after="25"/>
      <w:jc w:val="left"/>
    </w:pPr>
    <w:rPr>
      <w:rFonts w:ascii="Times New Roman" w:hAnsi="Times New Roman" w:eastAsia="宋体" w:cs="Times New Roman"/>
      <w:bCs/>
      <w:spacing w:val="10"/>
      <w:kern w:val="0"/>
      <w:sz w:val="24"/>
      <w:szCs w:val="20"/>
    </w:rPr>
  </w:style>
  <w:style w:type="paragraph" w:customStyle="1" w:styleId="109">
    <w:name w:val="Default"/>
    <w:unhideWhenUsed/>
    <w:qFormat/>
    <w:uiPriority w:val="0"/>
    <w:pPr>
      <w:widowControl w:val="0"/>
      <w:autoSpaceDE w:val="0"/>
      <w:autoSpaceDN w:val="0"/>
      <w:adjustRightInd w:val="0"/>
    </w:pPr>
    <w:rPr>
      <w:rFonts w:hint="eastAsia" w:ascii="DEZBWU+FZY4JW--GB1-0" w:hAnsi="DEZBWU+FZY4JW--GB1-0" w:eastAsia="DEZBWU+FZY4JW--GB1-0" w:cs="Times New Roman"/>
      <w:color w:val="000000"/>
      <w:sz w:val="24"/>
      <w:lang w:val="en-US" w:eastAsia="zh-CN" w:bidi="ar-SA"/>
      <w14:ligatures w14:val="standardContextual"/>
    </w:rPr>
  </w:style>
  <w:style w:type="paragraph" w:customStyle="1" w:styleId="110">
    <w:name w:val="p0"/>
    <w:basedOn w:val="1"/>
    <w:qFormat/>
    <w:uiPriority w:val="0"/>
    <w:pPr>
      <w:widowControl/>
    </w:pPr>
    <w:rPr>
      <w:rFonts w:ascii="宋体" w:hAnsi="宋体" w:eastAsia="宋体" w:cs="宋体"/>
      <w:kern w:val="0"/>
      <w:sz w:val="27"/>
      <w:szCs w:val="27"/>
    </w:rPr>
  </w:style>
  <w:style w:type="paragraph" w:customStyle="1" w:styleId="111">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customStyle="1" w:styleId="112">
    <w:name w:val="BodyText"/>
    <w:basedOn w:val="1"/>
    <w:qFormat/>
    <w:uiPriority w:val="0"/>
    <w:pPr>
      <w:snapToGrid w:val="0"/>
      <w:spacing w:line="360" w:lineRule="auto"/>
      <w:ind w:right="600"/>
      <w:textAlignment w:val="baseline"/>
    </w:pPr>
    <w:rPr>
      <w:rFonts w:ascii="Times New Roman" w:hAnsi="Times New Roman" w:eastAsia="宋体" w:cs="Times New Roman"/>
      <w:kern w:val="0"/>
      <w:szCs w:val="24"/>
    </w:rPr>
  </w:style>
  <w:style w:type="paragraph" w:customStyle="1" w:styleId="113">
    <w:name w:val="内容样式"/>
    <w:basedOn w:val="1"/>
    <w:qFormat/>
    <w:uiPriority w:val="99"/>
    <w:pPr>
      <w:snapToGrid w:val="0"/>
      <w:spacing w:line="460" w:lineRule="exact"/>
      <w:ind w:firstLine="560" w:firstLineChars="200"/>
      <w:jc w:val="left"/>
    </w:pPr>
    <w:rPr>
      <w:rFonts w:ascii="仿宋_GB2312" w:hAnsi="仿宋_GB2312" w:eastAsia="仿宋_GB2312" w:cs="宋体"/>
      <w:kern w:val="0"/>
      <w:sz w:val="28"/>
      <w:szCs w:val="24"/>
    </w:rPr>
  </w:style>
  <w:style w:type="character" w:customStyle="1" w:styleId="114">
    <w:name w:val="font41"/>
    <w:basedOn w:val="43"/>
    <w:qFormat/>
    <w:uiPriority w:val="0"/>
    <w:rPr>
      <w:rFonts w:hint="eastAsia" w:ascii="宋体" w:hAnsi="宋体" w:eastAsia="宋体" w:cs="宋体"/>
      <w:color w:val="000000"/>
      <w:sz w:val="20"/>
      <w:szCs w:val="20"/>
      <w:u w:val="none"/>
    </w:rPr>
  </w:style>
  <w:style w:type="character" w:customStyle="1" w:styleId="115">
    <w:name w:val="font111"/>
    <w:basedOn w:val="43"/>
    <w:qFormat/>
    <w:uiPriority w:val="0"/>
    <w:rPr>
      <w:rFonts w:hint="eastAsia" w:ascii="宋体" w:hAnsi="宋体" w:eastAsia="宋体" w:cs="宋体"/>
      <w:color w:val="FF0000"/>
      <w:sz w:val="24"/>
      <w:szCs w:val="24"/>
      <w:u w:val="none"/>
    </w:rPr>
  </w:style>
  <w:style w:type="paragraph" w:customStyle="1" w:styleId="116">
    <w:name w:val="[基本段落]"/>
    <w:basedOn w:val="1"/>
    <w:qFormat/>
    <w:uiPriority w:val="0"/>
    <w:pPr>
      <w:widowControl/>
      <w:autoSpaceDE w:val="0"/>
      <w:autoSpaceDN w:val="0"/>
      <w:spacing w:line="288" w:lineRule="auto"/>
    </w:pPr>
    <w:rPr>
      <w:rFonts w:ascii="??????_GBK" w:hAnsi="??????_GBK" w:eastAsia="宋体" w:cs="宋体"/>
      <w:color w:val="000000"/>
      <w:kern w:val="0"/>
      <w:sz w:val="24"/>
      <w:szCs w:val="24"/>
    </w:rPr>
  </w:style>
  <w:style w:type="paragraph" w:customStyle="1" w:styleId="117">
    <w:name w:val="msonormal"/>
    <w:basedOn w:val="1"/>
    <w:qFormat/>
    <w:uiPriority w:val="0"/>
    <w:pPr>
      <w:widowControl/>
      <w:spacing w:before="100" w:beforeAutospacing="1" w:after="100" w:afterAutospacing="1"/>
      <w:jc w:val="left"/>
    </w:pPr>
    <w:rPr>
      <w:rFonts w:ascii="宋体" w:hAnsi="宋体" w:eastAsia="宋体" w:cs="Times New Roman"/>
      <w:color w:val="000000"/>
      <w:kern w:val="0"/>
      <w:sz w:val="24"/>
      <w:szCs w:val="24"/>
    </w:rPr>
  </w:style>
  <w:style w:type="character" w:customStyle="1" w:styleId="118">
    <w:name w:val="未处理的提及3"/>
    <w:basedOn w:val="43"/>
    <w:semiHidden/>
    <w:unhideWhenUsed/>
    <w:qFormat/>
    <w:uiPriority w:val="99"/>
    <w:rPr>
      <w:color w:val="605E5C"/>
      <w:shd w:val="clear" w:color="auto" w:fill="E1DFDD"/>
    </w:rPr>
  </w:style>
  <w:style w:type="character" w:customStyle="1" w:styleId="119">
    <w:name w:val="font112"/>
    <w:basedOn w:val="43"/>
    <w:qFormat/>
    <w:uiPriority w:val="0"/>
    <w:rPr>
      <w:rFonts w:hint="eastAsia" w:ascii="宋体" w:hAnsi="宋体" w:eastAsia="宋体" w:cs="宋体"/>
      <w:color w:val="000000"/>
      <w:sz w:val="20"/>
      <w:szCs w:val="20"/>
      <w:u w:val="none"/>
      <w:vertAlign w:val="superscript"/>
    </w:rPr>
  </w:style>
  <w:style w:type="paragraph" w:customStyle="1" w:styleId="120">
    <w:name w:val="标书正文1"/>
    <w:basedOn w:val="1"/>
    <w:qFormat/>
    <w:uiPriority w:val="0"/>
    <w:pPr>
      <w:spacing w:line="520" w:lineRule="exact"/>
      <w:ind w:firstLine="640" w:firstLineChars="200"/>
    </w:pPr>
  </w:style>
  <w:style w:type="character" w:customStyle="1" w:styleId="121">
    <w:name w:val="s21"/>
    <w:qFormat/>
    <w:uiPriority w:val="0"/>
    <w:rPr>
      <w:b/>
      <w:color w:val="000000"/>
    </w:rPr>
  </w:style>
  <w:style w:type="character" w:customStyle="1" w:styleId="122">
    <w:name w:val="font101"/>
    <w:basedOn w:val="43"/>
    <w:qFormat/>
    <w:uiPriority w:val="0"/>
    <w:rPr>
      <w:rFonts w:hint="eastAsia" w:ascii="宋体" w:hAnsi="宋体" w:eastAsia="宋体" w:cs="宋体"/>
      <w:color w:val="000000"/>
      <w:sz w:val="20"/>
      <w:szCs w:val="20"/>
      <w:u w:val="none"/>
    </w:rPr>
  </w:style>
  <w:style w:type="character" w:customStyle="1" w:styleId="123">
    <w:name w:val="font71"/>
    <w:basedOn w:val="43"/>
    <w:qFormat/>
    <w:uiPriority w:val="0"/>
    <w:rPr>
      <w:rFonts w:hint="eastAsia" w:ascii="宋体" w:hAnsi="宋体" w:eastAsia="宋体" w:cs="宋体"/>
      <w:color w:val="000000"/>
      <w:sz w:val="20"/>
      <w:szCs w:val="20"/>
      <w:u w:val="none"/>
    </w:rPr>
  </w:style>
  <w:style w:type="character" w:customStyle="1" w:styleId="124">
    <w:name w:val="font61"/>
    <w:basedOn w:val="43"/>
    <w:qFormat/>
    <w:uiPriority w:val="0"/>
    <w:rPr>
      <w:rFonts w:hint="eastAsia" w:ascii="宋体" w:hAnsi="宋体" w:eastAsia="宋体" w:cs="宋体"/>
      <w:color w:val="000000"/>
      <w:sz w:val="22"/>
      <w:szCs w:val="22"/>
      <w:u w:val="none"/>
    </w:rPr>
  </w:style>
  <w:style w:type="character" w:customStyle="1" w:styleId="125">
    <w:name w:val="font11"/>
    <w:basedOn w:val="43"/>
    <w:qFormat/>
    <w:uiPriority w:val="0"/>
    <w:rPr>
      <w:rFonts w:hint="eastAsia" w:ascii="宋体" w:hAnsi="宋体" w:eastAsia="宋体" w:cs="宋体"/>
      <w:b/>
      <w:bCs/>
      <w:color w:val="000000"/>
      <w:sz w:val="22"/>
      <w:szCs w:val="22"/>
      <w:u w:val="none"/>
    </w:rPr>
  </w:style>
  <w:style w:type="character" w:customStyle="1" w:styleId="126">
    <w:name w:val="font51"/>
    <w:basedOn w:val="43"/>
    <w:qFormat/>
    <w:uiPriority w:val="0"/>
    <w:rPr>
      <w:rFonts w:hint="eastAsia" w:ascii="宋体" w:hAnsi="宋体" w:eastAsia="宋体" w:cs="宋体"/>
      <w:b/>
      <w:bCs/>
      <w:color w:val="000000"/>
      <w:sz w:val="20"/>
      <w:szCs w:val="20"/>
      <w:u w:val="none"/>
    </w:rPr>
  </w:style>
  <w:style w:type="paragraph" w:customStyle="1" w:styleId="127">
    <w:name w:val="修订2"/>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28">
    <w:name w:val="null3"/>
    <w:qFormat/>
    <w:uiPriority w:val="0"/>
    <w:rPr>
      <w:rFonts w:hint="eastAsia" w:ascii="Calibri" w:hAnsi="Calibri" w:eastAsia="宋体" w:cs="Times New Roman"/>
      <w:lang w:val="en-US" w:eastAsia="zh-Hans" w:bidi="ar-SA"/>
      <w14:ligatures w14:val="standardContextual"/>
    </w:rPr>
  </w:style>
  <w:style w:type="paragraph" w:customStyle="1" w:styleId="129">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 w:type="paragraph" w:customStyle="1" w:styleId="130">
    <w:name w:val="修订3"/>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31">
    <w:name w:val="修订4"/>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32">
    <w:name w:val="修订5"/>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33">
    <w:name w:val="修订6"/>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34">
    <w:name w:val="H正_1"/>
    <w:basedOn w:val="135"/>
    <w:qFormat/>
    <w:uiPriority w:val="0"/>
    <w:pPr>
      <w:spacing w:line="420" w:lineRule="auto"/>
      <w:ind w:firstLine="200" w:firstLineChars="200"/>
      <w:jc w:val="left"/>
    </w:pPr>
    <w:rPr>
      <w:bCs/>
    </w:rPr>
  </w:style>
  <w:style w:type="paragraph" w:customStyle="1" w:styleId="135">
    <w:name w:val="正文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8">
    <w:name w:val="正文00"/>
    <w:basedOn w:val="1"/>
    <w:qFormat/>
    <w:uiPriority w:val="0"/>
    <w:pPr>
      <w:topLinePunct/>
      <w:spacing w:line="360" w:lineRule="auto"/>
      <w:ind w:firstLine="200" w:firstLineChars="200"/>
    </w:pPr>
    <w:rPr>
      <w:rFonts w:ascii="Times New Roman" w:hAnsi="Times New Roman" w:eastAsia="宋体" w:cs="Times New Roman"/>
      <w:sz w:val="24"/>
      <w:szCs w:val="21"/>
    </w:rPr>
  </w:style>
  <w:style w:type="paragraph" w:customStyle="1" w:styleId="139">
    <w:name w:val="bt1bt1"/>
    <w:basedOn w:val="2"/>
    <w:qFormat/>
    <w:uiPriority w:val="0"/>
    <w:pPr>
      <w:jc w:val="center"/>
    </w:pPr>
    <w:rPr>
      <w:rFonts w:ascii="黑体" w:eastAsia="黑体"/>
      <w:sz w:val="36"/>
      <w:szCs w:val="36"/>
    </w:rPr>
  </w:style>
  <w:style w:type="paragraph" w:customStyle="1" w:styleId="140">
    <w:name w:val="Revision"/>
    <w:hidden/>
    <w:unhideWhenUsed/>
    <w:uiPriority w:val="99"/>
    <w:rPr>
      <w:rFonts w:asciiTheme="minorHAnsi" w:hAnsiTheme="minorHAnsi" w:eastAsiaTheme="minorEastAsia" w:cstheme="minorBidi"/>
      <w:kern w:val="2"/>
      <w:sz w:val="21"/>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81</Pages>
  <Words>7288</Words>
  <Characters>41546</Characters>
  <Lines>346</Lines>
  <Paragraphs>97</Paragraphs>
  <TotalTime>172</TotalTime>
  <ScaleCrop>false</ScaleCrop>
  <LinksUpToDate>false</LinksUpToDate>
  <CharactersWithSpaces>48737</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2026-03-09T01:50:00Z</dcterms:created>
  <dc:creator>YinRu Liang</dc:creator>
  <cp:lastModifiedBy>蔡文茜</cp:lastModifiedBy>
  <cp:lastPrinted>2026-04-13T07:36:00Z</cp:lastPrinted>
  <dcterms:modified xsi:type="dcterms:W3CDTF">2026-09-01T08:57:23Z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927F8B107A654978B37B12B4C52D445A_13</vt:lpwstr>
  </property>
  <property fmtid="{D5CDD505-2E9C-101B-9397-08002B2CF9AE}" pid="4" name="KSOTemplateDocerSaveRecord">
    <vt:lpwstr>eyJoZGlkIjoiZDFjMDYxYmRjNTAwYWQ0ZWI3NWE1MmY0MzQyMDFhYmQiLCJ1c2VySWQiOiI1MjA1MzAzMTgifQ==</vt:lpwstr>
  </property>
</Properties>
</file>