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2026年第四届未来金理奖活动执行项目（包组一）</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项目编号：ND26060058GZ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经认真阅读2026年第四届未来金理奖活动执行项目（包组一）采购公告及附件（项目编号：</w:t>
      </w:r>
      <w:r>
        <w:rPr>
          <w:rFonts w:hint="eastAsia"/>
          <w:bCs/>
          <w:sz w:val="24"/>
          <w:u w:val="single"/>
        </w:rPr>
        <w:t>ND26060058GZ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w:t>
            </w:r>
            <w:r>
              <w:rPr>
                <w:rFonts w:hint="eastAsia" w:ascii="宋体" w:hAnsi="宋体" w:cs="仿宋"/>
                <w:color w:val="auto"/>
                <w:sz w:val="24"/>
              </w:rPr>
              <w:t>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全国范围</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经认真阅读2026年第四届未来金理奖活动执行项目（包组一）采购公告及附件（项目编号：ND26060058GZ）我方已完全了解本项目的商务与技术要求，承诺按照采购文件的要求提供产品和服务，报价如下。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w:t>
      </w:r>
    </w:p>
    <w:p>
      <w:pPr>
        <w:numPr>
          <w:ilvl w:val="255"/>
          <w:numId w:val="0"/>
        </w:numPr>
      </w:pPr>
    </w:p>
    <w:tbl>
      <w:tblPr>
        <w:tblStyle w:val="38"/>
        <w:tblW w:w="8134" w:type="dxa"/>
        <w:jc w:val="center"/>
        <w:tblLayout w:type="autofit"/>
        <w:tblCellMar>
          <w:top w:w="15" w:type="dxa"/>
          <w:left w:w="15" w:type="dxa"/>
          <w:bottom w:w="15" w:type="dxa"/>
          <w:right w:w="15" w:type="dxa"/>
        </w:tblCellMar>
      </w:tblPr>
      <w:tblGrid>
        <w:gridCol w:w="752"/>
        <w:gridCol w:w="1671"/>
        <w:gridCol w:w="3672"/>
        <w:gridCol w:w="80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sz w:val="21"/>
                <w:szCs w:val="21"/>
                <w:lang w:eastAsia="zh-Hans"/>
              </w:rPr>
            </w:pPr>
            <w:r>
              <w:rPr>
                <w:rFonts w:hint="eastAsia" w:ascii="宋体" w:hAnsi="宋体" w:eastAsia="宋体" w:cs="宋体"/>
                <w:b w:val="0"/>
                <w:bCs/>
                <w:i w:val="0"/>
                <w:iCs w:val="0"/>
                <w:color w:val="auto"/>
                <w:kern w:val="0"/>
                <w:sz w:val="21"/>
                <w:szCs w:val="21"/>
                <w:u w:val="none"/>
                <w:lang w:val="en-US" w:eastAsia="zh-CN" w:bidi="ar"/>
              </w:rPr>
              <w:t>嘉宾邀请</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b w:val="0"/>
                <w:bCs/>
                <w:color w:val="auto"/>
                <w:kern w:val="0"/>
                <w:sz w:val="21"/>
                <w:szCs w:val="21"/>
                <w:lang w:bidi="ar"/>
              </w:rPr>
            </w:pPr>
            <w:r>
              <w:rPr>
                <w:rFonts w:hint="eastAsia" w:ascii="宋体" w:hAnsi="宋体" w:eastAsia="宋体" w:cs="宋体"/>
                <w:b w:val="0"/>
                <w:bCs/>
                <w:i w:val="0"/>
                <w:iCs w:val="0"/>
                <w:color w:val="auto"/>
                <w:kern w:val="0"/>
                <w:sz w:val="21"/>
                <w:szCs w:val="21"/>
                <w:u w:val="none"/>
                <w:lang w:val="en-US" w:eastAsia="zh-CN" w:bidi="ar"/>
              </w:rPr>
              <w:t>15位嘉宾邀请，要求：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邀请在职媒体副主编以上，在职国内知名广告公司、公关公司、营销服务机构、企业单位的市场或创意总监以上级别，在职国内高校教授以上职级，或营销类研究院/协会秘书长以上级别嘉宾，需配合甲方活动时间，参与项目活动开展。</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（报价时需提供嘉宾名单、简介等信息，最终名单需甲方审定）</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bidi="ar"/>
              </w:rPr>
            </w:pPr>
            <w:r>
              <w:rPr>
                <w:rFonts w:hint="eastAsia" w:ascii="宋体" w:hAnsi="宋体" w:eastAsia="宋体" w:cs="宋体"/>
                <w:b w:val="0"/>
                <w:bCs/>
                <w:i w:val="0"/>
                <w:iCs w:val="0"/>
                <w:color w:val="auto"/>
                <w:kern w:val="0"/>
                <w:sz w:val="21"/>
                <w:szCs w:val="21"/>
                <w:u w:val="none"/>
                <w:lang w:val="en-US" w:eastAsia="zh-CN" w:bidi="ar"/>
              </w:rPr>
              <w:t>15位</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2</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sz w:val="21"/>
                <w:szCs w:val="21"/>
                <w:lang w:eastAsia="zh-Hans"/>
              </w:rPr>
            </w:pPr>
            <w:r>
              <w:rPr>
                <w:rFonts w:hint="eastAsia" w:ascii="宋体" w:hAnsi="宋体" w:eastAsia="宋体" w:cs="宋体"/>
                <w:b w:val="0"/>
                <w:bCs/>
                <w:i w:val="0"/>
                <w:iCs w:val="0"/>
                <w:color w:val="auto"/>
                <w:kern w:val="0"/>
                <w:sz w:val="21"/>
                <w:szCs w:val="21"/>
                <w:u w:val="none"/>
                <w:lang w:val="en-US" w:eastAsia="zh-CN" w:bidi="ar"/>
              </w:rPr>
              <w:t>宣传渠道</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color w:val="auto"/>
                <w:kern w:val="0"/>
                <w:sz w:val="21"/>
                <w:szCs w:val="21"/>
                <w:lang w:bidi="ar"/>
              </w:rPr>
            </w:pPr>
            <w:r>
              <w:rPr>
                <w:rFonts w:hint="eastAsia" w:ascii="宋体" w:hAnsi="宋体" w:eastAsia="宋体" w:cs="宋体"/>
                <w:b w:val="0"/>
                <w:bCs/>
                <w:i w:val="0"/>
                <w:iCs w:val="0"/>
                <w:color w:val="auto"/>
                <w:kern w:val="0"/>
                <w:sz w:val="21"/>
                <w:szCs w:val="21"/>
                <w:u w:val="none"/>
                <w:lang w:val="en-US" w:eastAsia="zh-CN" w:bidi="ar"/>
              </w:rPr>
              <w:t>15次宣传渠道，要求：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铺设不限于高校、大学生自媒体大V、实习招聘公众号、小红书、协会、社会组织、社群等宣传渠道。</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15次</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3</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sz w:val="21"/>
                <w:szCs w:val="21"/>
                <w:lang w:eastAsia="zh-Hans"/>
              </w:rPr>
            </w:pPr>
            <w:r>
              <w:rPr>
                <w:rFonts w:hint="eastAsia" w:ascii="宋体" w:hAnsi="宋体" w:eastAsia="宋体" w:cs="宋体"/>
                <w:b w:val="0"/>
                <w:bCs/>
                <w:i w:val="0"/>
                <w:iCs w:val="0"/>
                <w:color w:val="auto"/>
                <w:kern w:val="0"/>
                <w:sz w:val="21"/>
                <w:szCs w:val="21"/>
                <w:u w:val="none"/>
                <w:lang w:val="en-US" w:eastAsia="zh-CN" w:bidi="ar"/>
              </w:rPr>
              <w:t>高校宣讲</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color w:val="auto"/>
                <w:kern w:val="0"/>
                <w:sz w:val="21"/>
                <w:szCs w:val="21"/>
                <w:lang w:bidi="ar"/>
              </w:rPr>
            </w:pPr>
            <w:r>
              <w:rPr>
                <w:rFonts w:hint="eastAsia" w:ascii="宋体" w:hAnsi="宋体" w:eastAsia="宋体" w:cs="宋体"/>
                <w:b w:val="0"/>
                <w:bCs/>
                <w:i w:val="0"/>
                <w:iCs w:val="0"/>
                <w:color w:val="auto"/>
                <w:kern w:val="0"/>
                <w:sz w:val="21"/>
                <w:szCs w:val="21"/>
                <w:u w:val="none"/>
                <w:lang w:val="en-US" w:eastAsia="zh-CN" w:bidi="ar"/>
              </w:rPr>
              <w:t>3所高校巡讲落地搭建及执行：</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每场高校结合场地实际情况做氛围物料，4个易拉宝（0.8*2米）、麦牌等，含物料运输（据实调整）。</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3场</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4</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sz w:val="21"/>
                <w:szCs w:val="21"/>
                <w:lang w:eastAsia="zh-Hans"/>
              </w:rPr>
            </w:pPr>
            <w:r>
              <w:rPr>
                <w:rFonts w:hint="eastAsia" w:ascii="宋体" w:hAnsi="宋体" w:eastAsia="宋体" w:cs="宋体"/>
                <w:b w:val="0"/>
                <w:bCs/>
                <w:i w:val="0"/>
                <w:iCs w:val="0"/>
                <w:color w:val="auto"/>
                <w:kern w:val="0"/>
                <w:sz w:val="21"/>
                <w:szCs w:val="21"/>
                <w:u w:val="none"/>
                <w:lang w:val="en-US" w:eastAsia="zh-CN" w:bidi="ar"/>
              </w:rPr>
              <w:t>终审会及实习双选会</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活动执行地北京现场搭建要求：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（1）配备一台60寸可移动式电视机，用作开线上会议；</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（2）配备全频音箱、功率放大器、6支U段无线话筒、2支鹅颈麦、1台数字调音台，配有专业调音师全程跟进；配控屏师；</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（3）配备S3视频控台，配工程翻页笔1个，配大屏师；</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4）结合场地实际情况做氛围物料：1块主背景板（长5m*高3m）、两个赛事易拉宝（宽0.8m*高2m）、1个主会场易拉宝（宽0.8m*高2m）、1个候场区易拉宝（宽0.8m*高2m）、1个LED左侧KT板（长2m*高3m）、1个LED右侧KT板（长2m*高3m）、LED下方KT板、麦牌（长10m*高1m）、60个主持人手卡A5、选手名牌贴、评审三角台卡、签到三角台卡、offer聘书、工作证等，具体要求可根据实际情况有所调整。</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（5）租赁15台华为matepad pro，供评审查看选手作品。</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（6）提供项目执行服务,包含提前一天进场搭建、彩排+活动全天执行。</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（7）搭建人工及运输。</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5</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sz w:val="21"/>
                <w:szCs w:val="21"/>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活动执行地北京嘉宾机酒、餐饮费用：</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终审会与实习双选会共邀请15位嘉宾出席现场，担任终审会评审、实习双选会面试官。预计，7位为异地，8位为北京本地,要求：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（1）承担7位异地嘉宾从所在地至北京的往返机票、接送机车辆安排，约3600元/人，承担8位北京本地嘉宾的市内交通费，约500元/人；</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（2）在活动场地800m范围内四星级酒店提供7间大床房（含早），每间各1晚，约700元/间；</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（3）在活动场地800m范围内提供30人次嘉宾用餐。</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全天摄影摄像器材租赁：</w:t>
            </w:r>
          </w:p>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租赁4台索尼z280、1台vmix导播一体机、1台RS3Pro、1台猛犸C1、2个索尼小蜜蜂或同等级别的器材，配备2名摄助负责摄影摄像器材运输及布场等保障服务，服务时间不少于3天。</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全天视频拍摄：</w:t>
            </w:r>
          </w:p>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聘请2人录制活动现场，1位摄像师对现场进行全程拍摄，1位摄影师提供云相册活动直播服务，现场作即时精修并上传照片。服务时间不少于3天。</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为进入终审的40名选手、嘉宾提供北京午餐和茶歇。</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本次活动购买组织者责任险，累计保额不低于100万元。</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10</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提供10箱怡宝纯净水，每箱24瓶（550ml/瓶）。</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10箱</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11</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i w:val="0"/>
                <w:iCs w:val="0"/>
                <w:color w:val="auto"/>
                <w:kern w:val="0"/>
                <w:sz w:val="21"/>
                <w:szCs w:val="21"/>
                <w:u w:val="none"/>
                <w:lang w:val="en-US" w:eastAsia="zh-CN" w:bidi="ar"/>
              </w:rPr>
              <w:t>颁奖仪式</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11个奖杯制作，要求：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根据采购方需求定制11个奖杯，以活动logo为奖杯形状进行定制，铝合金材料、工艺精雕、电镀亮金色、文字激光深灰色(不上色)，底座长10cm*宽10cm*高7.5cm,logo部分高17cm*厚3cm。</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11个</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证书制作，要求：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提供60套A4亚克力证书，内页为300g铜版纸激光打印。</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60套</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会场搭建，要求：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（1）配备基础会议灯光、线阵音响等设备，保证每个区域声音均匀清晰、8支手麦、2支鹅颈麦，配备专业屏控师、音控师、灯光师活动全程跟进，包括彩排日和执行日共2天；</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（2）提供8张单人沙发用作圆桌论坛环节嘉宾坐椅；</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（3）提供10箱怡宝纯净水，每箱24瓶。</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（4）1个提词器、1套专业PPT翻页笔、10个画架+kt版。</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物料制作，要求：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（1）结合场地实际情况做氛围物料：2块背景板（1块黑底喷绘3.5x2.5m、1块黑底喷绘5x2.5m，户外多配重）、4个易拉宝指引牌（宽0.8m*高2m）等。具体要求可根据实际情况有所调整。</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（2）为获奖选手、嘉宾等准备手捧花，共10束。</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视频制作，要求：</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（1）制作颁奖视频10条，视频动效提前与采购方确认；</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（2）获奖视频配音，先发样音确认后，再进行配音。可随时修改配音文字，新修改文字需1小时修改完成。</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10条</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聘请2位专业化妆师，负责主持人、嘉宾、参赛选手化妆。</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2位</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聘请6位专业礼仪，女生，身高165-170cm，有大型活动经验，外形姣好，半天彩排，半天活动。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6位</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颁奖仪式5位嘉宾邀请：</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在职媒体副主编以上，在职国内知名广告公司、公关公司、营销服务机构、企业单位的市场或创意总监以上级别，在职国内高校教授以上职级，或营销类研究院/协会秘书长以上级别，需配合活动落地颁奖时间、地点，担任活动致辞、圆桌论坛、现场点评、颁奖仪式等环节嘉宾。</w:t>
            </w:r>
          </w:p>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（报价时需提供嘉宾名单、简介等信息，最终名单需甲方审定）</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5位</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19</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sz w:val="21"/>
                <w:szCs w:val="21"/>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i w:val="0"/>
                <w:iCs w:val="0"/>
                <w:color w:val="auto"/>
                <w:kern w:val="2"/>
                <w:sz w:val="21"/>
                <w:szCs w:val="21"/>
                <w:u w:val="none"/>
                <w:lang w:val="en-US" w:eastAsia="zh-CN" w:bidi="ar-SA"/>
              </w:rPr>
            </w:pPr>
            <w:r>
              <w:rPr>
                <w:rFonts w:hint="eastAsia" w:ascii="宋体" w:hAnsi="宋体" w:eastAsia="宋体" w:cs="宋体"/>
                <w:b w:val="0"/>
                <w:bCs/>
                <w:i w:val="0"/>
                <w:iCs w:val="0"/>
                <w:color w:val="auto"/>
                <w:kern w:val="0"/>
                <w:sz w:val="21"/>
                <w:szCs w:val="21"/>
                <w:u w:val="none"/>
                <w:lang w:val="en-US" w:eastAsia="zh-CN" w:bidi="ar"/>
              </w:rPr>
              <w:t>提供颁奖仪式5位嘉宾餐饮交通、住宿等费用：</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（1）承担5位嘉宾从所在地至颁奖地的往返国内交通、到达地接送车辆安排，约3000元/人；</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（2）在活动场地800m范围内四星级酒店提供10间大床房（含早），每间各1晚，约600元/间；</w:t>
            </w:r>
            <w:r>
              <w:rPr>
                <w:rFonts w:hint="eastAsia" w:ascii="宋体" w:hAnsi="宋体" w:eastAsia="宋体" w:cs="宋体"/>
                <w:b w:val="0"/>
                <w:bCs/>
                <w:i w:val="0"/>
                <w:iCs w:val="0"/>
                <w:color w:val="auto"/>
                <w:kern w:val="0"/>
                <w:sz w:val="21"/>
                <w:szCs w:val="21"/>
                <w:u w:val="none"/>
                <w:lang w:val="en-US" w:eastAsia="zh-CN" w:bidi="ar"/>
              </w:rPr>
              <w:br w:type="textWrapping"/>
            </w:r>
            <w:r>
              <w:rPr>
                <w:rFonts w:hint="eastAsia" w:ascii="宋体" w:hAnsi="宋体" w:eastAsia="宋体" w:cs="宋体"/>
                <w:b w:val="0"/>
                <w:bCs/>
                <w:i w:val="0"/>
                <w:iCs w:val="0"/>
                <w:color w:val="auto"/>
                <w:kern w:val="0"/>
                <w:sz w:val="21"/>
                <w:szCs w:val="21"/>
                <w:u w:val="none"/>
                <w:lang w:val="en-US" w:eastAsia="zh-CN" w:bidi="ar"/>
              </w:rPr>
              <w:t>（3）在活动场地800m范围内提供20人次嘉宾用餐。</w:t>
            </w:r>
            <w:bookmarkStart w:id="9" w:name="_GoBack"/>
            <w:bookmarkEnd w:id="9"/>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i w:val="0"/>
                <w:iCs w:val="0"/>
                <w:color w:val="auto"/>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1项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b w:val="0"/>
                <w:bCs/>
                <w:color w:val="auto"/>
                <w:kern w:val="0"/>
                <w:sz w:val="21"/>
                <w:szCs w:val="21"/>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u w:val="single"/>
                      </w:rPr>
                    </w:sdtEndPr>
                    <w:sdtContent>
                      <w:r>
                        <w:rPr>
                          <w:rFonts w:hint="eastAsia" w:hAnsi="宋体"/>
                          <w:b/>
                          <w:sz w:val="24"/>
                          <w:szCs w:val="24"/>
                          <w:u w:val="single"/>
                        </w:rPr>
                        <w:t>2026年第四届未来金理奖活动执行项目（包组一）</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：ND26060058GZ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2026年第四届未来金理奖活动执行项目（包组一）（项目编号：ND26060058GZ）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9B1DEA"/>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581C39"/>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CE84861"/>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75</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2026-06-11T02:15:15Z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EE5718884B0E49098FF0D1A2155FCF1C</vt:lpwstr>
  </property>
</Properties>
</file>