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9B522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highlight w:val="none"/>
          <w:lang w:val="en-US" w:eastAsia="zh-CN"/>
        </w:rPr>
        <w:t>百色田阳农产品产销大湾区（深圳）推介项目</w:t>
      </w:r>
    </w:p>
    <w:p w14:paraId="31F16FF8">
      <w:pPr>
        <w:spacing w:line="276" w:lineRule="auto"/>
        <w:jc w:val="center"/>
        <w:rPr>
          <w:rFonts w:hint="eastAsia" w:ascii="仿宋" w:hAnsi="仿宋" w:eastAsia="仿宋" w:cs="仿宋"/>
          <w:b/>
          <w:bCs/>
          <w:sz w:val="44"/>
          <w:szCs w:val="44"/>
          <w:highlight w:val="none"/>
          <w:shd w:val="clear" w:color="auto" w:fill="FFFFFF"/>
        </w:rPr>
      </w:pPr>
    </w:p>
    <w:p w14:paraId="5865CA0C">
      <w:pPr>
        <w:pStyle w:val="6"/>
        <w:rPr>
          <w:rFonts w:hint="eastAsia"/>
        </w:rPr>
      </w:pPr>
    </w:p>
    <w:p w14:paraId="0FF13A68">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14:paraId="6308C6C5">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61E9BB3A">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14:paraId="113CA83D">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12C18BDA">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14:paraId="55F38E6A">
      <w:pPr>
        <w:spacing w:line="400" w:lineRule="exact"/>
        <w:jc w:val="center"/>
        <w:rPr>
          <w:rFonts w:ascii="仿宋" w:hAnsi="仿宋" w:eastAsia="仿宋" w:cs="仿宋"/>
          <w:color w:val="000000"/>
          <w:sz w:val="32"/>
          <w:szCs w:val="32"/>
          <w:highlight w:val="none"/>
        </w:rPr>
      </w:pPr>
    </w:p>
    <w:p w14:paraId="04513D13">
      <w:pPr>
        <w:spacing w:line="400" w:lineRule="exact"/>
        <w:jc w:val="center"/>
        <w:rPr>
          <w:rFonts w:ascii="仿宋" w:hAnsi="仿宋" w:eastAsia="仿宋" w:cs="仿宋"/>
          <w:color w:val="000000"/>
          <w:sz w:val="32"/>
          <w:szCs w:val="32"/>
          <w:highlight w:val="none"/>
        </w:rPr>
      </w:pPr>
    </w:p>
    <w:p w14:paraId="6D29002D">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14:paraId="29C19FB6">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14:paraId="76910D15">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14:paraId="4DB21EE4">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14:paraId="25584513">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p>
    <w:p w14:paraId="3F636EC4">
      <w:pPr>
        <w:spacing w:line="480" w:lineRule="exact"/>
        <w:jc w:val="left"/>
        <w:rPr>
          <w:bCs/>
          <w:sz w:val="28"/>
          <w:szCs w:val="28"/>
          <w:highlight w:val="none"/>
        </w:rPr>
        <w:sectPr>
          <w:headerReference r:id="rId3" w:type="default"/>
          <w:footerReference r:id="rId4" w:type="default"/>
          <w:pgSz w:w="11906" w:h="16838"/>
          <w:pgMar w:top="1440" w:right="1286" w:bottom="1440" w:left="1180" w:header="851" w:footer="992" w:gutter="0"/>
          <w:pgNumType w:fmt="decimal"/>
          <w:cols w:space="425" w:num="1"/>
          <w:titlePg/>
          <w:docGrid w:type="lines" w:linePitch="312" w:charSpace="0"/>
        </w:sectPr>
      </w:pPr>
      <w:bookmarkStart w:id="0" w:name="_Toc54357675"/>
      <w:bookmarkStart w:id="1" w:name="_Toc1651923"/>
    </w:p>
    <w:bookmarkEnd w:id="0"/>
    <w:bookmarkEnd w:id="1"/>
    <w:p w14:paraId="2D34553B">
      <w:pPr>
        <w:pStyle w:val="13"/>
        <w:widowControl/>
        <w:spacing w:beforeAutospacing="0" w:afterAutospacing="0" w:line="480" w:lineRule="exact"/>
        <w:ind w:firstLine="560" w:firstLineChars="200"/>
        <w:jc w:val="both"/>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经认真阅读“</w:t>
      </w:r>
      <w:r>
        <w:rPr>
          <w:rFonts w:hint="eastAsia" w:ascii="仿宋" w:hAnsi="仿宋" w:eastAsia="仿宋" w:cs="仿宋"/>
          <w:color w:val="000000"/>
          <w:sz w:val="28"/>
          <w:szCs w:val="28"/>
          <w:highlight w:val="none"/>
          <w:lang w:val="en-US" w:eastAsia="zh-CN"/>
        </w:rPr>
        <w:t>百色田阳农产品产销大湾区（深圳）推介项目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14:paraId="3E118826">
      <w:pPr>
        <w:numPr>
          <w:ilvl w:val="0"/>
          <w:numId w:val="1"/>
        </w:numPr>
        <w:spacing w:after="200" w:line="400" w:lineRule="exact"/>
        <w:jc w:val="center"/>
        <w:rPr>
          <w:rFonts w:hint="eastAsia" w:ascii="仿宋" w:hAnsi="仿宋" w:eastAsia="仿宋" w:cs="仿宋"/>
          <w:b/>
          <w:color w:val="000000"/>
          <w:sz w:val="28"/>
          <w:szCs w:val="28"/>
          <w:highlight w:val="none"/>
        </w:rPr>
      </w:pPr>
      <w:bookmarkStart w:id="5" w:name="_GoBack"/>
      <w:bookmarkEnd w:id="5"/>
      <w:r>
        <w:rPr>
          <w:rFonts w:hint="eastAsia" w:ascii="仿宋" w:hAnsi="仿宋" w:eastAsia="仿宋" w:cs="仿宋"/>
          <w:b/>
          <w:color w:val="000000"/>
          <w:sz w:val="28"/>
          <w:szCs w:val="28"/>
          <w:highlight w:val="none"/>
        </w:rPr>
        <w:t>报价表</w:t>
      </w:r>
    </w:p>
    <w:tbl>
      <w:tblPr>
        <w:tblStyle w:val="17"/>
        <w:tblW w:w="927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01"/>
        <w:gridCol w:w="1271"/>
        <w:gridCol w:w="4328"/>
        <w:gridCol w:w="600"/>
        <w:gridCol w:w="958"/>
        <w:gridCol w:w="807"/>
        <w:gridCol w:w="811"/>
      </w:tblGrid>
      <w:tr w14:paraId="4D33A0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5"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25FB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91AB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项目类别</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30D6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具体内容</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8382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A4EA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单位</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7058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单价（元）</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84F2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总价（元）</w:t>
            </w:r>
          </w:p>
        </w:tc>
      </w:tr>
      <w:tr w14:paraId="242B6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7664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2C4F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策划服务</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B2A8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策划一场大湾区（深圳）推介会以及高铁列车广告投放的执行方案，不少于1个</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07EE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94B4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3ADE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1518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CD01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8F0C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A743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设计服务</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1055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根据主视觉设计，延展配套物料及平面布局、空间布局设计</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699F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0E13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DC83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C21E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1249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9C8E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40AE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执行团队</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2E3E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负责节目编排、现场统筹、现场执行管理、与场地方协调工作等，不少于3人</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41EA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20A7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AFF2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7AEA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2C6A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5251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0960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场务</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502D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现场物料、摊位物资保管工作，服务时间不少于2天，每天不少于1人，人均不</w:t>
            </w:r>
            <w:r>
              <w:rPr>
                <w:rFonts w:hint="eastAsia" w:ascii="宋体" w:hAnsi="宋体" w:cs="宋体"/>
                <w:i w:val="0"/>
                <w:iCs w:val="0"/>
                <w:color w:val="000000"/>
                <w:kern w:val="0"/>
                <w:sz w:val="22"/>
                <w:szCs w:val="22"/>
                <w:u w:val="none"/>
                <w:lang w:val="en-US" w:eastAsia="zh-CN" w:bidi="ar"/>
              </w:rPr>
              <w:t>超过</w:t>
            </w:r>
            <w:r>
              <w:rPr>
                <w:rFonts w:hint="eastAsia" w:ascii="宋体" w:hAnsi="宋体" w:eastAsia="宋体" w:cs="宋体"/>
                <w:i w:val="0"/>
                <w:iCs w:val="0"/>
                <w:color w:val="000000"/>
                <w:kern w:val="0"/>
                <w:sz w:val="22"/>
                <w:szCs w:val="22"/>
                <w:u w:val="none"/>
                <w:lang w:val="en-US" w:eastAsia="zh-CN" w:bidi="ar"/>
              </w:rPr>
              <w:t>550元</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2447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448B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人次</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53A1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D7CC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B22C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E878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CB1E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电工</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7429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现场接电，驻场应对突发事项，含搭建、正式活动以及撤场时间，服务时间不少于2天，每天不少于1人，人均</w:t>
            </w:r>
            <w:r>
              <w:rPr>
                <w:rFonts w:hint="eastAsia" w:ascii="宋体" w:hAnsi="宋体" w:cs="宋体"/>
                <w:i w:val="0"/>
                <w:iCs w:val="0"/>
                <w:color w:val="000000"/>
                <w:kern w:val="0"/>
                <w:sz w:val="22"/>
                <w:szCs w:val="22"/>
                <w:u w:val="none"/>
                <w:lang w:val="en-US" w:eastAsia="zh-CN" w:bidi="ar"/>
              </w:rPr>
              <w:t>不超过</w:t>
            </w:r>
            <w:r>
              <w:rPr>
                <w:rFonts w:hint="eastAsia" w:ascii="宋体" w:hAnsi="宋体" w:eastAsia="宋体" w:cs="宋体"/>
                <w:i w:val="0"/>
                <w:iCs w:val="0"/>
                <w:color w:val="000000"/>
                <w:kern w:val="0"/>
                <w:sz w:val="22"/>
                <w:szCs w:val="22"/>
                <w:u w:val="none"/>
                <w:lang w:val="en-US" w:eastAsia="zh-CN" w:bidi="ar"/>
              </w:rPr>
              <w:t>500元</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2448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31BD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人次</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6B4A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F6F3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18FD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0577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81EA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安保</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27DB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现场安保维护（公安要求），含搭建、正式活动以及撤场时间，服务时间不少于2天，每天不少于5人，人均不</w:t>
            </w:r>
            <w:r>
              <w:rPr>
                <w:rFonts w:hint="eastAsia" w:ascii="宋体" w:hAnsi="宋体" w:cs="宋体"/>
                <w:i w:val="0"/>
                <w:iCs w:val="0"/>
                <w:color w:val="000000"/>
                <w:kern w:val="0"/>
                <w:sz w:val="22"/>
                <w:szCs w:val="22"/>
                <w:u w:val="none"/>
                <w:lang w:val="en-US" w:eastAsia="zh-CN" w:bidi="ar"/>
              </w:rPr>
              <w:t>超过</w:t>
            </w:r>
            <w:r>
              <w:rPr>
                <w:rFonts w:hint="eastAsia" w:ascii="宋体" w:hAnsi="宋体" w:eastAsia="宋体" w:cs="宋体"/>
                <w:i w:val="0"/>
                <w:iCs w:val="0"/>
                <w:color w:val="000000"/>
                <w:kern w:val="0"/>
                <w:sz w:val="22"/>
                <w:szCs w:val="22"/>
                <w:u w:val="none"/>
                <w:lang w:val="en-US" w:eastAsia="zh-CN" w:bidi="ar"/>
              </w:rPr>
              <w:t>500元</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86F7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310C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人次</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7A07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67CC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B6AB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C094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45EB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场地租赁</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3A233">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租赁</w:t>
            </w:r>
            <w:r>
              <w:rPr>
                <w:rFonts w:hint="eastAsia" w:ascii="宋体" w:hAnsi="宋体" w:eastAsia="宋体" w:cs="宋体"/>
                <w:i w:val="0"/>
                <w:iCs w:val="0"/>
                <w:color w:val="000000"/>
                <w:kern w:val="0"/>
                <w:sz w:val="22"/>
                <w:szCs w:val="22"/>
                <w:u w:val="none"/>
                <w:lang w:val="en-US" w:eastAsia="zh-CN" w:bidi="ar"/>
              </w:rPr>
              <w:t>不少于200平方米</w:t>
            </w:r>
            <w:r>
              <w:rPr>
                <w:rFonts w:hint="eastAsia" w:ascii="宋体" w:hAnsi="宋体" w:cs="宋体"/>
                <w:i w:val="0"/>
                <w:iCs w:val="0"/>
                <w:color w:val="000000"/>
                <w:kern w:val="0"/>
                <w:sz w:val="22"/>
                <w:szCs w:val="22"/>
                <w:u w:val="none"/>
                <w:lang w:val="en-US" w:eastAsia="zh-CN" w:bidi="ar"/>
              </w:rPr>
              <w:t>场地</w:t>
            </w:r>
            <w:r>
              <w:rPr>
                <w:rFonts w:hint="eastAsia" w:ascii="宋体" w:hAnsi="宋体" w:eastAsia="宋体" w:cs="宋体"/>
                <w:i w:val="0"/>
                <w:iCs w:val="0"/>
                <w:color w:val="000000"/>
                <w:kern w:val="0"/>
                <w:sz w:val="22"/>
                <w:szCs w:val="22"/>
                <w:u w:val="none"/>
                <w:lang w:val="en-US" w:eastAsia="zh-CN" w:bidi="ar"/>
              </w:rPr>
              <w:t>，暂定深圳领展中心城，使用时长不少于2天，含搭建及正式活动</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791E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8993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FDD7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976F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2E7C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53CE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12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AC9F2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舞台区</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20B8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舞台搭建，钢结构舞台+基础舞台板，含阻燃地毯铺设</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C57E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50</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FBB6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平方米</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1198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8D8E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36F4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F264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12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602F70">
            <w:pPr>
              <w:jc w:val="center"/>
              <w:rPr>
                <w:rFonts w:hint="eastAsia" w:ascii="宋体" w:hAnsi="宋体" w:eastAsia="宋体" w:cs="宋体"/>
                <w:i w:val="0"/>
                <w:iCs w:val="0"/>
                <w:color w:val="000000"/>
                <w:kern w:val="0"/>
                <w:sz w:val="22"/>
                <w:szCs w:val="22"/>
                <w:u w:val="none"/>
                <w:lang w:val="en-US" w:eastAsia="zh-CN" w:bidi="ar"/>
              </w:rPr>
            </w:pP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688B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阶梯，台口设置2级1.5米台阶两组</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AC17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348F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30FA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CABD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1CF0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91FC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12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FD3691">
            <w:pPr>
              <w:jc w:val="center"/>
              <w:rPr>
                <w:rFonts w:hint="eastAsia" w:ascii="宋体" w:hAnsi="宋体" w:eastAsia="宋体" w:cs="宋体"/>
                <w:i w:val="0"/>
                <w:iCs w:val="0"/>
                <w:color w:val="000000"/>
                <w:kern w:val="0"/>
                <w:sz w:val="22"/>
                <w:szCs w:val="22"/>
                <w:u w:val="none"/>
                <w:lang w:val="en-US" w:eastAsia="zh-CN" w:bidi="ar"/>
              </w:rPr>
            </w:pP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6C9F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户外LED屏幕，p3 8m*4m，配架子、线材、服务器、控屏师</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B1C5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32</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28B2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平方米</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FBF4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7DE2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5DD2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79CB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377E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音响</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20D5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线阵音响，配音控台、支架、6个话筒，供300平方米使用，含技术人员</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BB10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182D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DD03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2FF8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A6A9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5176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4EC3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灯光</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814B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四眼灯光柱，2组，含技术人员</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268F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F72E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078B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323B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C8CB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D4AA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D401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启动道具</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EF32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可提供不少于6人使用，具体形式待定</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1C68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C57F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B74A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0BAE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1031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0670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39E0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签约道具</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0D30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可提供不少于6人使用，具体形式待定</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4D91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A312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CA50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6D8E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234A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194C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D603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演讲台</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402C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含包边</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7CD1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DA52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49DF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5A0C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4054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CD0E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E7F8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瓶装水</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B083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提供不少于800瓶，500ml瓶装水</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0A63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800</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DCB2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瓶</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797A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022C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A9B1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736C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17</w:t>
            </w:r>
          </w:p>
        </w:tc>
        <w:tc>
          <w:tcPr>
            <w:tcW w:w="12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4D1AC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观众席</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2E45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面包凳，约0.4*0.4*0.4m</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6850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D923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张</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504A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B169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BBC7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3135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18</w:t>
            </w:r>
          </w:p>
        </w:tc>
        <w:tc>
          <w:tcPr>
            <w:tcW w:w="12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9D8F1">
            <w:pPr>
              <w:jc w:val="center"/>
              <w:rPr>
                <w:rFonts w:hint="eastAsia" w:ascii="宋体" w:hAnsi="宋体" w:eastAsia="宋体" w:cs="宋体"/>
                <w:i w:val="0"/>
                <w:iCs w:val="0"/>
                <w:color w:val="000000"/>
                <w:kern w:val="0"/>
                <w:sz w:val="22"/>
                <w:szCs w:val="22"/>
                <w:u w:val="none"/>
                <w:lang w:val="en-US" w:eastAsia="zh-CN" w:bidi="ar"/>
              </w:rPr>
            </w:pP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CEEC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坐垫，如草编蒲团坐垫</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D9F2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120</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06E3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张</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612C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A852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3428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8632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2334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会议议程</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C7C1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A4，铜版纸4色打印</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85C5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120</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6C84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份</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F972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F328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C32B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ADD2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59F2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工作证</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F9B8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PVC，10cm*7cm</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A7AD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50</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59F2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套</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1B8B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EE44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D699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2482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535B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手举牌</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4084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异形，尺寸：50cm*50cm：材料：KT板</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745A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E2AE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块</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46BB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A51F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138D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4674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B972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快闪拉杆音箱</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3E59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大功率、便携移动的户外音响，含1个手持麦</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1479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5E5C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2C17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4509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CAFF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A9C1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96A7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打卡点</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2602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异形多组，整体范围约8m*3m，材质：桁架及雪弗板</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95A0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D550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764A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77B9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7875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A8BC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24</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885C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游戏区</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D984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异形，整体约2m*3m，材料：KT板及车贴组合，并配支撑</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34D4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B572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6142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9639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1ABF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156E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25</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4CCD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互动礼品</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5EF2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定制市民互动礼品，如芒果刨冰、芒果雪糕等，不少于1000份</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551E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9B6F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DDC5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29B1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D7CA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2047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26</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8E23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摊位</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99D0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摊位3m*3m，含门头、配套照明、通电、一桌两椅</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1BD2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A126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3F77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62EC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00E6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74E7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27</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C8C3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试吃区</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5C73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2张长桌含桌布，一次性餐具，可供不少于700人使用，配2位工作人员</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F7DA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E6E3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3408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AA1B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4D1D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0A4B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28</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D1AE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农产品采购</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81AB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采购一批田阳特色农产品用于现场品鉴（芒果、芒果干、芒果汁、其他水果、南药、饮品等），满足不少于700人品鉴</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7C32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DDAF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C41F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2689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6EB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4FF7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29</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F82D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软性隔离带</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3917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BA4A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0980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50C2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4352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B090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51B1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0AB4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打印服务</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02CA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提供打印机、裁纸刀、打印纸等</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5080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09D2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2925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6773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81A6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4A39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6C2C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节目表演</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1AE6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不少于2个节目，不少于9位演员，含彩排+正式活动，妆造以及食宿交通</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CE40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F5C0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位</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A1E5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7BB1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0C41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8894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32</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2C1D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主持人</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391D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市级主持人，含彩排+正式活动，妆造等</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5A74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C5C8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位</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95FB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E8C6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D0B0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3D23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33</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F026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礼仪</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D8EA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礼仪，含彩排+正式活动，妆造等，人均不</w:t>
            </w:r>
            <w:r>
              <w:rPr>
                <w:rFonts w:hint="eastAsia" w:ascii="宋体" w:hAnsi="宋体" w:cs="宋体"/>
                <w:i w:val="0"/>
                <w:iCs w:val="0"/>
                <w:color w:val="000000"/>
                <w:kern w:val="0"/>
                <w:sz w:val="22"/>
                <w:szCs w:val="22"/>
                <w:u w:val="none"/>
                <w:lang w:val="en-US" w:eastAsia="zh-CN" w:bidi="ar"/>
              </w:rPr>
              <w:t>超过</w:t>
            </w:r>
            <w:r>
              <w:rPr>
                <w:rFonts w:hint="eastAsia" w:ascii="宋体" w:hAnsi="宋体" w:eastAsia="宋体" w:cs="宋体"/>
                <w:i w:val="0"/>
                <w:iCs w:val="0"/>
                <w:color w:val="000000"/>
                <w:kern w:val="0"/>
                <w:sz w:val="22"/>
                <w:szCs w:val="22"/>
                <w:u w:val="none"/>
                <w:lang w:val="en-US" w:eastAsia="zh-CN" w:bidi="ar"/>
              </w:rPr>
              <w:t>500元</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79C2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86DC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位</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3979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B424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546F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591A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34</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C0C0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运输及搭建</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CB4B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活动搭建和物料运输费用</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D46D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2C49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1FAC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A7C1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B8B1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9293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35</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392B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嘉宾邀请</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924E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邀请不少于20位广东地区嘉宾，含交通</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2A37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0B85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4A61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F274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424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6365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36</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BAAD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媒体邀请</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A142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活动当邀请8家央级、省级、市级媒体到场，含分发、交通</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6DBE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E322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B01E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09F5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C7A6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D2AE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37</w:t>
            </w:r>
          </w:p>
        </w:tc>
        <w:tc>
          <w:tcPr>
            <w:tcW w:w="12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8A809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接待服务</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9C22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提供不少于30间单/双人房，含早，每间不超</w:t>
            </w:r>
            <w:r>
              <w:rPr>
                <w:rFonts w:hint="eastAsia" w:ascii="宋体" w:hAnsi="宋体" w:cs="宋体"/>
                <w:i w:val="0"/>
                <w:iCs w:val="0"/>
                <w:color w:val="000000"/>
                <w:kern w:val="0"/>
                <w:sz w:val="22"/>
                <w:szCs w:val="22"/>
                <w:u w:val="none"/>
                <w:lang w:val="en-US" w:eastAsia="zh-CN" w:bidi="ar"/>
              </w:rPr>
              <w:t>过</w:t>
            </w:r>
            <w:r>
              <w:rPr>
                <w:rFonts w:hint="eastAsia" w:ascii="宋体" w:hAnsi="宋体" w:eastAsia="宋体" w:cs="宋体"/>
                <w:i w:val="0"/>
                <w:iCs w:val="0"/>
                <w:color w:val="000000"/>
                <w:kern w:val="0"/>
                <w:sz w:val="22"/>
                <w:szCs w:val="22"/>
                <w:u w:val="none"/>
                <w:lang w:val="en-US" w:eastAsia="zh-CN" w:bidi="ar"/>
              </w:rPr>
              <w:t>450元</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1675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49ED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间</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B3CC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021B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F755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66EB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38</w:t>
            </w:r>
          </w:p>
        </w:tc>
        <w:tc>
          <w:tcPr>
            <w:tcW w:w="12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620154">
            <w:pPr>
              <w:jc w:val="center"/>
              <w:rPr>
                <w:rFonts w:hint="eastAsia" w:ascii="宋体" w:hAnsi="宋体" w:eastAsia="宋体" w:cs="宋体"/>
                <w:i w:val="0"/>
                <w:iCs w:val="0"/>
                <w:color w:val="000000"/>
                <w:kern w:val="0"/>
                <w:sz w:val="22"/>
                <w:szCs w:val="22"/>
                <w:u w:val="none"/>
                <w:lang w:val="en-US" w:eastAsia="zh-CN" w:bidi="ar"/>
              </w:rPr>
            </w:pP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5954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接待不少于50人次用餐，人均不超</w:t>
            </w:r>
            <w:r>
              <w:rPr>
                <w:rFonts w:hint="eastAsia" w:ascii="宋体" w:hAnsi="宋体" w:cs="宋体"/>
                <w:i w:val="0"/>
                <w:iCs w:val="0"/>
                <w:color w:val="000000"/>
                <w:kern w:val="0"/>
                <w:sz w:val="22"/>
                <w:szCs w:val="22"/>
                <w:u w:val="none"/>
                <w:lang w:val="en-US" w:eastAsia="zh-CN" w:bidi="ar"/>
              </w:rPr>
              <w:t>过</w:t>
            </w:r>
            <w:r>
              <w:rPr>
                <w:rFonts w:hint="eastAsia" w:ascii="宋体" w:hAnsi="宋体" w:eastAsia="宋体" w:cs="宋体"/>
                <w:i w:val="0"/>
                <w:iCs w:val="0"/>
                <w:color w:val="000000"/>
                <w:kern w:val="0"/>
                <w:sz w:val="22"/>
                <w:szCs w:val="22"/>
                <w:u w:val="none"/>
                <w:lang w:val="en-US" w:eastAsia="zh-CN" w:bidi="ar"/>
              </w:rPr>
              <w:t>110元</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3EC5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50</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535B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人次</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F1A6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F396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AA6E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2CFB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39</w:t>
            </w:r>
          </w:p>
        </w:tc>
        <w:tc>
          <w:tcPr>
            <w:tcW w:w="12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781E4B">
            <w:pPr>
              <w:jc w:val="center"/>
              <w:rPr>
                <w:rFonts w:hint="eastAsia" w:ascii="宋体" w:hAnsi="宋体" w:eastAsia="宋体" w:cs="宋体"/>
                <w:i w:val="0"/>
                <w:iCs w:val="0"/>
                <w:color w:val="000000"/>
                <w:kern w:val="0"/>
                <w:sz w:val="22"/>
                <w:szCs w:val="22"/>
                <w:u w:val="none"/>
                <w:lang w:val="en-US" w:eastAsia="zh-CN" w:bidi="ar"/>
              </w:rPr>
            </w:pP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6E7E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提供不少于30位广西嘉宾往返百色至深圳高铁服务</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ECAE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7B36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17E8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D261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4AF1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D297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40</w:t>
            </w:r>
          </w:p>
        </w:tc>
        <w:tc>
          <w:tcPr>
            <w:tcW w:w="12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99FA0F">
            <w:pPr>
              <w:jc w:val="center"/>
              <w:rPr>
                <w:rFonts w:hint="eastAsia" w:ascii="宋体" w:hAnsi="宋体" w:eastAsia="宋体" w:cs="宋体"/>
                <w:i w:val="0"/>
                <w:iCs w:val="0"/>
                <w:color w:val="000000"/>
                <w:kern w:val="0"/>
                <w:sz w:val="22"/>
                <w:szCs w:val="22"/>
                <w:u w:val="none"/>
                <w:lang w:val="en-US" w:eastAsia="zh-CN" w:bidi="ar"/>
              </w:rPr>
            </w:pP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8EC2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提供一台商务车，配司机，含司机用餐、油费和过路费等，为期2天，每天每台次服务时间约8小时：深圳市内接送参会人员</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43AD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02F6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1868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EC4F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3AF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56E1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41</w:t>
            </w:r>
          </w:p>
        </w:tc>
        <w:tc>
          <w:tcPr>
            <w:tcW w:w="12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A1E324">
            <w:pPr>
              <w:jc w:val="center"/>
              <w:rPr>
                <w:rFonts w:hint="eastAsia" w:ascii="宋体" w:hAnsi="宋体" w:eastAsia="宋体" w:cs="宋体"/>
                <w:i w:val="0"/>
                <w:iCs w:val="0"/>
                <w:color w:val="000000"/>
                <w:kern w:val="0"/>
                <w:sz w:val="22"/>
                <w:szCs w:val="22"/>
                <w:u w:val="none"/>
                <w:lang w:val="en-US" w:eastAsia="zh-CN" w:bidi="ar"/>
              </w:rPr>
            </w:pP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787B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提供不少于一台35座大巴，配司机，含司机用餐、油费和过路费等，为期2天，每天每台次服务时间约8小时：深圳市内接送参会人员</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FBE1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A405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453F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FF5E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CF04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1" w:hRule="atLeast"/>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FDCA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42</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1F24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高铁列车投放</w:t>
            </w:r>
          </w:p>
        </w:tc>
        <w:tc>
          <w:tcPr>
            <w:tcW w:w="4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EAA8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广州-百色高铁上投放一组（8节车厢）广告，含头片、桌贴、海报、行李架、车外门贴、led语音媒体发布，发布周期不少于2个月</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984E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79F0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FC11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3990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5FE3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 w:hRule="atLeast"/>
        </w:trPr>
        <w:tc>
          <w:tcPr>
            <w:tcW w:w="84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544B3F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合计（元）</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CEFF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088D4B3F">
      <w:pPr>
        <w:pStyle w:val="11"/>
        <w:spacing w:line="570" w:lineRule="exact"/>
        <w:ind w:firstLine="562" w:firstLineChars="200"/>
        <w:jc w:val="left"/>
        <w:rPr>
          <w:rFonts w:hint="eastAsia" w:ascii="仿宋" w:hAnsi="仿宋" w:eastAsia="仿宋" w:cs="仿宋"/>
          <w:b/>
          <w:color w:val="000000"/>
          <w:kern w:val="0"/>
          <w:sz w:val="28"/>
          <w:szCs w:val="28"/>
          <w:highlight w:val="none"/>
        </w:rPr>
      </w:pPr>
    </w:p>
    <w:p w14:paraId="444AFB5A">
      <w:pPr>
        <w:pStyle w:val="11"/>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14:paraId="10FBBC77">
      <w:pPr>
        <w:snapToGrid w:val="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14:paraId="738D2596">
      <w:pPr>
        <w:spacing w:line="570" w:lineRule="exact"/>
        <w:jc w:val="left"/>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14:paraId="42094463">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14:paraId="74E3122D">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14:paraId="3842A250">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14:paraId="011C7D72">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14:paraId="43971E48">
      <w:pPr>
        <w:spacing w:after="200" w:line="400" w:lineRule="exact"/>
        <w:jc w:val="center"/>
        <w:rPr>
          <w:rFonts w:hint="eastAsia" w:ascii="仿宋" w:hAnsi="仿宋" w:eastAsia="仿宋" w:cs="仿宋"/>
          <w:b/>
          <w:color w:val="000000"/>
          <w:sz w:val="28"/>
          <w:szCs w:val="28"/>
          <w:highlight w:val="none"/>
        </w:rPr>
        <w:sectPr>
          <w:footerReference r:id="rId5" w:type="default"/>
          <w:pgSz w:w="11906" w:h="16838"/>
          <w:pgMar w:top="1440" w:right="1800" w:bottom="1440" w:left="1800" w:header="851" w:footer="992" w:gutter="0"/>
          <w:pgNumType w:fmt="decimal" w:start="1"/>
          <w:cols w:space="720" w:num="1"/>
          <w:docGrid w:type="lines" w:linePitch="312" w:charSpace="0"/>
        </w:sectPr>
      </w:pPr>
      <w:bookmarkStart w:id="2" w:name="_Toc475472676"/>
      <w:bookmarkStart w:id="3" w:name="_Toc34146941"/>
      <w:bookmarkStart w:id="4" w:name="_Toc1651903"/>
    </w:p>
    <w:p w14:paraId="6E0279FA">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14:paraId="61C41689">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14:paraId="0D082C4C">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14:paraId="68AE83AC">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rPr>
        <w:t>、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14:paraId="45232039">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val="en-US" w:eastAsia="zh-CN"/>
        </w:rPr>
        <w:t>提供2023年以来同类业绩（活动策划、执行服务、广告投放）案例不少于两项（附合同关键页）。</w:t>
      </w:r>
    </w:p>
    <w:p w14:paraId="1AED0818">
      <w:pPr>
        <w:pStyle w:val="3"/>
        <w:rPr>
          <w:rFonts w:ascii="仿宋" w:hAnsi="仿宋" w:eastAsia="仿宋" w:cs="仿宋"/>
          <w:kern w:val="0"/>
          <w:sz w:val="28"/>
          <w:szCs w:val="28"/>
          <w:highlight w:val="none"/>
        </w:rPr>
      </w:pPr>
    </w:p>
    <w:bookmarkEnd w:id="2"/>
    <w:bookmarkEnd w:id="3"/>
    <w:bookmarkEnd w:id="4"/>
    <w:p w14:paraId="4EE039F9">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14:paraId="48F4E8C2">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14:paraId="5C770588">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14:paraId="17FAC7A4">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14:paraId="2E5F755B">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14:paraId="45F1B578">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14:paraId="06FC2D57">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w:t>
      </w:r>
      <w:r>
        <w:rPr>
          <w:rFonts w:hint="eastAsia" w:ascii="仿宋" w:hAnsi="仿宋" w:eastAsia="仿宋" w:cs="仿宋"/>
          <w:color w:val="000000"/>
          <w:kern w:val="2"/>
          <w:sz w:val="28"/>
          <w:szCs w:val="28"/>
          <w:highlight w:val="none"/>
          <w:lang w:val="en-US" w:eastAsia="zh-CN" w:bidi="ar-SA"/>
        </w:rPr>
        <w:t>资金</w:t>
      </w:r>
      <w:r>
        <w:rPr>
          <w:rFonts w:hint="eastAsia" w:ascii="仿宋" w:hAnsi="仿宋" w:eastAsia="仿宋" w:cs="仿宋"/>
          <w:bCs/>
          <w:color w:val="000000"/>
          <w:sz w:val="28"/>
          <w:szCs w:val="28"/>
          <w:highlight w:val="none"/>
        </w:rPr>
        <w:t>的良好记录。</w:t>
      </w:r>
    </w:p>
    <w:p w14:paraId="76D53BAE">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14:paraId="1019B669">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14:paraId="7F6D1373">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14:paraId="6A81AEAD">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7.我方承诺配合贵方要求及时签署合同，不分包、转包项目，为本项目开具增值税发票。</w:t>
      </w:r>
    </w:p>
    <w:p w14:paraId="570D0A12">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56C42834">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5441197B">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1D5FE252">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14:paraId="46739842">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14:paraId="76EEEE98">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14:paraId="7D3AB90E">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14:paraId="1C721991">
      <w:pPr>
        <w:spacing w:after="200" w:line="276" w:lineRule="auto"/>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四</w:t>
      </w:r>
      <w:r>
        <w:rPr>
          <w:rFonts w:hint="eastAsia" w:ascii="仿宋" w:hAnsi="仿宋" w:eastAsia="仿宋" w:cs="仿宋"/>
          <w:b/>
          <w:color w:val="000000"/>
          <w:sz w:val="28"/>
          <w:szCs w:val="28"/>
          <w:highlight w:val="none"/>
          <w:lang w:val="en-US" w:eastAsia="zh-CN"/>
        </w:rPr>
        <w:t>、</w:t>
      </w:r>
      <w:r>
        <w:rPr>
          <w:rFonts w:hint="eastAsia" w:ascii="仿宋" w:hAnsi="仿宋" w:eastAsia="仿宋" w:cs="仿宋"/>
          <w:b/>
          <w:color w:val="000000"/>
          <w:sz w:val="28"/>
          <w:szCs w:val="28"/>
          <w:highlight w:val="none"/>
        </w:rPr>
        <w:t>法定代表人证明书</w:t>
      </w:r>
    </w:p>
    <w:p w14:paraId="1784394A">
      <w:pPr>
        <w:spacing w:line="276" w:lineRule="auto"/>
        <w:jc w:val="center"/>
        <w:rPr>
          <w:rFonts w:ascii="宋体" w:hAnsi="宋体" w:cs="宋体"/>
          <w:b/>
          <w:sz w:val="24"/>
          <w:highlight w:val="none"/>
        </w:rPr>
      </w:pPr>
    </w:p>
    <w:p w14:paraId="43E8162F">
      <w:pPr>
        <w:tabs>
          <w:tab w:val="left" w:pos="8364"/>
        </w:tabs>
        <w:snapToGrid w:val="0"/>
        <w:spacing w:line="360" w:lineRule="auto"/>
        <w:ind w:right="-58"/>
        <w:rPr>
          <w:rFonts w:ascii="宋体" w:hAnsi="宋体" w:cs="宋体"/>
          <w:sz w:val="24"/>
          <w:highlight w:val="none"/>
          <w:u w:val="single"/>
        </w:rPr>
      </w:pPr>
    </w:p>
    <w:p w14:paraId="0EB36437">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14:paraId="371F0AFF">
      <w:pPr>
        <w:tabs>
          <w:tab w:val="left" w:pos="8364"/>
        </w:tabs>
        <w:snapToGrid w:val="0"/>
        <w:spacing w:line="360" w:lineRule="auto"/>
        <w:ind w:right="-58"/>
        <w:rPr>
          <w:rFonts w:ascii="仿宋" w:hAnsi="仿宋" w:eastAsia="仿宋" w:cs="仿宋"/>
          <w:color w:val="000000"/>
          <w:sz w:val="28"/>
          <w:szCs w:val="28"/>
          <w:highlight w:val="none"/>
        </w:rPr>
      </w:pPr>
    </w:p>
    <w:p w14:paraId="6D745991">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14:paraId="7DC0DE2D">
      <w:pPr>
        <w:tabs>
          <w:tab w:val="left" w:pos="8364"/>
        </w:tabs>
        <w:snapToGrid w:val="0"/>
        <w:spacing w:line="360" w:lineRule="auto"/>
        <w:ind w:right="-58"/>
        <w:rPr>
          <w:rFonts w:ascii="仿宋" w:hAnsi="仿宋" w:eastAsia="仿宋" w:cs="仿宋"/>
          <w:color w:val="000000"/>
          <w:sz w:val="28"/>
          <w:szCs w:val="28"/>
          <w:highlight w:val="none"/>
        </w:rPr>
      </w:pPr>
    </w:p>
    <w:p w14:paraId="62C853D5">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14:paraId="07431A72">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14:paraId="1EE2F49F">
      <w:pPr>
        <w:tabs>
          <w:tab w:val="left" w:pos="8364"/>
        </w:tabs>
        <w:snapToGrid w:val="0"/>
        <w:spacing w:line="360" w:lineRule="auto"/>
        <w:ind w:right="-58"/>
        <w:rPr>
          <w:rFonts w:ascii="仿宋" w:hAnsi="仿宋" w:eastAsia="仿宋" w:cs="仿宋"/>
          <w:color w:val="000000"/>
          <w:sz w:val="28"/>
          <w:szCs w:val="28"/>
          <w:highlight w:val="none"/>
        </w:rPr>
      </w:pPr>
    </w:p>
    <w:p w14:paraId="33C8D064">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14:paraId="4CFE7CC0">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146A880">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14:paraId="4146A880">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5527BF13">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14:paraId="5527BF13">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14:paraId="015198C0">
      <w:pPr>
        <w:spacing w:line="500" w:lineRule="exact"/>
        <w:rPr>
          <w:rFonts w:ascii="宋体" w:hAnsi="宋体" w:cs="宋体"/>
          <w:sz w:val="24"/>
          <w:highlight w:val="none"/>
        </w:rPr>
      </w:pPr>
    </w:p>
    <w:p w14:paraId="6ED19415">
      <w:pPr>
        <w:spacing w:line="440" w:lineRule="exact"/>
        <w:rPr>
          <w:rFonts w:ascii="宋体" w:hAnsi="宋体" w:cs="宋体"/>
          <w:sz w:val="24"/>
          <w:highlight w:val="none"/>
        </w:rPr>
      </w:pPr>
    </w:p>
    <w:p w14:paraId="2325974F">
      <w:pPr>
        <w:spacing w:line="440" w:lineRule="exact"/>
        <w:rPr>
          <w:rFonts w:ascii="宋体" w:hAnsi="宋体" w:cs="宋体"/>
          <w:sz w:val="24"/>
          <w:highlight w:val="none"/>
        </w:rPr>
      </w:pPr>
      <w:r>
        <w:rPr>
          <w:rFonts w:hint="eastAsia" w:ascii="宋体" w:hAnsi="宋体" w:cs="宋体"/>
          <w:sz w:val="24"/>
          <w:highlight w:val="none"/>
        </w:rPr>
        <w:t xml:space="preserve">                          </w:t>
      </w:r>
    </w:p>
    <w:p w14:paraId="3055D7FE">
      <w:pPr>
        <w:spacing w:line="500" w:lineRule="exact"/>
        <w:rPr>
          <w:rFonts w:ascii="宋体" w:hAnsi="宋体" w:cs="宋体"/>
          <w:sz w:val="24"/>
          <w:highlight w:val="none"/>
        </w:rPr>
      </w:pPr>
    </w:p>
    <w:p w14:paraId="590DBB43">
      <w:pPr>
        <w:spacing w:line="440" w:lineRule="exact"/>
        <w:rPr>
          <w:rFonts w:ascii="宋体" w:hAnsi="宋体" w:cs="宋体"/>
          <w:sz w:val="24"/>
          <w:highlight w:val="none"/>
        </w:rPr>
      </w:pPr>
    </w:p>
    <w:p w14:paraId="620FEA2E">
      <w:pPr>
        <w:spacing w:line="500" w:lineRule="exact"/>
        <w:rPr>
          <w:rFonts w:ascii="宋体" w:hAnsi="宋体" w:cs="宋体"/>
          <w:sz w:val="24"/>
          <w:highlight w:val="none"/>
        </w:rPr>
      </w:pPr>
    </w:p>
    <w:p w14:paraId="31F6830E">
      <w:pPr>
        <w:spacing w:line="440" w:lineRule="exact"/>
        <w:rPr>
          <w:rFonts w:ascii="宋体" w:hAnsi="宋体" w:cs="宋体"/>
          <w:sz w:val="24"/>
          <w:highlight w:val="none"/>
        </w:rPr>
      </w:pPr>
    </w:p>
    <w:p w14:paraId="360EB799">
      <w:pPr>
        <w:spacing w:line="440" w:lineRule="exact"/>
        <w:rPr>
          <w:rFonts w:ascii="宋体" w:hAnsi="宋体" w:cs="宋体"/>
          <w:sz w:val="24"/>
          <w:highlight w:val="none"/>
        </w:rPr>
      </w:pPr>
      <w:r>
        <w:rPr>
          <w:rFonts w:hint="eastAsia" w:ascii="宋体" w:hAnsi="宋体" w:cs="宋体"/>
          <w:sz w:val="24"/>
          <w:highlight w:val="none"/>
        </w:rPr>
        <w:t xml:space="preserve">                          </w:t>
      </w:r>
    </w:p>
    <w:p w14:paraId="32D840C7">
      <w:pPr>
        <w:spacing w:line="276" w:lineRule="auto"/>
        <w:jc w:val="center"/>
        <w:rPr>
          <w:rFonts w:hint="eastAsia" w:ascii="仿宋" w:hAnsi="仿宋" w:eastAsia="仿宋" w:cs="仿宋"/>
          <w:b/>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color w:val="000000"/>
          <w:sz w:val="28"/>
          <w:szCs w:val="28"/>
          <w:highlight w:val="none"/>
          <w:lang w:val="en-US" w:eastAsia="zh-CN"/>
        </w:rPr>
        <w:t>五</w:t>
      </w:r>
      <w:r>
        <w:rPr>
          <w:rFonts w:hint="eastAsia" w:ascii="仿宋" w:hAnsi="仿宋" w:eastAsia="仿宋" w:cs="仿宋"/>
          <w:b/>
          <w:color w:val="000000"/>
          <w:sz w:val="28"/>
          <w:szCs w:val="28"/>
          <w:highlight w:val="none"/>
          <w:lang w:val="en-GB"/>
        </w:rPr>
        <w:t>、</w:t>
      </w:r>
      <w:r>
        <w:rPr>
          <w:rFonts w:hint="eastAsia" w:ascii="仿宋" w:hAnsi="仿宋" w:eastAsia="仿宋" w:cs="仿宋"/>
          <w:b/>
          <w:color w:val="000000"/>
          <w:sz w:val="28"/>
          <w:szCs w:val="28"/>
          <w:highlight w:val="none"/>
        </w:rPr>
        <w:t>法定代表人</w:t>
      </w:r>
      <w:r>
        <w:rPr>
          <w:rFonts w:hint="eastAsia" w:ascii="仿宋" w:hAnsi="仿宋" w:eastAsia="仿宋" w:cs="仿宋"/>
          <w:b/>
          <w:color w:val="000000"/>
          <w:sz w:val="28"/>
          <w:szCs w:val="28"/>
          <w:highlight w:val="none"/>
          <w:lang w:val="en-GB"/>
        </w:rPr>
        <w:t>授权委托书</w:t>
      </w:r>
    </w:p>
    <w:p w14:paraId="0CF52DE4">
      <w:pPr>
        <w:pStyle w:val="13"/>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eastAsia" w:ascii="仿宋" w:hAnsi="仿宋" w:eastAsia="仿宋" w:cs="仿宋"/>
          <w:bCs/>
          <w:color w:val="000000"/>
          <w:sz w:val="28"/>
          <w:szCs w:val="28"/>
          <w:highlight w:val="none"/>
        </w:rPr>
      </w:pPr>
    </w:p>
    <w:p w14:paraId="2FC1005E">
      <w:pPr>
        <w:pStyle w:val="13"/>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bCs/>
          <w:color w:val="000000"/>
          <w:sz w:val="28"/>
          <w:szCs w:val="28"/>
          <w:highlight w:val="none"/>
          <w:lang w:val="en-US" w:eastAsia="zh-CN"/>
        </w:rPr>
        <w:t>百色田阳农产品产销大湾区（深圳）推介项目</w:t>
      </w:r>
      <w:r>
        <w:rPr>
          <w:rFonts w:hint="eastAsia" w:ascii="仿宋" w:hAnsi="仿宋" w:eastAsia="仿宋" w:cs="仿宋"/>
          <w:bCs/>
          <w:color w:val="000000"/>
          <w:sz w:val="28"/>
          <w:szCs w:val="28"/>
          <w:highlight w:val="none"/>
        </w:rPr>
        <w:t>】的【洽谈、签约、项目服务联络等】事宜。</w:t>
      </w:r>
    </w:p>
    <w:p w14:paraId="30318B79">
      <w:pPr>
        <w:pStyle w:val="13"/>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14:paraId="76125F53">
      <w:pPr>
        <w:pStyle w:val="13"/>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14:paraId="4E695538">
      <w:pPr>
        <w:pStyle w:val="13"/>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14:paraId="477E1CE8">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14:paraId="27AA8D59">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36686973">
      <w:pPr>
        <w:pStyle w:val="13"/>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7D1B4952">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14:paraId="31517F5E">
      <w:pPr>
        <w:pStyle w:val="13"/>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61A05294">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14:paraId="16F79DF7">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7C6D1CAB">
      <w:pPr>
        <w:pStyle w:val="13"/>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11CD9328">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14:paraId="11CD9328">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10DF2DEF">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38A0C48B">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14:paraId="10DF2DEF">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38A0C48B">
                      <w:pPr>
                        <w:spacing w:after="200" w:line="276" w:lineRule="auto"/>
                        <w:jc w:val="center"/>
                        <w:rPr>
                          <w:rFonts w:cs="宋体"/>
                        </w:rPr>
                      </w:pPr>
                    </w:p>
                  </w:txbxContent>
                </v:textbox>
              </v:shape>
            </w:pict>
          </mc:Fallback>
        </mc:AlternateContent>
      </w:r>
    </w:p>
    <w:p w14:paraId="63C68818">
      <w:pPr>
        <w:spacing w:after="200" w:line="276" w:lineRule="auto"/>
        <w:rPr>
          <w:rFonts w:ascii="宋体" w:hAnsi="宋体" w:cs="宋体"/>
          <w:sz w:val="24"/>
          <w:highlight w:val="none"/>
        </w:rPr>
      </w:pPr>
    </w:p>
    <w:p w14:paraId="797F0C22">
      <w:pPr>
        <w:spacing w:after="200" w:line="276" w:lineRule="auto"/>
        <w:rPr>
          <w:rFonts w:ascii="宋体" w:hAnsi="宋体" w:cs="宋体"/>
          <w:sz w:val="24"/>
          <w:highlight w:val="none"/>
        </w:rPr>
      </w:pPr>
    </w:p>
    <w:p w14:paraId="14C8C48E">
      <w:pPr>
        <w:spacing w:after="200" w:line="276" w:lineRule="auto"/>
        <w:rPr>
          <w:rFonts w:ascii="宋体" w:hAnsi="宋体" w:cs="宋体"/>
          <w:sz w:val="24"/>
          <w:highlight w:val="none"/>
        </w:rPr>
      </w:pPr>
    </w:p>
    <w:p w14:paraId="5A60A454">
      <w:pPr>
        <w:spacing w:after="200" w:line="276" w:lineRule="auto"/>
        <w:rPr>
          <w:rFonts w:ascii="宋体" w:hAnsi="宋体" w:cs="宋体"/>
          <w:sz w:val="24"/>
          <w:highlight w:val="none"/>
        </w:rPr>
      </w:pPr>
    </w:p>
    <w:p w14:paraId="54898F8D">
      <w:pPr>
        <w:tabs>
          <w:tab w:val="left" w:pos="917"/>
        </w:tabs>
        <w:spacing w:after="200" w:line="276" w:lineRule="auto"/>
        <w:jc w:val="left"/>
        <w:rPr>
          <w:rFonts w:hint="eastAsia" w:ascii="宋体" w:hAnsi="宋体" w:cs="宋体"/>
          <w:b/>
          <w:bCs/>
          <w:sz w:val="24"/>
          <w:highlight w:val="none"/>
        </w:rPr>
      </w:pPr>
      <w:r>
        <w:rPr>
          <w:rFonts w:hint="eastAsia" w:ascii="宋体" w:hAnsi="宋体" w:cs="宋体"/>
          <w:b/>
          <w:bCs/>
          <w:sz w:val="24"/>
          <w:highlight w:val="none"/>
        </w:rPr>
        <w:br w:type="page"/>
      </w:r>
    </w:p>
    <w:p w14:paraId="5D5EB550">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14:paraId="2429E902">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14:paraId="0CF97BBB">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14:paraId="3787C5A8">
      <w:pPr>
        <w:pStyle w:val="6"/>
        <w:rPr>
          <w:highlight w:val="none"/>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14:paraId="491C8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0F6E170D">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14:paraId="693BD7AD">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14:paraId="68AE3AC9">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14:paraId="489D153A">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14:paraId="1819D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6C786B64">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14:paraId="7BA788AF">
            <w:pPr>
              <w:pStyle w:val="16"/>
              <w:ind w:firstLine="0"/>
              <w:jc w:val="center"/>
              <w:rPr>
                <w:rFonts w:ascii="仿宋" w:hAnsi="仿宋" w:eastAsia="仿宋" w:cs="仿宋"/>
                <w:sz w:val="28"/>
                <w:szCs w:val="28"/>
                <w:highlight w:val="none"/>
              </w:rPr>
            </w:pPr>
          </w:p>
        </w:tc>
        <w:tc>
          <w:tcPr>
            <w:tcW w:w="2200" w:type="dxa"/>
          </w:tcPr>
          <w:p w14:paraId="0CEDD756">
            <w:pPr>
              <w:pStyle w:val="16"/>
              <w:ind w:firstLine="0"/>
              <w:jc w:val="center"/>
              <w:rPr>
                <w:rFonts w:ascii="仿宋" w:hAnsi="仿宋" w:eastAsia="仿宋" w:cs="仿宋"/>
                <w:sz w:val="28"/>
                <w:szCs w:val="28"/>
                <w:highlight w:val="none"/>
              </w:rPr>
            </w:pPr>
          </w:p>
        </w:tc>
        <w:tc>
          <w:tcPr>
            <w:tcW w:w="3350" w:type="dxa"/>
          </w:tcPr>
          <w:p w14:paraId="250AEDA4">
            <w:pPr>
              <w:pStyle w:val="16"/>
              <w:ind w:firstLine="0"/>
              <w:jc w:val="center"/>
              <w:rPr>
                <w:rFonts w:ascii="仿宋" w:hAnsi="仿宋" w:eastAsia="仿宋" w:cs="仿宋"/>
                <w:sz w:val="28"/>
                <w:szCs w:val="28"/>
                <w:highlight w:val="none"/>
              </w:rPr>
            </w:pPr>
          </w:p>
        </w:tc>
      </w:tr>
      <w:tr w14:paraId="27262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282532C7">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14:paraId="07C5B4C2">
            <w:pPr>
              <w:pStyle w:val="16"/>
              <w:ind w:firstLine="0"/>
              <w:jc w:val="center"/>
              <w:rPr>
                <w:rFonts w:ascii="仿宋" w:hAnsi="仿宋" w:eastAsia="仿宋" w:cs="仿宋"/>
                <w:sz w:val="28"/>
                <w:szCs w:val="28"/>
                <w:highlight w:val="none"/>
              </w:rPr>
            </w:pPr>
          </w:p>
        </w:tc>
        <w:tc>
          <w:tcPr>
            <w:tcW w:w="2200" w:type="dxa"/>
          </w:tcPr>
          <w:p w14:paraId="1EEBA2E5">
            <w:pPr>
              <w:pStyle w:val="16"/>
              <w:ind w:firstLine="0"/>
              <w:jc w:val="center"/>
              <w:rPr>
                <w:rFonts w:ascii="仿宋" w:hAnsi="仿宋" w:eastAsia="仿宋" w:cs="仿宋"/>
                <w:sz w:val="28"/>
                <w:szCs w:val="28"/>
                <w:highlight w:val="none"/>
              </w:rPr>
            </w:pPr>
          </w:p>
        </w:tc>
        <w:tc>
          <w:tcPr>
            <w:tcW w:w="3350" w:type="dxa"/>
          </w:tcPr>
          <w:p w14:paraId="1593DE9E">
            <w:pPr>
              <w:pStyle w:val="16"/>
              <w:ind w:firstLine="0"/>
              <w:jc w:val="center"/>
              <w:rPr>
                <w:rFonts w:ascii="仿宋" w:hAnsi="仿宋" w:eastAsia="仿宋" w:cs="仿宋"/>
                <w:sz w:val="28"/>
                <w:szCs w:val="28"/>
                <w:highlight w:val="none"/>
              </w:rPr>
            </w:pPr>
          </w:p>
        </w:tc>
      </w:tr>
      <w:tr w14:paraId="6E8A5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12DA6A49">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14:paraId="5FD96D7C">
            <w:pPr>
              <w:pStyle w:val="16"/>
              <w:ind w:firstLine="0"/>
              <w:jc w:val="center"/>
              <w:rPr>
                <w:rFonts w:ascii="仿宋" w:hAnsi="仿宋" w:eastAsia="仿宋" w:cs="仿宋"/>
                <w:sz w:val="28"/>
                <w:szCs w:val="28"/>
                <w:highlight w:val="none"/>
              </w:rPr>
            </w:pPr>
          </w:p>
        </w:tc>
        <w:tc>
          <w:tcPr>
            <w:tcW w:w="2200" w:type="dxa"/>
          </w:tcPr>
          <w:p w14:paraId="4EAA62FF">
            <w:pPr>
              <w:pStyle w:val="16"/>
              <w:ind w:firstLine="0"/>
              <w:jc w:val="center"/>
              <w:rPr>
                <w:rFonts w:ascii="仿宋" w:hAnsi="仿宋" w:eastAsia="仿宋" w:cs="仿宋"/>
                <w:sz w:val="28"/>
                <w:szCs w:val="28"/>
                <w:highlight w:val="none"/>
              </w:rPr>
            </w:pPr>
          </w:p>
        </w:tc>
        <w:tc>
          <w:tcPr>
            <w:tcW w:w="3350" w:type="dxa"/>
          </w:tcPr>
          <w:p w14:paraId="337A03CA">
            <w:pPr>
              <w:pStyle w:val="16"/>
              <w:ind w:firstLine="0"/>
              <w:jc w:val="center"/>
              <w:rPr>
                <w:rFonts w:ascii="仿宋" w:hAnsi="仿宋" w:eastAsia="仿宋" w:cs="仿宋"/>
                <w:sz w:val="28"/>
                <w:szCs w:val="28"/>
                <w:highlight w:val="none"/>
              </w:rPr>
            </w:pPr>
          </w:p>
        </w:tc>
      </w:tr>
      <w:tr w14:paraId="0B59F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5B005E66">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14:paraId="0CD7AE31">
            <w:pPr>
              <w:pStyle w:val="16"/>
              <w:ind w:firstLine="0"/>
              <w:jc w:val="center"/>
              <w:rPr>
                <w:rFonts w:ascii="仿宋" w:hAnsi="仿宋" w:eastAsia="仿宋" w:cs="仿宋"/>
                <w:sz w:val="28"/>
                <w:szCs w:val="28"/>
                <w:highlight w:val="none"/>
              </w:rPr>
            </w:pPr>
          </w:p>
        </w:tc>
        <w:tc>
          <w:tcPr>
            <w:tcW w:w="2200" w:type="dxa"/>
          </w:tcPr>
          <w:p w14:paraId="734A10A1">
            <w:pPr>
              <w:pStyle w:val="16"/>
              <w:ind w:firstLine="0"/>
              <w:jc w:val="center"/>
              <w:rPr>
                <w:rFonts w:ascii="仿宋" w:hAnsi="仿宋" w:eastAsia="仿宋" w:cs="仿宋"/>
                <w:sz w:val="28"/>
                <w:szCs w:val="28"/>
                <w:highlight w:val="none"/>
              </w:rPr>
            </w:pPr>
          </w:p>
        </w:tc>
        <w:tc>
          <w:tcPr>
            <w:tcW w:w="3350" w:type="dxa"/>
          </w:tcPr>
          <w:p w14:paraId="2A540A27">
            <w:pPr>
              <w:pStyle w:val="16"/>
              <w:ind w:firstLine="0"/>
              <w:jc w:val="center"/>
              <w:rPr>
                <w:rFonts w:ascii="仿宋" w:hAnsi="仿宋" w:eastAsia="仿宋" w:cs="仿宋"/>
                <w:sz w:val="28"/>
                <w:szCs w:val="28"/>
                <w:highlight w:val="none"/>
              </w:rPr>
            </w:pPr>
          </w:p>
        </w:tc>
      </w:tr>
      <w:tr w14:paraId="3C4E7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63EC15FA">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14:paraId="24EBD288">
            <w:pPr>
              <w:pStyle w:val="16"/>
              <w:ind w:firstLine="0"/>
              <w:jc w:val="center"/>
              <w:rPr>
                <w:rFonts w:ascii="仿宋" w:hAnsi="仿宋" w:eastAsia="仿宋" w:cs="仿宋"/>
                <w:sz w:val="28"/>
                <w:szCs w:val="28"/>
                <w:highlight w:val="none"/>
              </w:rPr>
            </w:pPr>
          </w:p>
        </w:tc>
        <w:tc>
          <w:tcPr>
            <w:tcW w:w="2200" w:type="dxa"/>
          </w:tcPr>
          <w:p w14:paraId="50E7E2CC">
            <w:pPr>
              <w:pStyle w:val="16"/>
              <w:ind w:firstLine="0"/>
              <w:jc w:val="center"/>
              <w:rPr>
                <w:rFonts w:ascii="仿宋" w:hAnsi="仿宋" w:eastAsia="仿宋" w:cs="仿宋"/>
                <w:sz w:val="28"/>
                <w:szCs w:val="28"/>
                <w:highlight w:val="none"/>
              </w:rPr>
            </w:pPr>
          </w:p>
        </w:tc>
        <w:tc>
          <w:tcPr>
            <w:tcW w:w="3350" w:type="dxa"/>
          </w:tcPr>
          <w:p w14:paraId="6603A1DC">
            <w:pPr>
              <w:pStyle w:val="16"/>
              <w:ind w:firstLine="0"/>
              <w:jc w:val="center"/>
              <w:rPr>
                <w:rFonts w:ascii="仿宋" w:hAnsi="仿宋" w:eastAsia="仿宋" w:cs="仿宋"/>
                <w:sz w:val="28"/>
                <w:szCs w:val="28"/>
                <w:highlight w:val="none"/>
              </w:rPr>
            </w:pPr>
          </w:p>
        </w:tc>
      </w:tr>
      <w:tr w14:paraId="483BB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4ECCE0B2">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14:paraId="4956FF31">
            <w:pPr>
              <w:pStyle w:val="16"/>
              <w:ind w:firstLine="0"/>
              <w:jc w:val="center"/>
              <w:rPr>
                <w:rFonts w:ascii="仿宋" w:hAnsi="仿宋" w:eastAsia="仿宋" w:cs="仿宋"/>
                <w:sz w:val="28"/>
                <w:szCs w:val="28"/>
                <w:highlight w:val="none"/>
              </w:rPr>
            </w:pPr>
          </w:p>
        </w:tc>
        <w:tc>
          <w:tcPr>
            <w:tcW w:w="2200" w:type="dxa"/>
          </w:tcPr>
          <w:p w14:paraId="21554B0E">
            <w:pPr>
              <w:pStyle w:val="16"/>
              <w:ind w:firstLine="0"/>
              <w:jc w:val="center"/>
              <w:rPr>
                <w:rFonts w:ascii="仿宋" w:hAnsi="仿宋" w:eastAsia="仿宋" w:cs="仿宋"/>
                <w:sz w:val="28"/>
                <w:szCs w:val="28"/>
                <w:highlight w:val="none"/>
              </w:rPr>
            </w:pPr>
          </w:p>
        </w:tc>
        <w:tc>
          <w:tcPr>
            <w:tcW w:w="3350" w:type="dxa"/>
          </w:tcPr>
          <w:p w14:paraId="7E7B5BFE">
            <w:pPr>
              <w:pStyle w:val="16"/>
              <w:ind w:firstLine="0"/>
              <w:jc w:val="center"/>
              <w:rPr>
                <w:rFonts w:ascii="仿宋" w:hAnsi="仿宋" w:eastAsia="仿宋" w:cs="仿宋"/>
                <w:sz w:val="28"/>
                <w:szCs w:val="28"/>
                <w:highlight w:val="none"/>
              </w:rPr>
            </w:pPr>
          </w:p>
        </w:tc>
      </w:tr>
    </w:tbl>
    <w:p w14:paraId="5FC56C3C">
      <w:pPr>
        <w:pStyle w:val="15"/>
        <w:spacing w:after="200" w:line="276" w:lineRule="auto"/>
        <w:ind w:firstLine="0" w:firstLineChars="0"/>
        <w:jc w:val="left"/>
        <w:rPr>
          <w:rFonts w:ascii="仿宋" w:hAnsi="仿宋" w:eastAsia="仿宋" w:cs="仿宋"/>
          <w:b/>
          <w:kern w:val="0"/>
          <w:sz w:val="28"/>
          <w:szCs w:val="28"/>
          <w:highlight w:val="none"/>
        </w:rPr>
      </w:pPr>
    </w:p>
    <w:p w14:paraId="10BA256B">
      <w:pPr>
        <w:pStyle w:val="15"/>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【提供人员经社保局盖章的截止日前12个月内任意1个月的本单位缴纳社保的证明材料</w:t>
      </w:r>
      <w:r>
        <w:rPr>
          <w:rFonts w:hint="eastAsia" w:ascii="仿宋" w:hAnsi="仿宋" w:eastAsia="仿宋" w:cs="仿宋"/>
          <w:b/>
          <w:kern w:val="0"/>
          <w:sz w:val="28"/>
          <w:szCs w:val="28"/>
          <w:highlight w:val="none"/>
          <w:lang w:eastAsia="zh-CN"/>
        </w:rPr>
        <w:t>】</w:t>
      </w:r>
    </w:p>
    <w:p w14:paraId="40E4D144">
      <w:pPr>
        <w:pStyle w:val="15"/>
        <w:spacing w:after="0"/>
        <w:ind w:firstLine="0" w:firstLineChars="0"/>
        <w:jc w:val="center"/>
        <w:rPr>
          <w:rFonts w:hint="eastAsia" w:ascii="仿宋" w:hAnsi="仿宋" w:eastAsia="仿宋" w:cs="仿宋"/>
          <w:b/>
          <w:bCs/>
          <w:sz w:val="28"/>
          <w:szCs w:val="28"/>
          <w:highlight w:val="none"/>
        </w:rPr>
        <w:sectPr>
          <w:pgSz w:w="11906" w:h="16838"/>
          <w:pgMar w:top="1440" w:right="1800" w:bottom="1440" w:left="1800" w:header="851" w:footer="992" w:gutter="0"/>
          <w:pgNumType w:fmt="decimal"/>
          <w:cols w:space="425" w:num="1"/>
          <w:docGrid w:type="lines" w:linePitch="312" w:charSpace="0"/>
        </w:sectPr>
      </w:pPr>
    </w:p>
    <w:p w14:paraId="550F7464">
      <w:pPr>
        <w:pStyle w:val="15"/>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14:paraId="0A242298">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w:t>
      </w:r>
      <w:r>
        <w:rPr>
          <w:rFonts w:hint="eastAsia" w:ascii="仿宋" w:hAnsi="仿宋" w:eastAsia="仿宋" w:cs="仿宋"/>
          <w:bCs/>
          <w:kern w:val="0"/>
          <w:sz w:val="28"/>
          <w:szCs w:val="28"/>
          <w:highlight w:val="none"/>
          <w:lang w:eastAsia="zh-CN"/>
        </w:rPr>
        <w:t>，</w:t>
      </w:r>
      <w:r>
        <w:rPr>
          <w:rFonts w:hint="eastAsia" w:ascii="仿宋" w:hAnsi="仿宋" w:eastAsia="仿宋" w:cs="仿宋"/>
          <w:bCs/>
          <w:kern w:val="0"/>
          <w:sz w:val="28"/>
          <w:szCs w:val="28"/>
          <w:highlight w:val="none"/>
          <w:lang w:val="en-US" w:eastAsia="zh-CN"/>
        </w:rPr>
        <w:t>格式自拟</w:t>
      </w:r>
      <w:r>
        <w:rPr>
          <w:rFonts w:hint="eastAsia" w:ascii="仿宋" w:hAnsi="仿宋" w:eastAsia="仿宋" w:cs="仿宋"/>
          <w:bCs/>
          <w:kern w:val="0"/>
          <w:sz w:val="28"/>
          <w:szCs w:val="28"/>
          <w:highlight w:val="none"/>
        </w:rPr>
        <w:t>）</w:t>
      </w:r>
    </w:p>
    <w:p w14:paraId="32BA547B">
      <w:pPr>
        <w:pStyle w:val="4"/>
        <w:rPr>
          <w:rFonts w:hint="eastAsia"/>
          <w:lang w:val="en-US" w:eastAsia="zh-CN"/>
        </w:rPr>
        <w:sectPr>
          <w:pgSz w:w="11906" w:h="16838"/>
          <w:pgMar w:top="1440" w:right="1800" w:bottom="1440" w:left="1800" w:header="851" w:footer="992" w:gutter="0"/>
          <w:pgNumType w:fmt="decimal"/>
          <w:cols w:space="425" w:num="1"/>
          <w:docGrid w:type="lines" w:linePitch="312" w:charSpace="0"/>
        </w:sectPr>
      </w:pPr>
    </w:p>
    <w:p w14:paraId="7C50ED2E">
      <w:pPr>
        <w:pStyle w:val="15"/>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九、报价人认为需要补充的其他资料</w:t>
      </w:r>
    </w:p>
    <w:p w14:paraId="24C1D0BA">
      <w:pPr>
        <w:rPr>
          <w:rFonts w:hint="eastAsia"/>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85608200-262B-4152-A94E-5192BE02F80D}"/>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2" w:fontKey="{4625E6FB-185E-4B81-A3E5-138560E8A9F1}"/>
  </w:font>
  <w:font w:name="方正小标宋简体">
    <w:panose1 w:val="02000000000000000000"/>
    <w:charset w:val="86"/>
    <w:family w:val="auto"/>
    <w:pitch w:val="default"/>
    <w:sig w:usb0="00000001" w:usb1="08000000" w:usb2="00000000" w:usb3="00000000" w:csb0="00040000" w:csb1="00000000"/>
    <w:embedRegular r:id="rId3" w:fontKey="{475D5957-E5F3-4B6F-B569-0CDF049F1CBE}"/>
  </w:font>
  <w:font w:name="仿宋">
    <w:panose1 w:val="02010609060101010101"/>
    <w:charset w:val="86"/>
    <w:family w:val="auto"/>
    <w:pitch w:val="default"/>
    <w:sig w:usb0="800002BF" w:usb1="38CF7CFA" w:usb2="00000016" w:usb3="00000000" w:csb0="00040001" w:csb1="00000000"/>
    <w:embedRegular r:id="rId4" w:fontKey="{54229007-569D-4246-9C24-99C0048EDBE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968E8">
    <w:pPr>
      <w:pStyle w:val="9"/>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CF527">
    <w:pPr>
      <w:pStyle w:val="9"/>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65E800">
                          <w:pPr>
                            <w:pStyle w:val="9"/>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6365E800">
                    <w:pPr>
                      <w:pStyle w:val="9"/>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260DE">
    <w:pPr>
      <w:spacing w:line="360" w:lineRule="auto"/>
      <w:jc w:val="center"/>
      <w:rPr>
        <w:rFonts w:asciiTheme="minorEastAsia" w:hAnsiTheme="minorEastAsia"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7D29EE"/>
    <w:multiLevelType w:val="singleLevel"/>
    <w:tmpl w:val="357D29E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 w:name="KSO_WPS_MARK_KEY" w:val="bb9682b2-9e9a-4f79-8ae2-b36a7f3673af"/>
  </w:docVars>
  <w:rsids>
    <w:rsidRoot w:val="00172A27"/>
    <w:rsid w:val="00B514E9"/>
    <w:rsid w:val="014D325C"/>
    <w:rsid w:val="02AB4C3E"/>
    <w:rsid w:val="057E6B02"/>
    <w:rsid w:val="06B96089"/>
    <w:rsid w:val="07DB2536"/>
    <w:rsid w:val="086B2B28"/>
    <w:rsid w:val="095942BD"/>
    <w:rsid w:val="0C4E1FCE"/>
    <w:rsid w:val="0EA73343"/>
    <w:rsid w:val="0F8A2F0C"/>
    <w:rsid w:val="104704AB"/>
    <w:rsid w:val="12D70244"/>
    <w:rsid w:val="13713FD4"/>
    <w:rsid w:val="162718A6"/>
    <w:rsid w:val="179F7DE1"/>
    <w:rsid w:val="1C676ADD"/>
    <w:rsid w:val="1CB25738"/>
    <w:rsid w:val="1FAC6014"/>
    <w:rsid w:val="2858150F"/>
    <w:rsid w:val="28B01480"/>
    <w:rsid w:val="2D7C088F"/>
    <w:rsid w:val="2F92180C"/>
    <w:rsid w:val="31C64990"/>
    <w:rsid w:val="32E2177A"/>
    <w:rsid w:val="338D6E29"/>
    <w:rsid w:val="364B6993"/>
    <w:rsid w:val="394E537D"/>
    <w:rsid w:val="39CA7D9C"/>
    <w:rsid w:val="3CB83652"/>
    <w:rsid w:val="3DBE5993"/>
    <w:rsid w:val="3F391D4B"/>
    <w:rsid w:val="40F70460"/>
    <w:rsid w:val="427F7E2D"/>
    <w:rsid w:val="43030A5E"/>
    <w:rsid w:val="449328CD"/>
    <w:rsid w:val="47697B58"/>
    <w:rsid w:val="4C132817"/>
    <w:rsid w:val="4E9F0761"/>
    <w:rsid w:val="4EEE4370"/>
    <w:rsid w:val="517D4052"/>
    <w:rsid w:val="52EB5756"/>
    <w:rsid w:val="557B22A8"/>
    <w:rsid w:val="55C817C9"/>
    <w:rsid w:val="57B40D6A"/>
    <w:rsid w:val="59287FF3"/>
    <w:rsid w:val="59F878CF"/>
    <w:rsid w:val="5F0517A2"/>
    <w:rsid w:val="61CD4507"/>
    <w:rsid w:val="62194CB0"/>
    <w:rsid w:val="68CD5437"/>
    <w:rsid w:val="6F7F2737"/>
    <w:rsid w:val="6FED068A"/>
    <w:rsid w:val="70447E3C"/>
    <w:rsid w:val="72F559FA"/>
    <w:rsid w:val="73D53C52"/>
    <w:rsid w:val="74103D21"/>
    <w:rsid w:val="74A23B6A"/>
    <w:rsid w:val="75C371E9"/>
    <w:rsid w:val="760B6407"/>
    <w:rsid w:val="76BC1447"/>
    <w:rsid w:val="7A940181"/>
    <w:rsid w:val="7C537674"/>
    <w:rsid w:val="7FCE12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index 8"/>
    <w:basedOn w:val="1"/>
    <w:next w:val="1"/>
    <w:unhideWhenUsed/>
    <w:qFormat/>
    <w:uiPriority w:val="99"/>
    <w:pPr>
      <w:ind w:left="2940"/>
      <w:jc w:val="left"/>
    </w:pPr>
  </w:style>
  <w:style w:type="paragraph" w:styleId="5">
    <w:name w:val="Salutation"/>
    <w:basedOn w:val="1"/>
    <w:next w:val="1"/>
    <w:qFormat/>
    <w:uiPriority w:val="0"/>
    <w:rPr>
      <w:rFonts w:ascii="宋体" w:hAnsi="宋体" w:cs="宋体"/>
      <w:sz w:val="28"/>
      <w:szCs w:val="28"/>
    </w:rPr>
  </w:style>
  <w:style w:type="paragraph" w:styleId="6">
    <w:name w:val="Body Text"/>
    <w:basedOn w:val="1"/>
    <w:next w:val="7"/>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7">
    <w:name w:val="Subtitle"/>
    <w:basedOn w:val="1"/>
    <w:next w:val="1"/>
    <w:qFormat/>
    <w:uiPriority w:val="0"/>
    <w:pPr>
      <w:spacing w:before="240" w:after="60" w:line="312" w:lineRule="auto"/>
      <w:jc w:val="center"/>
      <w:outlineLvl w:val="1"/>
    </w:pPr>
    <w:rPr>
      <w:rFonts w:ascii="Arial" w:hAnsi="Arial" w:cs="Arial"/>
      <w:b/>
      <w:bCs/>
      <w:kern w:val="28"/>
      <w:sz w:val="32"/>
      <w:szCs w:val="32"/>
    </w:rPr>
  </w:style>
  <w:style w:type="paragraph" w:styleId="8">
    <w:name w:val="Body Text Indent"/>
    <w:basedOn w:val="1"/>
    <w:next w:val="1"/>
    <w:qFormat/>
    <w:uiPriority w:val="0"/>
    <w:pPr>
      <w:autoSpaceDE w:val="0"/>
      <w:autoSpaceDN w:val="0"/>
      <w:spacing w:line="360" w:lineRule="auto"/>
      <w:ind w:firstLine="420" w:firstLineChars="200"/>
    </w:pPr>
    <w:rPr>
      <w:rFonts w:ascii="宋体" w:hAnsi="宋体"/>
      <w:szCs w:val="21"/>
    </w:rPr>
  </w:style>
  <w:style w:type="paragraph" w:styleId="9">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12">
    <w:name w:val="toc 4"/>
    <w:basedOn w:val="1"/>
    <w:next w:val="1"/>
    <w:qFormat/>
    <w:uiPriority w:val="39"/>
    <w:pPr>
      <w:spacing w:line="360" w:lineRule="auto"/>
      <w:ind w:left="720" w:firstLine="425"/>
      <w:jc w:val="left"/>
    </w:pPr>
    <w:rPr>
      <w:spacing w:val="10"/>
      <w:kern w:val="0"/>
      <w:sz w:val="18"/>
      <w:szCs w:val="18"/>
    </w:rPr>
  </w:style>
  <w:style w:type="paragraph" w:styleId="13">
    <w:name w:val="Normal (Web)"/>
    <w:basedOn w:val="1"/>
    <w:qFormat/>
    <w:uiPriority w:val="0"/>
    <w:pPr>
      <w:spacing w:beforeAutospacing="1" w:afterAutospacing="1"/>
      <w:jc w:val="left"/>
    </w:pPr>
    <w:rPr>
      <w:rFonts w:cs="Times New Roman"/>
      <w:kern w:val="0"/>
      <w:sz w:val="24"/>
    </w:rPr>
  </w:style>
  <w:style w:type="paragraph" w:styleId="14">
    <w:name w:val="Title"/>
    <w:basedOn w:val="1"/>
    <w:next w:val="8"/>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5">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6">
    <w:name w:val="Body Text First Indent 2"/>
    <w:basedOn w:val="8"/>
    <w:next w:val="1"/>
    <w:qFormat/>
    <w:uiPriority w:val="0"/>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
    <w:name w:val="font41"/>
    <w:basedOn w:val="19"/>
    <w:qFormat/>
    <w:uiPriority w:val="0"/>
    <w:rPr>
      <w:rFonts w:hint="eastAsia" w:ascii="宋体" w:hAnsi="宋体" w:eastAsia="宋体" w:cs="宋体"/>
      <w:color w:val="000000"/>
      <w:sz w:val="22"/>
      <w:szCs w:val="22"/>
      <w:u w:val="none"/>
    </w:rPr>
  </w:style>
  <w:style w:type="character" w:customStyle="1" w:styleId="21">
    <w:name w:val="font121"/>
    <w:basedOn w:val="19"/>
    <w:qFormat/>
    <w:uiPriority w:val="0"/>
    <w:rPr>
      <w:rFonts w:ascii="宋体" w:hAnsi="宋体" w:eastAsia="宋体" w:cs="宋体"/>
      <w:color w:val="000000"/>
      <w:sz w:val="22"/>
      <w:szCs w:val="22"/>
      <w:u w:val="none"/>
    </w:rPr>
  </w:style>
  <w:style w:type="character" w:customStyle="1" w:styleId="22">
    <w:name w:val="font61"/>
    <w:basedOn w:val="19"/>
    <w:qFormat/>
    <w:uiPriority w:val="0"/>
    <w:rPr>
      <w:rFonts w:hint="default" w:ascii="Times New Roman" w:hAnsi="Times New Roman" w:cs="Times New Roman"/>
      <w:color w:val="000000"/>
      <w:sz w:val="32"/>
      <w:szCs w:val="32"/>
      <w:u w:val="none"/>
    </w:rPr>
  </w:style>
  <w:style w:type="character" w:customStyle="1" w:styleId="23">
    <w:name w:val="font11"/>
    <w:basedOn w:val="19"/>
    <w:qFormat/>
    <w:uiPriority w:val="0"/>
    <w:rPr>
      <w:rFonts w:hint="eastAsia" w:ascii="仿宋_GB2312" w:eastAsia="仿宋_GB2312" w:cs="仿宋_GB2312"/>
      <w:color w:val="000000"/>
      <w:sz w:val="30"/>
      <w:szCs w:val="3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2789</Words>
  <Characters>2996</Characters>
  <Lines>0</Lines>
  <Paragraphs>0</Paragraphs>
  <TotalTime>3</TotalTime>
  <ScaleCrop>false</ScaleCrop>
  <LinksUpToDate>false</LinksUpToDate>
  <CharactersWithSpaces>3204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2024-09-27T09:37:00Z</dcterms:created>
  <dc:creator>玉婷</dc:creator>
  <cp:lastModifiedBy>Red ferrari .</cp:lastModifiedBy>
  <dcterms:modified xsi:type="dcterms:W3CDTF">2026-06-08T08:10:38Z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EDC691125828425BA545575312A8FDA2_13</vt:lpwstr>
  </property>
  <property fmtid="{D5CDD505-2E9C-101B-9397-08002B2CF9AE}" pid="4" name="KSOTemplateDocerSaveRecord">
    <vt:lpwstr>eyJoZGlkIjoiYTg0YmNiZjVlMDM1ZGUxMjM2NjExOGQyNGY3ZGE4MjgiLCJ1c2VySWQiOiIyMTQ2NTM0OTEifQ==</vt:lpwstr>
  </property>
</Properties>
</file>