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hint="eastAsia" w:ascii="黑体" w:hAnsi="黑体" w:eastAsia="黑体"/>
          <w:spacing w:val="40"/>
          <w:sz w:val="52"/>
        </w:rPr>
      </w:pPr>
      <w:r>
        <w:rPr>
          <w:rFonts w:hint="eastAsia" w:ascii="黑体" w:hAnsi="黑体" w:eastAsia="黑体"/>
          <w:spacing w:val="40"/>
          <w:sz w:val="52"/>
        </w:rPr>
        <w:t>评审配套辅助执行文创制作服务项目</w:t>
      </w:r>
    </w:p>
    <w:p>
      <w:pPr>
        <w:jc w:val="center"/>
        <w:rPr>
          <w:rFonts w:ascii="黑体" w:hAnsi="黑体" w:eastAsia="黑体"/>
          <w:spacing w:val="40"/>
          <w:sz w:val="52"/>
        </w:rPr>
      </w:pP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项目编号：ND26070078GZ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1651923"/>
      <w:bookmarkStart w:id="2" w:name="_Toc54357675"/>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w:t>
      </w:r>
      <w:r>
        <w:rPr>
          <w:rFonts w:hint="eastAsia"/>
          <w:bCs/>
          <w:sz w:val="24"/>
          <w:u w:val="single"/>
        </w:rPr>
        <w:t>评审配套辅助执行文创制作服务项目</w:t>
      </w:r>
      <w:r>
        <w:rPr>
          <w:rFonts w:hint="eastAsia"/>
          <w:bCs/>
          <w:sz w:val="24"/>
        </w:rPr>
        <w:t>采购公告及附件（项目编号：</w:t>
      </w:r>
      <w:r>
        <w:rPr>
          <w:rFonts w:hint="eastAsia"/>
          <w:bCs/>
          <w:sz w:val="24"/>
          <w:u w:val="single"/>
        </w:rPr>
        <w:t>ND26070078GZ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color w:val="auto"/>
                <w:sz w:val="24"/>
              </w:rPr>
            </w:pPr>
            <w:r>
              <w:rPr>
                <w:rFonts w:hint="eastAsia" w:ascii="宋体" w:hAnsi="宋体" w:cs="仿宋"/>
                <w:sz w:val="24"/>
              </w:rPr>
              <w:t>成交供应商（乙方）应按照采购方（甲方)要求及时签署合同，并接受下列条款</w:t>
            </w:r>
            <w:r>
              <w:rPr>
                <w:rFonts w:hint="eastAsia" w:ascii="宋体" w:hAnsi="宋体" w:cs="仿宋"/>
                <w:color w:val="auto"/>
                <w:sz w:val="24"/>
              </w:rPr>
              <w:t>。</w:t>
            </w:r>
          </w:p>
          <w:p>
            <w:pPr>
              <w:ind w:firstLine="480" w:firstLineChars="200"/>
              <w:rPr>
                <w:rFonts w:ascii="宋体" w:hAnsi="宋体" w:cs="仿宋"/>
                <w:color w:val="auto"/>
                <w:sz w:val="24"/>
              </w:rPr>
            </w:pPr>
            <w:r>
              <w:rPr>
                <w:rFonts w:hint="eastAsia" w:ascii="宋体" w:hAnsi="宋体" w:cs="仿宋"/>
                <w:color w:val="auto"/>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2.服务地点：广州市。</w:t>
            </w:r>
          </w:p>
          <w:p>
            <w:pPr>
              <w:ind w:firstLine="480" w:firstLineChars="200"/>
              <w:rPr>
                <w:rFonts w:ascii="宋体" w:hAnsi="宋体" w:cs="仿宋"/>
                <w:color w:val="auto"/>
                <w:sz w:val="24"/>
              </w:rPr>
            </w:pPr>
            <w:r>
              <w:rPr>
                <w:rFonts w:hint="eastAsia" w:ascii="宋体" w:hAnsi="宋体" w:cs="仿宋"/>
                <w:color w:val="auto"/>
                <w:sz w:val="24"/>
              </w:rPr>
              <w:t>3.付款方式：预留合同总额的</w:t>
            </w:r>
            <w:r>
              <w:rPr>
                <w:rFonts w:hint="eastAsia" w:ascii="宋体" w:hAnsi="宋体" w:cs="仿宋"/>
                <w:color w:val="auto"/>
                <w:sz w:val="24"/>
                <w:lang w:val="en-US" w:eastAsia="zh-CN"/>
              </w:rPr>
              <w:t>5</w:t>
            </w:r>
            <w:r>
              <w:rPr>
                <w:rFonts w:hint="eastAsia" w:ascii="宋体" w:hAnsi="宋体" w:cs="仿宋"/>
                <w:color w:val="auto"/>
                <w:sz w:val="24"/>
              </w:rPr>
              <w:t>0%，在项目验收通过后支付。</w:t>
            </w:r>
          </w:p>
          <w:p>
            <w:pPr>
              <w:ind w:firstLine="480" w:firstLineChars="200"/>
              <w:rPr>
                <w:rFonts w:ascii="宋体" w:hAnsi="宋体" w:cs="仿宋"/>
                <w:sz w:val="24"/>
              </w:rPr>
            </w:pPr>
            <w:r>
              <w:rPr>
                <w:rFonts w:hint="eastAsia" w:ascii="宋体" w:hAnsi="宋体" w:cs="仿宋"/>
                <w:color w:val="auto"/>
                <w:sz w:val="24"/>
              </w:rPr>
              <w:t>4.甲方的权利和义务:(1)确定本项目中各项服务的具体内容;(2)甲方须向乙方提供相关人员询问的便利，并提供专人配合;(3)在合同服务期限</w:t>
            </w:r>
            <w:r>
              <w:rPr>
                <w:rFonts w:hint="eastAsia" w:ascii="宋体" w:hAnsi="宋体" w:cs="仿宋"/>
                <w:sz w:val="24"/>
              </w:rPr>
              <w:t>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仿宋" w:hAnsi="仿宋" w:eastAsia="仿宋" w:cs="仿宋"/>
          <w:b/>
          <w:bCs/>
          <w:szCs w:val="21"/>
        </w:rPr>
      </w:pPr>
    </w:p>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w:t>
      </w:r>
      <w:r>
        <w:rPr>
          <w:rFonts w:hint="eastAsia" w:cs="宋体"/>
          <w:bCs/>
          <w:sz w:val="24"/>
          <w:u w:val="single"/>
        </w:rPr>
        <w:t>评审配套辅助执行文创制作服务项目</w:t>
      </w:r>
      <w:r>
        <w:rPr>
          <w:rFonts w:hint="eastAsia" w:cs="宋体"/>
          <w:bCs/>
          <w:sz w:val="24"/>
        </w:rPr>
        <w:t>采购公告及附件（项目编号：</w:t>
      </w:r>
      <w:r>
        <w:rPr>
          <w:rFonts w:hint="eastAsia" w:cs="宋体"/>
          <w:bCs/>
          <w:sz w:val="24"/>
          <w:u w:val="single"/>
        </w:rPr>
        <w:t>ND26070078GZ</w:t>
      </w:r>
      <w:r>
        <w:rPr>
          <w:rFonts w:hint="eastAsia" w:cs="宋体"/>
          <w:bCs/>
          <w:sz w:val="24"/>
        </w:rPr>
        <w:t>）我方已完全了解本项目的商务与技术要求，承诺按照采购文件的要求提供产品和服务，报价如下。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pPr>
      <w:r>
        <w:rPr>
          <w:rFonts w:hint="eastAsia" w:cs="宋体"/>
          <w:bCs/>
          <w:sz w:val="24"/>
        </w:rPr>
        <w:t>分项明细报价如下（小计由我司填写，其他与采购公告文件一致）：</w:t>
      </w:r>
    </w:p>
    <w:tbl>
      <w:tblPr>
        <w:tblStyle w:val="38"/>
        <w:tblW w:w="8134" w:type="dxa"/>
        <w:jc w:val="center"/>
        <w:tblLayout w:type="autofit"/>
        <w:tblCellMar>
          <w:top w:w="15" w:type="dxa"/>
          <w:left w:w="15" w:type="dxa"/>
          <w:bottom w:w="15" w:type="dxa"/>
          <w:right w:w="15" w:type="dxa"/>
        </w:tblCellMar>
      </w:tblPr>
      <w:tblGrid>
        <w:gridCol w:w="599"/>
        <w:gridCol w:w="1137"/>
        <w:gridCol w:w="4571"/>
        <w:gridCol w:w="592"/>
        <w:gridCol w:w="1235"/>
      </w:tblGrid>
      <w:tr>
        <w:tblPrEx>
          <w:tblCellMar>
            <w:top w:w="15" w:type="dxa"/>
            <w:left w:w="15" w:type="dxa"/>
            <w:bottom w:w="15" w:type="dxa"/>
            <w:right w:w="15" w:type="dxa"/>
          </w:tblCellMar>
        </w:tblPrEx>
        <w:trPr>
          <w:trHeight w:val="822"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1137"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4571"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59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123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1129"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lang w:bidi="ar"/>
              </w:rPr>
            </w:pPr>
            <w:r>
              <w:rPr>
                <w:rFonts w:hint="eastAsia" w:ascii="宋体" w:hAnsi="宋体" w:cs="宋体"/>
                <w:b/>
                <w:bCs/>
                <w:color w:val="000000"/>
                <w:kern w:val="0"/>
                <w:sz w:val="24"/>
                <w:lang w:bidi="ar"/>
              </w:rPr>
              <w:t>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eastAsia="宋体" w:cs="宋体"/>
                <w:sz w:val="18"/>
                <w:szCs w:val="18"/>
              </w:rPr>
              <w:t>专业智力支持等保障服务</w:t>
            </w:r>
          </w:p>
        </w:tc>
        <w:tc>
          <w:tcPr>
            <w:tcW w:w="4571"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240" w:lineRule="auto"/>
              <w:ind w:firstLine="360" w:firstLineChars="200"/>
              <w:jc w:val="left"/>
              <w:textAlignment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本项目为整体包干采购费用，依据项目内容、工作量、服务周期及行业推广渠道标准测算，包含协助提供评审服务保障，评审专家邀约服务及相应食宿差旅等成本包干总价。</w:t>
            </w:r>
            <w:r>
              <w:rPr>
                <w:rFonts w:hint="eastAsia" w:cs="宋体"/>
                <w:b w:val="0"/>
                <w:bCs w:val="0"/>
                <w:color w:val="000000"/>
                <w:sz w:val="18"/>
                <w:szCs w:val="18"/>
                <w:lang w:val="en-US" w:eastAsia="zh-CN"/>
              </w:rPr>
              <w:t>项目</w:t>
            </w:r>
            <w:r>
              <w:rPr>
                <w:rFonts w:hint="eastAsia" w:ascii="宋体" w:hAnsi="宋体" w:eastAsia="宋体" w:cs="宋体"/>
                <w:b w:val="0"/>
                <w:bCs w:val="0"/>
                <w:color w:val="000000"/>
                <w:sz w:val="18"/>
                <w:szCs w:val="18"/>
              </w:rPr>
              <w:t>实行统一整体采购，覆盖本项目全部服务工作。</w:t>
            </w:r>
          </w:p>
          <w:p>
            <w:pPr>
              <w:widowControl/>
              <w:numPr>
                <w:ilvl w:val="0"/>
                <w:numId w:val="0"/>
              </w:numPr>
              <w:spacing w:line="240" w:lineRule="auto"/>
              <w:ind w:firstLine="361" w:firstLineChars="200"/>
              <w:jc w:val="left"/>
              <w:textAlignment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服务内容：</w:t>
            </w:r>
          </w:p>
          <w:p>
            <w:pPr>
              <w:widowControl/>
              <w:numPr>
                <w:ilvl w:val="-1"/>
                <w:numId w:val="0"/>
              </w:numPr>
              <w:spacing w:line="240" w:lineRule="auto"/>
              <w:ind w:firstLine="360" w:firstLineChars="200"/>
              <w:jc w:val="left"/>
              <w:textAlignment w:val="center"/>
              <w:rPr>
                <w:rFonts w:hint="eastAsia" w:ascii="宋体" w:hAnsi="宋体" w:eastAsia="宋体" w:cs="宋体"/>
                <w:color w:val="000000"/>
                <w:sz w:val="18"/>
                <w:szCs w:val="18"/>
              </w:rPr>
            </w:pPr>
            <w:r>
              <w:rPr>
                <w:rFonts w:hint="eastAsia" w:ascii="宋体" w:hAnsi="宋体" w:eastAsia="宋体" w:cs="宋体"/>
                <w:b w:val="0"/>
                <w:bCs w:val="0"/>
                <w:color w:val="000000"/>
                <w:sz w:val="18"/>
                <w:szCs w:val="18"/>
              </w:rPr>
              <w:t>评审服务保障：</w:t>
            </w:r>
            <w:r>
              <w:rPr>
                <w:rFonts w:hint="eastAsia" w:ascii="宋体" w:hAnsi="宋体" w:eastAsia="宋体" w:cs="宋体"/>
                <w:color w:val="000000"/>
                <w:sz w:val="18"/>
                <w:szCs w:val="18"/>
              </w:rPr>
              <w:t>协助开展</w:t>
            </w:r>
            <w:r>
              <w:rPr>
                <w:rFonts w:hint="eastAsia" w:cs="宋体"/>
                <w:color w:val="000000"/>
                <w:sz w:val="18"/>
                <w:szCs w:val="18"/>
                <w:lang w:val="en-US" w:eastAsia="zh-CN"/>
              </w:rPr>
              <w:t>项目评审服务包括但不限于线上征集服务支撑、征集渠道协助、邀请不少于5名文艺行业相关专家邀约服务，组建项目专家评审团；</w:t>
            </w:r>
          </w:p>
          <w:p>
            <w:pPr>
              <w:widowControl/>
              <w:numPr>
                <w:ilvl w:val="-1"/>
                <w:numId w:val="0"/>
              </w:numPr>
              <w:spacing w:line="240" w:lineRule="auto"/>
              <w:ind w:firstLine="360" w:firstLineChars="200"/>
              <w:jc w:val="left"/>
              <w:textAlignment w:val="center"/>
              <w:rPr>
                <w:rFonts w:hint="eastAsia" w:ascii="宋体" w:hAnsi="宋体" w:cs="宋体"/>
                <w:color w:val="000000"/>
                <w:sz w:val="18"/>
                <w:szCs w:val="18"/>
              </w:rPr>
            </w:pPr>
            <w:r>
              <w:rPr>
                <w:rFonts w:hint="eastAsia" w:ascii="宋体" w:hAnsi="宋体" w:eastAsia="宋体" w:cs="宋体"/>
                <w:color w:val="000000"/>
                <w:sz w:val="18"/>
                <w:szCs w:val="18"/>
              </w:rPr>
              <w:t>配套综合保障：</w:t>
            </w:r>
            <w:r>
              <w:rPr>
                <w:rFonts w:hint="eastAsia" w:ascii="宋体" w:hAnsi="宋体" w:cs="宋体"/>
                <w:color w:val="000000"/>
                <w:sz w:val="18"/>
                <w:szCs w:val="18"/>
              </w:rPr>
              <w:t>辅助会务执行，配备执行人员，包括不限于保障参与评审专家的相关服务费用及落地物料等等。</w:t>
            </w:r>
          </w:p>
          <w:p>
            <w:pPr>
              <w:widowControl/>
              <w:numPr>
                <w:ilvl w:val="-1"/>
                <w:numId w:val="0"/>
              </w:numPr>
              <w:spacing w:line="240" w:lineRule="auto"/>
              <w:ind w:firstLine="360" w:firstLineChars="200"/>
              <w:jc w:val="left"/>
              <w:textAlignment w:val="center"/>
              <w:rPr>
                <w:rFonts w:hint="eastAsia" w:ascii="宋体" w:hAnsi="宋体" w:eastAsia="宋体" w:cs="宋体"/>
                <w:color w:val="000000"/>
                <w:sz w:val="18"/>
                <w:szCs w:val="18"/>
              </w:rPr>
            </w:pPr>
            <w:r>
              <w:rPr>
                <w:rFonts w:hint="eastAsia" w:ascii="宋体" w:hAnsi="宋体" w:cs="宋体"/>
                <w:color w:val="000000"/>
                <w:sz w:val="18"/>
                <w:szCs w:val="18"/>
              </w:rPr>
              <w:t>注：1.请在服务方案内提供拟邀请专家名单及个人简介。2.本项服务属总价包干模式，由服务商自主统筹调配使用全部包干经费，相关服务需双方确认为止。</w:t>
            </w:r>
          </w:p>
          <w:p>
            <w:pPr>
              <w:widowControl/>
              <w:numPr>
                <w:ilvl w:val="0"/>
                <w:numId w:val="0"/>
              </w:numPr>
              <w:spacing w:line="240" w:lineRule="auto"/>
              <w:ind w:firstLine="361" w:firstLineChars="200"/>
              <w:jc w:val="left"/>
              <w:textAlignment w:val="center"/>
              <w:rPr>
                <w:rFonts w:ascii="宋体" w:hAnsi="宋体" w:cs="宋体"/>
                <w:color w:val="000000"/>
                <w:kern w:val="0"/>
                <w:sz w:val="24"/>
                <w:lang w:eastAsia="zh-Hans" w:bidi="ar"/>
              </w:rPr>
            </w:pPr>
            <w:r>
              <w:rPr>
                <w:rFonts w:hint="eastAsia" w:ascii="宋体" w:hAnsi="宋体" w:eastAsia="宋体" w:cs="宋体"/>
                <w:b/>
                <w:bCs/>
                <w:color w:val="000000"/>
                <w:sz w:val="18"/>
                <w:szCs w:val="18"/>
              </w:rPr>
              <w:t>采购要求：</w:t>
            </w:r>
            <w:r>
              <w:rPr>
                <w:rFonts w:hint="eastAsia" w:ascii="宋体" w:hAnsi="宋体" w:cs="宋体"/>
                <w:color w:val="000000"/>
                <w:sz w:val="18"/>
                <w:szCs w:val="18"/>
              </w:rPr>
              <w:t>因项目前期筹备阶段，具体落地执行细节、人员调配数量、活动规模规格、人员出行保障频次等实操细项暂未最终细化明确，本项目实行统一整体对外集中采购，全程采用总价包干模式实施。由中标服务商自主统筹调配使用全部包干经费，足额落实完成本包组约定全部服务事项，项目实施过程中产生的费用，均已统一纳入本次包干总价之内。项目履约期间采购人不再另行拨付任何增补经费、不承担任何额外支出，中标方须全权完成全部服务工作，保障项目各项工作有序推进落地。</w:t>
            </w:r>
          </w:p>
        </w:tc>
        <w:tc>
          <w:tcPr>
            <w:tcW w:w="59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r>
              <w:rPr>
                <w:rFonts w:hint="eastAsia" w:ascii="宋体" w:hAnsi="宋体" w:eastAsia="宋体" w:cs="宋体"/>
                <w:color w:val="000000"/>
                <w:kern w:val="0"/>
                <w:sz w:val="18"/>
                <w:szCs w:val="18"/>
                <w:lang w:val="en-US" w:eastAsia="zh-CN" w:bidi="ar"/>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lang w:bidi="ar"/>
              </w:rPr>
            </w:pPr>
            <w:r>
              <w:rPr>
                <w:rFonts w:ascii="宋体" w:hAnsi="宋体" w:cs="宋体"/>
                <w:b/>
                <w:bCs/>
                <w:color w:val="000000"/>
                <w:kern w:val="0"/>
                <w:sz w:val="24"/>
                <w:lang w:bidi="ar"/>
              </w:rPr>
              <w:t>2</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r>
              <w:rPr>
                <w:rFonts w:hint="eastAsia" w:ascii="宋体" w:hAnsi="宋体" w:eastAsia="宋体" w:cs="宋体"/>
                <w:sz w:val="18"/>
                <w:szCs w:val="18"/>
              </w:rPr>
              <w:t>艺术节文创制作服务</w:t>
            </w:r>
          </w:p>
        </w:tc>
        <w:tc>
          <w:tcPr>
            <w:tcW w:w="45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360" w:firstLineChars="200"/>
              <w:jc w:val="left"/>
              <w:textAlignment w:val="center"/>
              <w:rPr>
                <w:rFonts w:hint="eastAsia"/>
                <w:sz w:val="18"/>
                <w:szCs w:val="20"/>
              </w:rPr>
            </w:pPr>
            <w:r>
              <w:rPr>
                <w:rFonts w:hint="eastAsia"/>
                <w:sz w:val="18"/>
                <w:szCs w:val="20"/>
              </w:rPr>
              <w:t>本项目为一站式全流程文创定制服务，供应商需独立完成全部工作内容，总价包含但不限于：文创IP原创设计、艺术节延伸产品设计、纪念物创意设计、效果图制作、方案汇报、样品打样、样品修改优化、批量生产制作、材料采购、工艺加工、品质质检、包装定制、仓储保管、全程运输送货、现场交接、版权授权、后期微调、售后维保等全部人工、物料、交通、版权、税费等所有费用，采购方无需额外支付任何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361" w:firstLineChars="200"/>
              <w:jc w:val="left"/>
              <w:textAlignment w:val="center"/>
              <w:rPr>
                <w:rFonts w:hint="eastAsia" w:asciiTheme="minorEastAsia" w:hAnsiTheme="minorEastAsia" w:eastAsiaTheme="minorEastAsia" w:cstheme="minorEastAsia"/>
                <w:color w:val="000000"/>
                <w:kern w:val="0"/>
                <w:sz w:val="18"/>
                <w:szCs w:val="18"/>
                <w:lang w:val="en-US" w:eastAsia="zh-CN" w:bidi="ar"/>
              </w:rPr>
            </w:pPr>
            <w:r>
              <w:rPr>
                <w:rStyle w:val="41"/>
                <w:rFonts w:hint="eastAsia" w:asciiTheme="minorEastAsia" w:hAnsiTheme="minorEastAsia" w:eastAsiaTheme="minorEastAsia" w:cstheme="minorEastAsia"/>
                <w:b/>
                <w:color w:val="000000"/>
                <w:kern w:val="0"/>
                <w:sz w:val="18"/>
                <w:szCs w:val="18"/>
                <w:lang w:val="en-US" w:eastAsia="zh-CN" w:bidi="ar"/>
              </w:rPr>
              <w:t>服务内容</w:t>
            </w:r>
            <w:r>
              <w:rPr>
                <w:rFonts w:hint="eastAsia" w:asciiTheme="minorEastAsia" w:hAnsiTheme="minorEastAsia" w:eastAsiaTheme="minorEastAsia" w:cstheme="minorEastAsia"/>
                <w:color w:val="000000"/>
                <w:kern w:val="0"/>
                <w:sz w:val="18"/>
                <w:szCs w:val="18"/>
                <w:lang w:val="en-US" w:eastAsia="zh-CN" w:bidi="ar"/>
              </w:rPr>
              <w:t>：文创产品需围绕本届艺术节核心主题、视觉体系、文化内涵进行原创定制，分为艺术节文创IP设计、艺术节纪念物定制、艺术节延伸衍生品三大板块，产品兼具艺术性、实用性、纪念性、传播性，适配官方馈赠、活动发放、品牌宣传、文化留存等场景。</w:t>
            </w:r>
          </w:p>
          <w:p>
            <w:pPr>
              <w:widowControl/>
              <w:spacing w:line="240" w:lineRule="auto"/>
              <w:ind w:firstLine="361" w:firstLineChars="200"/>
              <w:jc w:val="left"/>
              <w:textAlignment w:val="center"/>
              <w:rPr>
                <w:rFonts w:hint="eastAsia" w:eastAsia="宋体" w:cs="宋体"/>
                <w:color w:val="000000"/>
                <w:sz w:val="18"/>
                <w:szCs w:val="18"/>
                <w:lang w:val="en-US" w:eastAsia="zh-CN"/>
              </w:rPr>
            </w:pPr>
            <w:r>
              <w:rPr>
                <w:rStyle w:val="41"/>
                <w:rFonts w:hint="eastAsia" w:asciiTheme="minorEastAsia" w:hAnsiTheme="minorEastAsia" w:eastAsiaTheme="minorEastAsia" w:cstheme="minorEastAsia"/>
                <w:b/>
                <w:color w:val="000000"/>
                <w:kern w:val="0"/>
                <w:sz w:val="18"/>
                <w:szCs w:val="18"/>
                <w:lang w:val="en-US" w:eastAsia="zh-CN" w:bidi="ar"/>
              </w:rPr>
              <w:t>采购</w:t>
            </w:r>
            <w:r>
              <w:rPr>
                <w:rFonts w:hint="eastAsia" w:eastAsia="宋体" w:cs="宋体"/>
                <w:b/>
                <w:bCs/>
                <w:color w:val="000000"/>
                <w:sz w:val="18"/>
                <w:szCs w:val="18"/>
                <w:lang w:val="en-US" w:eastAsia="zh-CN"/>
              </w:rPr>
              <w:t>要求：</w:t>
            </w:r>
            <w:r>
              <w:rPr>
                <w:rFonts w:hint="eastAsia" w:eastAsia="宋体" w:cs="宋体"/>
                <w:color w:val="000000"/>
                <w:sz w:val="18"/>
                <w:szCs w:val="18"/>
                <w:lang w:val="en-US" w:eastAsia="zh-CN"/>
              </w:rPr>
              <w:br w:type="textWrapping"/>
            </w:r>
            <w:r>
              <w:rPr>
                <w:rFonts w:hint="eastAsia" w:eastAsia="宋体" w:cs="宋体"/>
                <w:color w:val="000000"/>
                <w:sz w:val="18"/>
                <w:szCs w:val="18"/>
                <w:lang w:val="en-US" w:eastAsia="zh-CN"/>
              </w:rPr>
              <w:t>1. 总份数严格不低于1500份，</w:t>
            </w:r>
            <w:bookmarkStart w:id="3" w:name="OLE_LINK1"/>
            <w:r>
              <w:rPr>
                <w:rFonts w:hint="eastAsia" w:eastAsia="宋体" w:cs="宋体"/>
                <w:color w:val="000000"/>
                <w:sz w:val="18"/>
                <w:szCs w:val="18"/>
                <w:lang w:val="en-US" w:eastAsia="zh-CN"/>
              </w:rPr>
              <w:t>供应商需在投标/方案阶段</w:t>
            </w:r>
            <w:r>
              <w:rPr>
                <w:rFonts w:hint="eastAsia" w:cs="宋体"/>
                <w:color w:val="000000"/>
                <w:sz w:val="18"/>
                <w:szCs w:val="18"/>
                <w:lang w:val="en-US" w:eastAsia="zh-CN"/>
              </w:rPr>
              <w:t>提供</w:t>
            </w:r>
            <w:r>
              <w:rPr>
                <w:rFonts w:hint="eastAsia" w:eastAsia="宋体" w:cs="宋体"/>
                <w:color w:val="000000"/>
                <w:sz w:val="18"/>
                <w:szCs w:val="18"/>
                <w:lang w:val="en-US" w:eastAsia="zh-CN"/>
              </w:rPr>
              <w:t>各品类产品</w:t>
            </w:r>
            <w:r>
              <w:rPr>
                <w:rFonts w:hint="eastAsia" w:cs="宋体"/>
                <w:color w:val="000000"/>
                <w:sz w:val="18"/>
                <w:szCs w:val="18"/>
                <w:lang w:val="en-US" w:eastAsia="zh-CN"/>
              </w:rPr>
              <w:t>推荐清单以作参考，包含</w:t>
            </w:r>
            <w:r>
              <w:rPr>
                <w:rFonts w:hint="eastAsia" w:eastAsia="宋体" w:cs="宋体"/>
                <w:color w:val="000000"/>
                <w:sz w:val="18"/>
                <w:szCs w:val="18"/>
                <w:lang w:val="en-US" w:eastAsia="zh-CN"/>
              </w:rPr>
              <w:t>数量、规格、材质、工艺、单价</w:t>
            </w:r>
            <w:r>
              <w:rPr>
                <w:rFonts w:hint="eastAsia" w:cs="宋体"/>
                <w:color w:val="000000"/>
                <w:sz w:val="18"/>
                <w:szCs w:val="18"/>
                <w:lang w:val="en-US" w:eastAsia="zh-CN"/>
              </w:rPr>
              <w:t>等</w:t>
            </w:r>
            <w:r>
              <w:rPr>
                <w:rFonts w:hint="eastAsia" w:eastAsia="宋体" w:cs="宋体"/>
                <w:color w:val="000000"/>
                <w:sz w:val="18"/>
                <w:szCs w:val="18"/>
                <w:lang w:val="en-US" w:eastAsia="zh-CN"/>
              </w:rPr>
              <w:t>明细，经采购方确认后固化执行。</w:t>
            </w:r>
          </w:p>
          <w:bookmarkEnd w:id="3"/>
          <w:p>
            <w:pPr>
              <w:widowControl/>
              <w:spacing w:line="240" w:lineRule="auto"/>
              <w:jc w:val="left"/>
              <w:textAlignment w:val="center"/>
              <w:rPr>
                <w:rFonts w:hint="eastAsia" w:eastAsia="宋体" w:cs="宋体"/>
                <w:color w:val="000000"/>
                <w:sz w:val="18"/>
                <w:szCs w:val="18"/>
                <w:lang w:val="en-US" w:eastAsia="zh-CN"/>
              </w:rPr>
            </w:pPr>
            <w:r>
              <w:rPr>
                <w:rFonts w:hint="eastAsia" w:eastAsia="宋体" w:cs="宋体"/>
                <w:color w:val="000000"/>
                <w:sz w:val="18"/>
                <w:szCs w:val="18"/>
                <w:lang w:val="en-US" w:eastAsia="zh-CN"/>
              </w:rPr>
              <w:t>2. 所有产品材质环保安全、工艺精细、无瑕疵、无异味、无破损，印刷清晰、色彩均匀，与最终确认样品一致。</w:t>
            </w:r>
          </w:p>
          <w:p>
            <w:pPr>
              <w:widowControl/>
              <w:spacing w:line="240" w:lineRule="auto"/>
              <w:jc w:val="left"/>
              <w:textAlignment w:val="center"/>
              <w:rPr>
                <w:rFonts w:hint="eastAsia" w:eastAsia="宋体" w:cs="宋体"/>
                <w:color w:val="000000"/>
                <w:sz w:val="18"/>
                <w:szCs w:val="18"/>
                <w:lang w:val="en-US" w:eastAsia="zh-CN"/>
              </w:rPr>
            </w:pPr>
            <w:r>
              <w:rPr>
                <w:rFonts w:hint="eastAsia" w:eastAsia="宋体" w:cs="宋体"/>
                <w:color w:val="000000"/>
                <w:sz w:val="18"/>
                <w:szCs w:val="18"/>
                <w:lang w:val="en-US" w:eastAsia="zh-CN"/>
              </w:rPr>
              <w:t>3. 所有文创产品统一配套主题包装，包装贴合艺术节视觉体系，干净精致，适配馈赠、发放场景。</w:t>
            </w:r>
            <w:r>
              <w:rPr>
                <w:rFonts w:hint="eastAsia" w:eastAsia="宋体" w:cs="宋体"/>
                <w:color w:val="000000"/>
                <w:sz w:val="18"/>
                <w:szCs w:val="18"/>
                <w:lang w:val="en-US" w:eastAsia="zh-CN"/>
              </w:rPr>
              <w:br w:type="textWrapping"/>
            </w:r>
            <w:r>
              <w:rPr>
                <w:rFonts w:hint="eastAsia" w:eastAsia="宋体" w:cs="宋体"/>
                <w:color w:val="000000"/>
                <w:sz w:val="18"/>
                <w:szCs w:val="18"/>
                <w:lang w:val="en-US" w:eastAsia="zh-CN"/>
              </w:rPr>
              <w:t xml:space="preserve">    包干说明：</w:t>
            </w:r>
          </w:p>
          <w:p>
            <w:pPr>
              <w:widowControl/>
              <w:spacing w:line="240" w:lineRule="auto"/>
              <w:jc w:val="left"/>
              <w:textAlignment w:val="center"/>
              <w:rPr>
                <w:rFonts w:hint="eastAsia" w:eastAsia="宋体" w:cs="宋体"/>
                <w:color w:val="000000"/>
                <w:sz w:val="18"/>
                <w:szCs w:val="18"/>
                <w:lang w:val="en-US" w:eastAsia="zh-CN"/>
              </w:rPr>
            </w:pPr>
            <w:r>
              <w:rPr>
                <w:rFonts w:hint="eastAsia" w:eastAsia="宋体" w:cs="宋体"/>
                <w:color w:val="000000"/>
                <w:sz w:val="18"/>
                <w:szCs w:val="18"/>
                <w:lang w:val="en-US" w:eastAsia="zh-CN"/>
              </w:rPr>
              <w:t>1</w:t>
            </w:r>
            <w:bookmarkStart w:id="4" w:name="OLE_LINK2"/>
            <w:r>
              <w:rPr>
                <w:rFonts w:hint="eastAsia" w:eastAsia="宋体" w:cs="宋体"/>
                <w:color w:val="000000"/>
                <w:sz w:val="18"/>
                <w:szCs w:val="18"/>
                <w:lang w:val="en-US" w:eastAsia="zh-CN"/>
              </w:rPr>
              <w:t xml:space="preserve">. </w:t>
            </w:r>
            <w:bookmarkEnd w:id="4"/>
            <w:r>
              <w:rPr>
                <w:rFonts w:hint="eastAsia" w:eastAsia="宋体" w:cs="宋体"/>
                <w:color w:val="000000"/>
                <w:sz w:val="18"/>
                <w:szCs w:val="18"/>
                <w:lang w:val="en-US" w:eastAsia="zh-CN"/>
              </w:rPr>
              <w:t>本项目为固定总价包干，包含本需求内所有设计、打样、制作、材料、包装、运输、版权、税费、售后等全部费用，采购方无需追加任何费用。</w:t>
            </w:r>
          </w:p>
          <w:p>
            <w:pPr>
              <w:widowControl/>
              <w:spacing w:line="240" w:lineRule="auto"/>
              <w:jc w:val="left"/>
              <w:textAlignment w:val="center"/>
              <w:rPr>
                <w:rFonts w:ascii="宋体" w:hAnsi="宋体"/>
                <w:sz w:val="24"/>
                <w:lang w:eastAsia="zh-Hans"/>
              </w:rPr>
            </w:pPr>
            <w:r>
              <w:rPr>
                <w:rFonts w:hint="eastAsia" w:eastAsia="宋体" w:cs="宋体"/>
                <w:color w:val="000000"/>
                <w:sz w:val="18"/>
                <w:szCs w:val="18"/>
                <w:lang w:val="en-US" w:eastAsia="zh-CN"/>
              </w:rPr>
              <w:t>2. 服务过程中产生的方案修改、样品重做、破损补发、资料调整等所有增量工作，均包含在包干总价内，不另行计费。</w:t>
            </w:r>
          </w:p>
        </w:tc>
        <w:tc>
          <w:tcPr>
            <w:tcW w:w="59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r>
              <w:rPr>
                <w:rFonts w:hint="eastAsia" w:ascii="宋体" w:hAnsi="宋体" w:eastAsia="宋体" w:cs="宋体"/>
                <w:color w:val="000000"/>
                <w:kern w:val="0"/>
                <w:sz w:val="18"/>
                <w:szCs w:val="18"/>
                <w:lang w:val="en-US" w:eastAsia="zh-CN" w:bidi="ar"/>
              </w:rPr>
              <w:t>1项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hint="eastAsia" w:ascii="宋体" w:hAnsi="宋体" w:eastAsia="宋体" w:cs="宋体"/>
          <w:sz w:val="24"/>
          <w:lang w:eastAsia="zh-CN"/>
        </w:rPr>
      </w:pPr>
      <w:r>
        <w:rPr>
          <w:rFonts w:hint="eastAsia" w:ascii="宋体" w:hAnsi="宋体" w:cs="宋体"/>
          <w:sz w:val="24"/>
        </w:rPr>
        <w:t>2、项目服务要求的具体解决方案</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hint="eastAsia" w:ascii="宋体" w:hAnsi="宋体" w:eastAsia="宋体" w:cs="宋体"/>
          <w:sz w:val="24"/>
          <w:lang w:eastAsia="zh-CN"/>
        </w:rPr>
      </w:pPr>
      <w:r>
        <w:rPr>
          <w:rFonts w:hint="eastAsia" w:ascii="宋体" w:hAnsi="宋体" w:cs="宋体"/>
          <w:sz w:val="24"/>
        </w:rPr>
        <w:t>4、项目实施进度计划</w:t>
      </w:r>
      <w:r>
        <w:rPr>
          <w:rFonts w:hint="eastAsia" w:ascii="宋体" w:hAnsi="宋体" w:cs="宋体"/>
          <w:sz w:val="24"/>
          <w:lang w:eastAsia="zh-CN"/>
        </w:rPr>
        <w:t>。</w:t>
      </w:r>
    </w:p>
    <w:p>
      <w:pPr>
        <w:spacing w:line="360" w:lineRule="auto"/>
        <w:rPr>
          <w:rFonts w:hint="eastAsia" w:ascii="宋体" w:hAnsi="宋体" w:eastAsia="宋体" w:cs="宋体"/>
          <w:sz w:val="24"/>
          <w:lang w:eastAsia="zh-CN"/>
        </w:rPr>
      </w:pPr>
      <w:r>
        <w:rPr>
          <w:rFonts w:hint="eastAsia" w:ascii="宋体" w:hAnsi="宋体" w:cs="宋体"/>
          <w:sz w:val="24"/>
        </w:rPr>
        <w:t>5、服务质量保证措施</w:t>
      </w:r>
      <w:r>
        <w:rPr>
          <w:rFonts w:hint="eastAsia" w:ascii="宋体" w:hAnsi="宋体" w:cs="宋体"/>
          <w:sz w:val="24"/>
          <w:lang w:eastAsia="zh-CN"/>
        </w:rPr>
        <w:t>。</w:t>
      </w:r>
    </w:p>
    <w:p>
      <w:pPr>
        <w:spacing w:line="360" w:lineRule="auto"/>
        <w:rPr>
          <w:rFonts w:hint="eastAsia" w:ascii="宋体" w:hAnsi="宋体" w:eastAsia="宋体" w:cs="宋体"/>
          <w:sz w:val="24"/>
        </w:rPr>
      </w:pPr>
      <w:r>
        <w:rPr>
          <w:rFonts w:hint="eastAsia" w:ascii="宋体" w:hAnsi="宋体" w:eastAsia="宋体" w:cs="宋体"/>
          <w:sz w:val="24"/>
        </w:rPr>
        <w:t>6、项目服务团队及技术资质。</w:t>
      </w:r>
    </w:p>
    <w:p>
      <w:pPr>
        <w:widowControl/>
        <w:spacing w:line="36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lang w:val="en-US" w:eastAsia="zh-CN"/>
        </w:rPr>
        <w:t>7、</w:t>
      </w:r>
      <w:r>
        <w:rPr>
          <w:rFonts w:hint="eastAsia" w:ascii="宋体" w:hAnsi="宋体" w:eastAsia="宋体" w:cs="宋体"/>
          <w:sz w:val="24"/>
          <w:szCs w:val="24"/>
          <w:lang w:val="en-US" w:eastAsia="zh-CN"/>
        </w:rPr>
        <w:t>提供各品类产品推荐清单以作参考，包含数量、规格、材质、工艺、单价等明细</w:t>
      </w:r>
      <w:r>
        <w:rPr>
          <w:rFonts w:hint="eastAsia" w:ascii="宋体" w:hAnsi="宋体" w:cs="宋体"/>
          <w:sz w:val="24"/>
          <w:szCs w:val="24"/>
          <w:lang w:val="en-US" w:eastAsia="zh-CN"/>
        </w:rPr>
        <w:t>。</w:t>
      </w:r>
    </w:p>
    <w:p>
      <w:pPr>
        <w:pStyle w:val="2"/>
        <w:rPr>
          <w:rFonts w:hint="eastAsia" w:eastAsia="宋体"/>
          <w:lang w:val="en-US" w:eastAsia="zh-CN"/>
        </w:rPr>
      </w:pPr>
    </w:p>
    <w:p>
      <w:pPr>
        <w:spacing w:line="360" w:lineRule="auto"/>
        <w:rPr>
          <w:rStyle w:val="45"/>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5" w:name="_Toc1651899"/>
      <w:bookmarkStart w:id="6" w:name="_Toc54357656"/>
      <w:bookmarkStart w:id="7" w:name="_Toc475472674"/>
      <w:r>
        <w:rPr>
          <w:rFonts w:hint="eastAsia" w:ascii="宋体" w:hAnsi="宋体" w:cs="宋体"/>
          <w:sz w:val="28"/>
          <w:szCs w:val="28"/>
        </w:rPr>
        <w:t>五、授权代表证明资料</w:t>
      </w:r>
    </w:p>
    <w:p>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5"/>
      <w:bookmarkEnd w:id="6"/>
      <w:bookmarkEnd w:id="7"/>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ascii="宋体" w:hAnsi="宋体" w:eastAsia="宋体" w:cs="宋体"/>
          <w:sz w:val="18"/>
          <w:szCs w:val="18"/>
        </w:rPr>
      </w:pPr>
    </w:p>
    <w:p>
      <w:pPr>
        <w:pStyle w:val="141"/>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评审配套辅助执行文创制作服务项目</w:t>
                      </w:r>
                      <w:bookmarkStart w:id="11" w:name="_GoBack"/>
                      <w:bookmarkEnd w:id="11"/>
                      <w:r>
                        <w:rPr>
                          <w:rFonts w:hint="eastAsia" w:hAnsi="宋体"/>
                          <w:b/>
                          <w:sz w:val="24"/>
                          <w:szCs w:val="24"/>
                          <w:u w:val="single"/>
                        </w:rPr>
                        <w:t xml:space="preserve"> </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：ND26070078GZ</w:t>
          </w:r>
        </w:sdtContent>
      </w:sdt>
      <w:r>
        <w:rPr>
          <w:rFonts w:hint="eastAsia" w:hAnsi="宋体"/>
          <w:bCs/>
          <w:sz w:val="24"/>
          <w:szCs w:val="24"/>
        </w:rPr>
        <w:t>）”</w:t>
      </w:r>
      <w:r>
        <w:rPr>
          <w:rFonts w:hint="eastAsia" w:hAnsi="宋体"/>
          <w:sz w:val="24"/>
          <w:szCs w:val="24"/>
        </w:rPr>
        <w:t>的【洽谈、签约、项目服务联络等】事宜。</w:t>
      </w:r>
    </w:p>
    <w:p>
      <w:pPr>
        <w:pStyle w:val="141"/>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1"/>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1"/>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8" w:name="_Toc1651903"/>
      <w:bookmarkStart w:id="9" w:name="_Toc475472676"/>
      <w:bookmarkStart w:id="10" w:name="_Toc34146941"/>
      <w:r>
        <w:rPr>
          <w:rFonts w:hint="eastAsia" w:ascii="宋体" w:hAnsi="宋体" w:cs="宋体"/>
          <w:kern w:val="0"/>
          <w:sz w:val="28"/>
          <w:szCs w:val="28"/>
        </w:rPr>
        <w:t>六、供应商项目实施能力证明资料</w:t>
      </w:r>
      <w:bookmarkEnd w:id="8"/>
      <w:bookmarkEnd w:id="9"/>
      <w:bookmarkEnd w:id="10"/>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评审配套辅助执行文创制作服务项目（项目编号：ND26070078GZ）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1"/>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2E32004"/>
    <w:rsid w:val="030E4985"/>
    <w:rsid w:val="03134554"/>
    <w:rsid w:val="037E62D4"/>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2A059D"/>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C00032"/>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FB1080F"/>
    <w:rsid w:val="1FD15227"/>
    <w:rsid w:val="20145149"/>
    <w:rsid w:val="20BB00B5"/>
    <w:rsid w:val="2178293C"/>
    <w:rsid w:val="21E35085"/>
    <w:rsid w:val="22902F53"/>
    <w:rsid w:val="22EF6AEB"/>
    <w:rsid w:val="2352343C"/>
    <w:rsid w:val="236456FB"/>
    <w:rsid w:val="23BD55D8"/>
    <w:rsid w:val="25450FC9"/>
    <w:rsid w:val="25823461"/>
    <w:rsid w:val="25CB11E0"/>
    <w:rsid w:val="25F85394"/>
    <w:rsid w:val="272D31B5"/>
    <w:rsid w:val="278018E1"/>
    <w:rsid w:val="27CA5756"/>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1352DD4"/>
    <w:rsid w:val="413952AD"/>
    <w:rsid w:val="41744039"/>
    <w:rsid w:val="419049AE"/>
    <w:rsid w:val="429F43E5"/>
    <w:rsid w:val="430739E7"/>
    <w:rsid w:val="43EB501D"/>
    <w:rsid w:val="446261AD"/>
    <w:rsid w:val="45097338"/>
    <w:rsid w:val="46331B9A"/>
    <w:rsid w:val="467D083E"/>
    <w:rsid w:val="46D65B92"/>
    <w:rsid w:val="46E01197"/>
    <w:rsid w:val="472D063D"/>
    <w:rsid w:val="4749127A"/>
    <w:rsid w:val="47AF137D"/>
    <w:rsid w:val="48464378"/>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075A76"/>
    <w:rsid w:val="533B5338"/>
    <w:rsid w:val="535610E6"/>
    <w:rsid w:val="53C07BE7"/>
    <w:rsid w:val="56230387"/>
    <w:rsid w:val="56DF6C36"/>
    <w:rsid w:val="57672288"/>
    <w:rsid w:val="57B510CE"/>
    <w:rsid w:val="57BD0B53"/>
    <w:rsid w:val="588F648C"/>
    <w:rsid w:val="58C02270"/>
    <w:rsid w:val="58C97A47"/>
    <w:rsid w:val="59332823"/>
    <w:rsid w:val="593A090E"/>
    <w:rsid w:val="59577C3B"/>
    <w:rsid w:val="59A861F5"/>
    <w:rsid w:val="59E73A83"/>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BC0E2E"/>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7"/>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9"/>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50"/>
    <w:qFormat/>
    <w:uiPriority w:val="0"/>
    <w:pPr>
      <w:keepNext/>
      <w:outlineLvl w:val="3"/>
    </w:pPr>
    <w:rPr>
      <w:sz w:val="28"/>
      <w:szCs w:val="20"/>
    </w:rPr>
  </w:style>
  <w:style w:type="paragraph" w:styleId="7">
    <w:name w:val="heading 5"/>
    <w:basedOn w:val="1"/>
    <w:next w:val="1"/>
    <w:link w:val="51"/>
    <w:qFormat/>
    <w:uiPriority w:val="0"/>
    <w:pPr>
      <w:keepNext/>
      <w:keepLines/>
      <w:spacing w:before="280" w:after="290" w:line="376" w:lineRule="auto"/>
      <w:outlineLvl w:val="4"/>
    </w:pPr>
    <w:rPr>
      <w:b/>
      <w:bCs/>
      <w:sz w:val="28"/>
      <w:szCs w:val="28"/>
    </w:rPr>
  </w:style>
  <w:style w:type="paragraph" w:styleId="8">
    <w:name w:val="heading 6"/>
    <w:basedOn w:val="1"/>
    <w:next w:val="1"/>
    <w:link w:val="52"/>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3"/>
    <w:qFormat/>
    <w:uiPriority w:val="0"/>
    <w:pPr>
      <w:keepNext/>
      <w:keepLines/>
      <w:spacing w:before="240" w:after="64" w:line="320" w:lineRule="auto"/>
      <w:outlineLvl w:val="6"/>
    </w:pPr>
    <w:rPr>
      <w:b/>
      <w:bCs/>
      <w:sz w:val="24"/>
    </w:rPr>
  </w:style>
  <w:style w:type="paragraph" w:styleId="10">
    <w:name w:val="heading 8"/>
    <w:basedOn w:val="1"/>
    <w:next w:val="1"/>
    <w:link w:val="54"/>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5"/>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8"/>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8"/>
    <w:semiHidden/>
    <w:qFormat/>
    <w:uiPriority w:val="0"/>
    <w:rPr>
      <w:rFonts w:ascii="宋体"/>
      <w:sz w:val="18"/>
      <w:szCs w:val="18"/>
    </w:rPr>
  </w:style>
  <w:style w:type="paragraph" w:styleId="14">
    <w:name w:val="annotation text"/>
    <w:basedOn w:val="1"/>
    <w:link w:val="56"/>
    <w:unhideWhenUsed/>
    <w:qFormat/>
    <w:uiPriority w:val="99"/>
    <w:pPr>
      <w:jc w:val="left"/>
    </w:pPr>
  </w:style>
  <w:style w:type="paragraph" w:styleId="15">
    <w:name w:val="Body Text 3"/>
    <w:basedOn w:val="1"/>
    <w:link w:val="59"/>
    <w:unhideWhenUsed/>
    <w:qFormat/>
    <w:uiPriority w:val="99"/>
    <w:pPr>
      <w:spacing w:after="120"/>
    </w:pPr>
    <w:rPr>
      <w:sz w:val="16"/>
      <w:szCs w:val="16"/>
    </w:rPr>
  </w:style>
  <w:style w:type="paragraph" w:styleId="16">
    <w:name w:val="Body Text"/>
    <w:basedOn w:val="1"/>
    <w:link w:val="60"/>
    <w:qFormat/>
    <w:uiPriority w:val="99"/>
    <w:rPr>
      <w:sz w:val="28"/>
      <w:szCs w:val="20"/>
    </w:rPr>
  </w:style>
  <w:style w:type="paragraph" w:styleId="17">
    <w:name w:val="Body Text Indent"/>
    <w:basedOn w:val="1"/>
    <w:link w:val="61"/>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2"/>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3"/>
    <w:qFormat/>
    <w:uiPriority w:val="0"/>
    <w:pPr>
      <w:ind w:left="100" w:leftChars="2500"/>
    </w:pPr>
    <w:rPr>
      <w:szCs w:val="20"/>
    </w:rPr>
  </w:style>
  <w:style w:type="paragraph" w:styleId="24">
    <w:name w:val="Body Text Indent 2"/>
    <w:basedOn w:val="1"/>
    <w:link w:val="64"/>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5"/>
    <w:unhideWhenUsed/>
    <w:qFormat/>
    <w:uiPriority w:val="0"/>
    <w:rPr>
      <w:sz w:val="18"/>
      <w:szCs w:val="18"/>
    </w:rPr>
  </w:style>
  <w:style w:type="paragraph" w:styleId="26">
    <w:name w:val="footer"/>
    <w:basedOn w:val="1"/>
    <w:link w:val="66"/>
    <w:unhideWhenUsed/>
    <w:qFormat/>
    <w:uiPriority w:val="0"/>
    <w:pPr>
      <w:tabs>
        <w:tab w:val="center" w:pos="4153"/>
        <w:tab w:val="right" w:pos="8306"/>
      </w:tabs>
      <w:snapToGrid w:val="0"/>
      <w:jc w:val="left"/>
    </w:pPr>
    <w:rPr>
      <w:sz w:val="18"/>
      <w:szCs w:val="18"/>
    </w:rPr>
  </w:style>
  <w:style w:type="paragraph" w:styleId="27">
    <w:name w:val="header"/>
    <w:basedOn w:val="1"/>
    <w:link w:val="67"/>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8"/>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9"/>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70"/>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7"/>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0"/>
    <w:rPr>
      <w:b/>
    </w:rPr>
  </w:style>
  <w:style w:type="character" w:styleId="42">
    <w:name w:val="page number"/>
    <w:basedOn w:val="40"/>
    <w:qFormat/>
    <w:uiPriority w:val="0"/>
  </w:style>
  <w:style w:type="character" w:styleId="43">
    <w:name w:val="FollowedHyperlink"/>
    <w:qFormat/>
    <w:uiPriority w:val="0"/>
    <w:rPr>
      <w:color w:val="800080"/>
      <w:u w:val="single"/>
    </w:rPr>
  </w:style>
  <w:style w:type="character" w:styleId="44">
    <w:name w:val="Hyperlink"/>
    <w:qFormat/>
    <w:uiPriority w:val="99"/>
    <w:rPr>
      <w:color w:val="0000FF"/>
      <w:u w:val="single"/>
    </w:rPr>
  </w:style>
  <w:style w:type="character" w:styleId="45">
    <w:name w:val="annotation reference"/>
    <w:qFormat/>
    <w:uiPriority w:val="0"/>
    <w:rPr>
      <w:sz w:val="21"/>
      <w:szCs w:val="21"/>
    </w:rPr>
  </w:style>
  <w:style w:type="character" w:customStyle="1" w:styleId="46">
    <w:name w:val="标题 1 字符"/>
    <w:basedOn w:val="40"/>
    <w:link w:val="2"/>
    <w:qFormat/>
    <w:uiPriority w:val="0"/>
    <w:rPr>
      <w:rFonts w:ascii="Times New Roman" w:hAnsi="Times New Roman" w:eastAsia="宋体" w:cs="Times New Roman"/>
      <w:b/>
      <w:bCs/>
      <w:kern w:val="44"/>
      <w:sz w:val="44"/>
      <w:szCs w:val="44"/>
    </w:rPr>
  </w:style>
  <w:style w:type="character" w:customStyle="1" w:styleId="47">
    <w:name w:val="标题 2 字符"/>
    <w:basedOn w:val="40"/>
    <w:link w:val="3"/>
    <w:qFormat/>
    <w:uiPriority w:val="9"/>
    <w:rPr>
      <w:rFonts w:ascii="Arial" w:hAnsi="Arial" w:eastAsia="黑体" w:cs="Times New Roman"/>
      <w:b/>
      <w:bCs/>
      <w:sz w:val="32"/>
      <w:szCs w:val="32"/>
    </w:rPr>
  </w:style>
  <w:style w:type="character" w:customStyle="1" w:styleId="48">
    <w:name w:val="正文缩进 字符"/>
    <w:link w:val="4"/>
    <w:qFormat/>
    <w:uiPriority w:val="0"/>
    <w:rPr>
      <w:rFonts w:ascii="楷体_GB2312" w:eastAsia="楷体_GB2312"/>
      <w:sz w:val="28"/>
    </w:rPr>
  </w:style>
  <w:style w:type="character" w:customStyle="1" w:styleId="49">
    <w:name w:val="标题 3 字符"/>
    <w:basedOn w:val="40"/>
    <w:link w:val="5"/>
    <w:qFormat/>
    <w:uiPriority w:val="0"/>
    <w:rPr>
      <w:rFonts w:ascii="黑体" w:hAnsi="Times New Roman" w:eastAsia="黑体" w:cs="Times New Roman"/>
      <w:kern w:val="0"/>
      <w:sz w:val="28"/>
      <w:szCs w:val="20"/>
    </w:rPr>
  </w:style>
  <w:style w:type="character" w:customStyle="1" w:styleId="50">
    <w:name w:val="标题 4 字符"/>
    <w:basedOn w:val="40"/>
    <w:link w:val="6"/>
    <w:qFormat/>
    <w:uiPriority w:val="0"/>
    <w:rPr>
      <w:rFonts w:ascii="Times New Roman" w:hAnsi="Times New Roman" w:eastAsia="宋体" w:cs="Times New Roman"/>
      <w:sz w:val="28"/>
      <w:szCs w:val="20"/>
    </w:rPr>
  </w:style>
  <w:style w:type="character" w:customStyle="1" w:styleId="51">
    <w:name w:val="标题 5 字符"/>
    <w:basedOn w:val="40"/>
    <w:link w:val="7"/>
    <w:qFormat/>
    <w:uiPriority w:val="0"/>
    <w:rPr>
      <w:rFonts w:ascii="Times New Roman" w:hAnsi="Times New Roman" w:eastAsia="宋体" w:cs="Times New Roman"/>
      <w:b/>
      <w:bCs/>
      <w:sz w:val="28"/>
      <w:szCs w:val="28"/>
    </w:rPr>
  </w:style>
  <w:style w:type="character" w:customStyle="1" w:styleId="52">
    <w:name w:val="标题 6 字符"/>
    <w:basedOn w:val="40"/>
    <w:link w:val="8"/>
    <w:qFormat/>
    <w:uiPriority w:val="0"/>
    <w:rPr>
      <w:rFonts w:ascii="Arial" w:hAnsi="Arial" w:eastAsia="黑体" w:cs="Times New Roman"/>
      <w:b/>
      <w:bCs/>
      <w:sz w:val="28"/>
      <w:szCs w:val="24"/>
    </w:rPr>
  </w:style>
  <w:style w:type="character" w:customStyle="1" w:styleId="53">
    <w:name w:val="标题 7 字符"/>
    <w:basedOn w:val="40"/>
    <w:link w:val="9"/>
    <w:qFormat/>
    <w:uiPriority w:val="0"/>
    <w:rPr>
      <w:rFonts w:ascii="Times New Roman" w:hAnsi="Times New Roman" w:eastAsia="宋体" w:cs="Times New Roman"/>
      <w:b/>
      <w:bCs/>
      <w:sz w:val="24"/>
      <w:szCs w:val="24"/>
    </w:rPr>
  </w:style>
  <w:style w:type="character" w:customStyle="1" w:styleId="54">
    <w:name w:val="标题 8 字符"/>
    <w:basedOn w:val="40"/>
    <w:link w:val="10"/>
    <w:qFormat/>
    <w:uiPriority w:val="0"/>
    <w:rPr>
      <w:rFonts w:ascii="Arial" w:hAnsi="Arial" w:eastAsia="黑体" w:cs="Times New Roman"/>
      <w:sz w:val="24"/>
      <w:szCs w:val="24"/>
    </w:rPr>
  </w:style>
  <w:style w:type="character" w:customStyle="1" w:styleId="55">
    <w:name w:val="标题 9 字符"/>
    <w:basedOn w:val="40"/>
    <w:link w:val="11"/>
    <w:qFormat/>
    <w:uiPriority w:val="0"/>
    <w:rPr>
      <w:rFonts w:ascii="Arial" w:hAnsi="Arial" w:eastAsia="黑体" w:cs="Times New Roman"/>
      <w:szCs w:val="21"/>
    </w:rPr>
  </w:style>
  <w:style w:type="character" w:customStyle="1" w:styleId="56">
    <w:name w:val="批注文字 字符"/>
    <w:basedOn w:val="40"/>
    <w:link w:val="14"/>
    <w:qFormat/>
    <w:uiPriority w:val="99"/>
    <w:rPr>
      <w:rFonts w:ascii="Times New Roman" w:hAnsi="Times New Roman" w:eastAsia="宋体" w:cs="Times New Roman"/>
      <w:szCs w:val="24"/>
    </w:rPr>
  </w:style>
  <w:style w:type="character" w:customStyle="1" w:styleId="57">
    <w:name w:val="批注主题 字符"/>
    <w:basedOn w:val="56"/>
    <w:link w:val="37"/>
    <w:semiHidden/>
    <w:qFormat/>
    <w:uiPriority w:val="0"/>
    <w:rPr>
      <w:rFonts w:ascii="Times New Roman" w:hAnsi="Times New Roman" w:eastAsia="宋体" w:cs="Times New Roman"/>
      <w:b/>
      <w:bCs/>
      <w:szCs w:val="20"/>
    </w:rPr>
  </w:style>
  <w:style w:type="character" w:customStyle="1" w:styleId="58">
    <w:name w:val="文档结构图 字符"/>
    <w:basedOn w:val="40"/>
    <w:link w:val="13"/>
    <w:semiHidden/>
    <w:qFormat/>
    <w:uiPriority w:val="0"/>
    <w:rPr>
      <w:rFonts w:ascii="宋体" w:hAnsi="Times New Roman" w:eastAsia="宋体" w:cs="Times New Roman"/>
      <w:sz w:val="18"/>
      <w:szCs w:val="18"/>
    </w:rPr>
  </w:style>
  <w:style w:type="character" w:customStyle="1" w:styleId="59">
    <w:name w:val="正文文本 3 字符"/>
    <w:basedOn w:val="40"/>
    <w:link w:val="15"/>
    <w:semiHidden/>
    <w:qFormat/>
    <w:uiPriority w:val="99"/>
    <w:rPr>
      <w:rFonts w:ascii="Times New Roman" w:hAnsi="Times New Roman" w:eastAsia="宋体" w:cs="Times New Roman"/>
      <w:sz w:val="16"/>
      <w:szCs w:val="16"/>
    </w:rPr>
  </w:style>
  <w:style w:type="character" w:customStyle="1" w:styleId="60">
    <w:name w:val="正文文本 字符"/>
    <w:basedOn w:val="40"/>
    <w:link w:val="16"/>
    <w:qFormat/>
    <w:uiPriority w:val="0"/>
    <w:rPr>
      <w:rFonts w:ascii="Times New Roman" w:hAnsi="Times New Roman" w:eastAsia="宋体" w:cs="Times New Roman"/>
      <w:sz w:val="28"/>
      <w:szCs w:val="20"/>
    </w:rPr>
  </w:style>
  <w:style w:type="character" w:customStyle="1" w:styleId="61">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2">
    <w:name w:val="纯文本 字符"/>
    <w:basedOn w:val="40"/>
    <w:link w:val="21"/>
    <w:qFormat/>
    <w:uiPriority w:val="0"/>
    <w:rPr>
      <w:rFonts w:ascii="宋体" w:hAnsi="Courier New" w:eastAsia="宋体" w:cs="Times New Roman"/>
      <w:szCs w:val="20"/>
    </w:rPr>
  </w:style>
  <w:style w:type="character" w:customStyle="1" w:styleId="63">
    <w:name w:val="日期 字符"/>
    <w:basedOn w:val="40"/>
    <w:link w:val="23"/>
    <w:qFormat/>
    <w:uiPriority w:val="0"/>
    <w:rPr>
      <w:rFonts w:ascii="Times New Roman" w:hAnsi="Times New Roman" w:eastAsia="宋体" w:cs="Times New Roman"/>
      <w:szCs w:val="20"/>
    </w:rPr>
  </w:style>
  <w:style w:type="character" w:customStyle="1" w:styleId="64">
    <w:name w:val="正文文本缩进 2 字符"/>
    <w:basedOn w:val="40"/>
    <w:link w:val="24"/>
    <w:qFormat/>
    <w:uiPriority w:val="0"/>
    <w:rPr>
      <w:rFonts w:ascii="仿宋_GB2312" w:hAnsi="宋体" w:eastAsia="仿宋_GB2312" w:cs="Times New Roman"/>
      <w:sz w:val="24"/>
      <w:szCs w:val="24"/>
    </w:rPr>
  </w:style>
  <w:style w:type="character" w:customStyle="1" w:styleId="65">
    <w:name w:val="批注框文本 字符"/>
    <w:basedOn w:val="40"/>
    <w:link w:val="25"/>
    <w:semiHidden/>
    <w:qFormat/>
    <w:uiPriority w:val="0"/>
    <w:rPr>
      <w:rFonts w:ascii="Times New Roman" w:hAnsi="Times New Roman" w:eastAsia="宋体" w:cs="Times New Roman"/>
      <w:sz w:val="18"/>
      <w:szCs w:val="18"/>
    </w:rPr>
  </w:style>
  <w:style w:type="character" w:customStyle="1" w:styleId="66">
    <w:name w:val="页脚 字符"/>
    <w:basedOn w:val="40"/>
    <w:link w:val="26"/>
    <w:qFormat/>
    <w:uiPriority w:val="0"/>
    <w:rPr>
      <w:rFonts w:ascii="Times New Roman" w:hAnsi="Times New Roman" w:eastAsia="宋体" w:cs="Times New Roman"/>
      <w:sz w:val="18"/>
      <w:szCs w:val="18"/>
    </w:rPr>
  </w:style>
  <w:style w:type="character" w:customStyle="1" w:styleId="67">
    <w:name w:val="页眉 字符"/>
    <w:basedOn w:val="40"/>
    <w:link w:val="27"/>
    <w:qFormat/>
    <w:uiPriority w:val="0"/>
    <w:rPr>
      <w:rFonts w:ascii="Times New Roman" w:hAnsi="Times New Roman" w:eastAsia="宋体" w:cs="Times New Roman"/>
      <w:sz w:val="18"/>
      <w:szCs w:val="18"/>
    </w:rPr>
  </w:style>
  <w:style w:type="character" w:customStyle="1" w:styleId="68">
    <w:name w:val="副标题 字符"/>
    <w:basedOn w:val="40"/>
    <w:link w:val="30"/>
    <w:qFormat/>
    <w:uiPriority w:val="0"/>
    <w:rPr>
      <w:rFonts w:ascii="Cambria" w:hAnsi="Cambria" w:eastAsia="宋体" w:cs="黑体"/>
      <w:b/>
      <w:bCs/>
      <w:kern w:val="28"/>
      <w:sz w:val="32"/>
      <w:szCs w:val="32"/>
    </w:rPr>
  </w:style>
  <w:style w:type="character" w:customStyle="1" w:styleId="69">
    <w:name w:val="正文文本缩进 3 字符"/>
    <w:basedOn w:val="40"/>
    <w:link w:val="32"/>
    <w:qFormat/>
    <w:uiPriority w:val="0"/>
    <w:rPr>
      <w:rFonts w:ascii="Times New Roman" w:hAnsi="Times New Roman" w:eastAsia="宋体" w:cs="Times New Roman"/>
      <w:sz w:val="24"/>
      <w:szCs w:val="20"/>
    </w:rPr>
  </w:style>
  <w:style w:type="character" w:customStyle="1" w:styleId="70">
    <w:name w:val="标题 字符"/>
    <w:basedOn w:val="40"/>
    <w:link w:val="36"/>
    <w:qFormat/>
    <w:uiPriority w:val="0"/>
    <w:rPr>
      <w:rFonts w:ascii="Cambria" w:hAnsi="Cambria" w:eastAsia="宋体" w:cs="Times New Roman"/>
      <w:b/>
      <w:bCs/>
      <w:sz w:val="32"/>
      <w:szCs w:val="32"/>
    </w:rPr>
  </w:style>
  <w:style w:type="paragraph" w:customStyle="1" w:styleId="71">
    <w:name w:val="bt1bt1"/>
    <w:basedOn w:val="2"/>
    <w:qFormat/>
    <w:uiPriority w:val="0"/>
    <w:pPr>
      <w:spacing w:line="240" w:lineRule="auto"/>
      <w:jc w:val="center"/>
    </w:pPr>
    <w:rPr>
      <w:rFonts w:ascii="黑体" w:eastAsia="黑体"/>
      <w:b w:val="0"/>
      <w:sz w:val="36"/>
      <w:szCs w:val="36"/>
    </w:rPr>
  </w:style>
  <w:style w:type="paragraph" w:customStyle="1" w:styleId="72">
    <w:name w:val="列出段落1"/>
    <w:basedOn w:val="1"/>
    <w:link w:val="73"/>
    <w:unhideWhenUsed/>
    <w:qFormat/>
    <w:uiPriority w:val="0"/>
    <w:pPr>
      <w:ind w:firstLine="420" w:firstLineChars="200"/>
    </w:pPr>
  </w:style>
  <w:style w:type="character" w:customStyle="1" w:styleId="73">
    <w:name w:val="列表段落 字符"/>
    <w:link w:val="72"/>
    <w:qFormat/>
    <w:uiPriority w:val="0"/>
    <w:rPr>
      <w:rFonts w:ascii="Times New Roman" w:hAnsi="Times New Roman" w:eastAsia="宋体" w:cs="Times New Roman"/>
      <w:szCs w:val="24"/>
    </w:rPr>
  </w:style>
  <w:style w:type="paragraph" w:customStyle="1" w:styleId="7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5">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6">
    <w:name w:val="_Style 36"/>
    <w:basedOn w:val="1"/>
    <w:qFormat/>
    <w:uiPriority w:val="34"/>
    <w:pPr>
      <w:ind w:firstLine="420" w:firstLineChars="200"/>
    </w:pPr>
    <w:rPr>
      <w:szCs w:val="20"/>
    </w:rPr>
  </w:style>
  <w:style w:type="paragraph" w:customStyle="1" w:styleId="77">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0">
    <w:name w:val="新定义正文"/>
    <w:basedOn w:val="1"/>
    <w:qFormat/>
    <w:uiPriority w:val="0"/>
    <w:pPr>
      <w:widowControl/>
    </w:pPr>
    <w:rPr>
      <w:color w:val="000000"/>
      <w:szCs w:val="21"/>
    </w:rPr>
  </w:style>
  <w:style w:type="paragraph" w:customStyle="1" w:styleId="81">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2">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3">
    <w:name w:val="列出段落11"/>
    <w:basedOn w:val="1"/>
    <w:qFormat/>
    <w:uiPriority w:val="34"/>
    <w:pPr>
      <w:ind w:firstLine="420" w:firstLineChars="200"/>
    </w:pPr>
    <w:rPr>
      <w:szCs w:val="20"/>
    </w:rPr>
  </w:style>
  <w:style w:type="paragraph" w:customStyle="1" w:styleId="8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Char Char1"/>
    <w:qFormat/>
    <w:uiPriority w:val="0"/>
    <w:rPr>
      <w:rFonts w:ascii="楷体_GB2312" w:eastAsia="楷体_GB2312"/>
      <w:sz w:val="28"/>
    </w:rPr>
  </w:style>
  <w:style w:type="character" w:customStyle="1" w:styleId="86">
    <w:name w:val="Char Char"/>
    <w:qFormat/>
    <w:uiPriority w:val="0"/>
    <w:rPr>
      <w:rFonts w:ascii="宋体"/>
      <w:kern w:val="2"/>
      <w:sz w:val="18"/>
      <w:szCs w:val="18"/>
    </w:rPr>
  </w:style>
  <w:style w:type="paragraph" w:customStyle="1" w:styleId="8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8">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9">
    <w:name w:val="批注文字 Char1"/>
    <w:qFormat/>
    <w:uiPriority w:val="99"/>
    <w:rPr>
      <w:kern w:val="2"/>
      <w:sz w:val="21"/>
    </w:rPr>
  </w:style>
  <w:style w:type="paragraph" w:customStyle="1" w:styleId="9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1">
    <w:name w:val="p0"/>
    <w:basedOn w:val="1"/>
    <w:qFormat/>
    <w:uiPriority w:val="0"/>
    <w:rPr>
      <w:szCs w:val="20"/>
    </w:rPr>
  </w:style>
  <w:style w:type="paragraph" w:customStyle="1" w:styleId="92">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3">
    <w:name w:val="normaltextrun"/>
    <w:basedOn w:val="40"/>
    <w:qFormat/>
    <w:uiPriority w:val="0"/>
  </w:style>
  <w:style w:type="character" w:customStyle="1" w:styleId="94">
    <w:name w:val="eop"/>
    <w:basedOn w:val="40"/>
    <w:qFormat/>
    <w:uiPriority w:val="0"/>
  </w:style>
  <w:style w:type="character" w:customStyle="1" w:styleId="95">
    <w:name w:val="列出段落 Char"/>
    <w:qFormat/>
    <w:uiPriority w:val="34"/>
    <w:rPr>
      <w:kern w:val="2"/>
      <w:sz w:val="21"/>
      <w:szCs w:val="24"/>
    </w:rPr>
  </w:style>
  <w:style w:type="character" w:customStyle="1" w:styleId="96">
    <w:name w:val="未处理的提及1"/>
    <w:basedOn w:val="40"/>
    <w:unhideWhenUsed/>
    <w:qFormat/>
    <w:uiPriority w:val="99"/>
    <w:rPr>
      <w:color w:val="605E5C"/>
      <w:shd w:val="clear" w:color="auto" w:fill="E1DFDD"/>
    </w:rPr>
  </w:style>
  <w:style w:type="paragraph" w:customStyle="1" w:styleId="97">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8">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9">
    <w:name w:val="文一 Char"/>
    <w:link w:val="100"/>
    <w:qFormat/>
    <w:locked/>
    <w:uiPriority w:val="0"/>
    <w:rPr>
      <w:spacing w:val="4"/>
      <w:sz w:val="24"/>
      <w:szCs w:val="24"/>
    </w:rPr>
  </w:style>
  <w:style w:type="paragraph" w:customStyle="1" w:styleId="100">
    <w:name w:val="文一"/>
    <w:basedOn w:val="1"/>
    <w:link w:val="99"/>
    <w:qFormat/>
    <w:uiPriority w:val="0"/>
    <w:pPr>
      <w:topLinePunct/>
      <w:adjustRightInd w:val="0"/>
      <w:snapToGrid w:val="0"/>
      <w:spacing w:line="360" w:lineRule="auto"/>
      <w:ind w:firstLine="200" w:firstLineChars="200"/>
    </w:pPr>
    <w:rPr>
      <w:spacing w:val="4"/>
      <w:kern w:val="0"/>
      <w:sz w:val="24"/>
    </w:rPr>
  </w:style>
  <w:style w:type="character" w:customStyle="1" w:styleId="101">
    <w:name w:val="未处理的提及2"/>
    <w:basedOn w:val="40"/>
    <w:unhideWhenUsed/>
    <w:qFormat/>
    <w:uiPriority w:val="99"/>
    <w:rPr>
      <w:color w:val="605E5C"/>
      <w:shd w:val="clear" w:color="auto" w:fill="E1DFDD"/>
    </w:rPr>
  </w:style>
  <w:style w:type="character" w:customStyle="1" w:styleId="102">
    <w:name w:val="p141"/>
    <w:qFormat/>
    <w:uiPriority w:val="0"/>
    <w:rPr>
      <w:sz w:val="21"/>
      <w:szCs w:val="21"/>
    </w:rPr>
  </w:style>
  <w:style w:type="paragraph" w:customStyle="1" w:styleId="103">
    <w:name w:val="列表段落1"/>
    <w:basedOn w:val="1"/>
    <w:unhideWhenUsed/>
    <w:qFormat/>
    <w:uiPriority w:val="99"/>
    <w:pPr>
      <w:ind w:firstLine="420" w:firstLineChars="200"/>
    </w:pPr>
  </w:style>
  <w:style w:type="paragraph" w:customStyle="1" w:styleId="104">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5">
    <w:name w:val="段"/>
    <w:link w:val="10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6">
    <w:name w:val="段 Char"/>
    <w:link w:val="105"/>
    <w:qFormat/>
    <w:uiPriority w:val="0"/>
    <w:rPr>
      <w:rFonts w:ascii="宋体"/>
      <w:sz w:val="21"/>
    </w:rPr>
  </w:style>
  <w:style w:type="paragraph" w:customStyle="1" w:styleId="107">
    <w:name w:val="列出段落2"/>
    <w:basedOn w:val="1"/>
    <w:unhideWhenUsed/>
    <w:qFormat/>
    <w:uiPriority w:val="34"/>
    <w:pPr>
      <w:ind w:firstLine="420" w:firstLineChars="200"/>
    </w:pPr>
  </w:style>
  <w:style w:type="table" w:customStyle="1" w:styleId="108">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0">
    <w:name w:val="H正_1"/>
    <w:basedOn w:val="111"/>
    <w:qFormat/>
    <w:uiPriority w:val="0"/>
    <w:pPr>
      <w:spacing w:after="0" w:line="420" w:lineRule="auto"/>
      <w:ind w:firstLine="200" w:firstLineChars="200"/>
      <w:jc w:val="left"/>
    </w:pPr>
    <w:rPr>
      <w:bCs/>
      <w:spacing w:val="0"/>
      <w:kern w:val="2"/>
      <w:szCs w:val="24"/>
    </w:rPr>
  </w:style>
  <w:style w:type="paragraph" w:customStyle="1" w:styleId="111">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2">
    <w:name w:val="H标_1"/>
    <w:basedOn w:val="113"/>
    <w:qFormat/>
    <w:uiPriority w:val="0"/>
    <w:pPr>
      <w:keepNext/>
      <w:keepLines/>
      <w:tabs>
        <w:tab w:val="left" w:pos="1300"/>
        <w:tab w:val="left" w:pos="1440"/>
        <w:tab w:val="left" w:pos="1932"/>
        <w:tab w:val="left" w:pos="6184"/>
      </w:tabs>
    </w:pPr>
    <w:rPr>
      <w:sz w:val="32"/>
    </w:rPr>
  </w:style>
  <w:style w:type="paragraph" w:customStyle="1" w:styleId="113">
    <w:name w:val="标题 1_0"/>
    <w:basedOn w:val="111"/>
    <w:next w:val="114"/>
    <w:qFormat/>
    <w:uiPriority w:val="0"/>
    <w:pPr>
      <w:pageBreakBefore/>
      <w:spacing w:before="120" w:after="60"/>
      <w:ind w:firstLine="0"/>
      <w:jc w:val="center"/>
      <w:outlineLvl w:val="0"/>
    </w:pPr>
    <w:rPr>
      <w:rFonts w:eastAsia="黑体"/>
      <w:b/>
      <w:sz w:val="36"/>
    </w:rPr>
  </w:style>
  <w:style w:type="paragraph" w:customStyle="1" w:styleId="114">
    <w:name w:val="方案正文"/>
    <w:basedOn w:val="111"/>
    <w:qFormat/>
    <w:uiPriority w:val="0"/>
    <w:pPr>
      <w:ind w:firstLine="200" w:firstLineChars="200"/>
    </w:pPr>
    <w:rPr>
      <w:bCs/>
    </w:rPr>
  </w:style>
  <w:style w:type="paragraph" w:customStyle="1" w:styleId="115">
    <w:name w:val="H表_1"/>
    <w:basedOn w:val="116"/>
    <w:qFormat/>
    <w:uiPriority w:val="0"/>
    <w:pPr>
      <w:widowControl/>
      <w:spacing w:line="240" w:lineRule="auto"/>
      <w:jc w:val="center"/>
    </w:pPr>
    <w:rPr>
      <w:rFonts w:ascii="宋体" w:hAnsi="宋体"/>
      <w:kern w:val="0"/>
      <w:sz w:val="20"/>
      <w:szCs w:val="20"/>
    </w:rPr>
  </w:style>
  <w:style w:type="paragraph" w:customStyle="1" w:styleId="116">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8">
    <w:name w:val="文本"/>
    <w:basedOn w:val="111"/>
    <w:qFormat/>
    <w:uiPriority w:val="0"/>
    <w:pPr>
      <w:spacing w:after="0"/>
      <w:ind w:firstLine="420" w:firstLineChars="200"/>
      <w:jc w:val="left"/>
    </w:pPr>
    <w:rPr>
      <w:rFonts w:ascii="宋体" w:hAnsi="宋体"/>
      <w:spacing w:val="0"/>
      <w:kern w:val="2"/>
      <w:sz w:val="21"/>
      <w:szCs w:val="22"/>
    </w:rPr>
  </w:style>
  <w:style w:type="paragraph" w:customStyle="1" w:styleId="119">
    <w:name w:val="Table Paragraph"/>
    <w:basedOn w:val="117"/>
    <w:qFormat/>
    <w:uiPriority w:val="1"/>
    <w:pPr>
      <w:wordWrap/>
      <w:spacing w:line="240" w:lineRule="auto"/>
      <w:jc w:val="left"/>
    </w:pPr>
    <w:rPr>
      <w:rFonts w:ascii="等线" w:hAnsi="等线" w:eastAsia="等线"/>
      <w:kern w:val="0"/>
      <w:sz w:val="22"/>
      <w:lang w:eastAsia="en-US"/>
    </w:rPr>
  </w:style>
  <w:style w:type="paragraph" w:customStyle="1" w:styleId="120">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1">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H表正"/>
    <w:basedOn w:val="111"/>
    <w:qFormat/>
    <w:uiPriority w:val="0"/>
    <w:pPr>
      <w:widowControl/>
      <w:spacing w:after="0" w:line="240" w:lineRule="auto"/>
      <w:ind w:firstLine="0"/>
    </w:pPr>
    <w:rPr>
      <w:rFonts w:ascii="宋体" w:hAnsi="宋体"/>
      <w:color w:val="000000"/>
      <w:spacing w:val="0"/>
      <w:sz w:val="21"/>
      <w:szCs w:val="21"/>
    </w:rPr>
  </w:style>
  <w:style w:type="paragraph" w:customStyle="1" w:styleId="123">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4">
    <w:name w:val="正文缩进_0"/>
    <w:basedOn w:val="116"/>
    <w:qFormat/>
    <w:uiPriority w:val="0"/>
    <w:pPr>
      <w:wordWrap/>
      <w:autoSpaceDE w:val="0"/>
      <w:autoSpaceDN w:val="0"/>
      <w:spacing w:line="360" w:lineRule="auto"/>
      <w:ind w:left="181" w:firstLine="420"/>
    </w:pPr>
    <w:rPr>
      <w:kern w:val="0"/>
      <w:sz w:val="24"/>
      <w:szCs w:val="20"/>
    </w:rPr>
  </w:style>
  <w:style w:type="paragraph" w:customStyle="1" w:styleId="125">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正文缩进_1"/>
    <w:basedOn w:val="111"/>
    <w:qFormat/>
    <w:uiPriority w:val="0"/>
    <w:pPr>
      <w:spacing w:before="60" w:after="60"/>
      <w:ind w:firstLine="420"/>
    </w:pPr>
    <w:rPr>
      <w:rFonts w:ascii="宋体"/>
      <w:color w:val="000000"/>
      <w:spacing w:val="0"/>
      <w:kern w:val="2"/>
    </w:rPr>
  </w:style>
  <w:style w:type="paragraph" w:customStyle="1" w:styleId="127">
    <w:name w:val="正文首行缩进1"/>
    <w:basedOn w:val="128"/>
    <w:qFormat/>
    <w:uiPriority w:val="0"/>
    <w:pPr>
      <w:spacing w:after="60" w:line="400" w:lineRule="exact"/>
      <w:ind w:firstLine="476"/>
    </w:pPr>
    <w:rPr>
      <w:kern w:val="2"/>
    </w:rPr>
  </w:style>
  <w:style w:type="paragraph" w:customStyle="1" w:styleId="128">
    <w:name w:val="正文文本_0"/>
    <w:basedOn w:val="111"/>
    <w:qFormat/>
    <w:uiPriority w:val="99"/>
  </w:style>
  <w:style w:type="paragraph" w:customStyle="1" w:styleId="129">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2">
    <w:name w:val="列出段落_1"/>
    <w:basedOn w:val="133"/>
    <w:qFormat/>
    <w:uiPriority w:val="0"/>
    <w:pPr>
      <w:ind w:firstLine="420" w:firstLineChars="200"/>
    </w:pPr>
    <w:rPr>
      <w:rFonts w:ascii="Times New Roman" w:hAnsi="Times New Roman"/>
      <w:sz w:val="20"/>
      <w:szCs w:val="24"/>
    </w:rPr>
  </w:style>
  <w:style w:type="paragraph" w:customStyle="1" w:styleId="133">
    <w:name w:val="正文_1_2"/>
    <w:qFormat/>
    <w:uiPriority w:val="0"/>
    <w:rPr>
      <w:rFonts w:ascii="Calibri" w:hAnsi="Calibri" w:eastAsia="宋体" w:cs="Times New Roman"/>
      <w:sz w:val="21"/>
      <w:lang w:val="en-US" w:eastAsia="zh-CN" w:bidi="ar-SA"/>
    </w:rPr>
  </w:style>
  <w:style w:type="paragraph" w:customStyle="1" w:styleId="134">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5">
    <w:name w:val="列出段落_0"/>
    <w:basedOn w:val="133"/>
    <w:qFormat/>
    <w:uiPriority w:val="0"/>
    <w:pPr>
      <w:ind w:firstLine="420" w:firstLineChars="200"/>
    </w:pPr>
    <w:rPr>
      <w:rFonts w:ascii="Times New Roman" w:hAnsi="Times New Roman"/>
      <w:sz w:val="20"/>
      <w:szCs w:val="24"/>
    </w:rPr>
  </w:style>
  <w:style w:type="paragraph" w:customStyle="1" w:styleId="136">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7">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8">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9">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40">
    <w:name w:val="列出段落3"/>
    <w:basedOn w:val="1"/>
    <w:unhideWhenUsed/>
    <w:qFormat/>
    <w:uiPriority w:val="99"/>
    <w:pPr>
      <w:ind w:firstLine="420" w:firstLineChars="200"/>
    </w:pPr>
  </w:style>
  <w:style w:type="paragraph" w:customStyle="1" w:styleId="141">
    <w:name w:val="1"/>
    <w:basedOn w:val="1"/>
    <w:next w:val="21"/>
    <w:qFormat/>
    <w:uiPriority w:val="0"/>
    <w:rPr>
      <w:rFonts w:ascii="宋体" w:hAnsi="Courier New"/>
      <w:szCs w:val="20"/>
    </w:rPr>
  </w:style>
  <w:style w:type="character" w:customStyle="1" w:styleId="142">
    <w:name w:val="font21"/>
    <w:basedOn w:val="40"/>
    <w:qFormat/>
    <w:uiPriority w:val="0"/>
    <w:rPr>
      <w:rFonts w:hint="default" w:ascii="仿宋_GB2312" w:eastAsia="仿宋_GB2312" w:cs="仿宋_GB2312"/>
      <w:b/>
      <w:color w:val="000000"/>
      <w:sz w:val="24"/>
      <w:szCs w:val="24"/>
      <w:u w:val="single"/>
    </w:rPr>
  </w:style>
  <w:style w:type="character" w:customStyle="1" w:styleId="143">
    <w:name w:val="font11"/>
    <w:basedOn w:val="40"/>
    <w:qFormat/>
    <w:uiPriority w:val="0"/>
    <w:rPr>
      <w:rFonts w:hint="default" w:ascii="Times New Roman" w:hAnsi="Times New Roman" w:cs="Times New Roman"/>
      <w:color w:val="000000"/>
      <w:sz w:val="21"/>
      <w:szCs w:val="21"/>
      <w:u w:val="none"/>
    </w:rPr>
  </w:style>
  <w:style w:type="character" w:customStyle="1" w:styleId="144">
    <w:name w:val="font41"/>
    <w:basedOn w:val="40"/>
    <w:qFormat/>
    <w:uiPriority w:val="0"/>
    <w:rPr>
      <w:rFonts w:hint="eastAsia" w:ascii="宋体" w:hAnsi="宋体" w:eastAsia="宋体" w:cs="宋体"/>
      <w:color w:val="000000"/>
      <w:sz w:val="21"/>
      <w:szCs w:val="21"/>
      <w:u w:val="none"/>
    </w:rPr>
  </w:style>
  <w:style w:type="character" w:customStyle="1" w:styleId="145">
    <w:name w:val="font51"/>
    <w:basedOn w:val="40"/>
    <w:qFormat/>
    <w:uiPriority w:val="0"/>
    <w:rPr>
      <w:rFonts w:hint="default" w:ascii="仿宋_GB2312" w:eastAsia="仿宋_GB2312" w:cs="仿宋_GB2312"/>
      <w:b/>
      <w:color w:val="000000"/>
      <w:sz w:val="24"/>
      <w:szCs w:val="24"/>
      <w:u w:val="none"/>
    </w:rPr>
  </w:style>
  <w:style w:type="character" w:customStyle="1" w:styleId="146">
    <w:name w:val="font31"/>
    <w:basedOn w:val="40"/>
    <w:qFormat/>
    <w:uiPriority w:val="0"/>
    <w:rPr>
      <w:rFonts w:hint="default" w:ascii="仿宋_GB2312" w:eastAsia="仿宋_GB2312" w:cs="仿宋_GB2312"/>
      <w:b/>
      <w:color w:val="000000"/>
      <w:sz w:val="24"/>
      <w:szCs w:val="24"/>
      <w:u w:val="none"/>
    </w:rPr>
  </w:style>
  <w:style w:type="character" w:styleId="147">
    <w:name w:val="Placeholder Text"/>
    <w:semiHidden/>
    <w:qFormat/>
    <w:uiPriority w:val="99"/>
    <w:rPr>
      <w:color w:val="808080"/>
    </w:rPr>
  </w:style>
  <w:style w:type="paragraph" w:customStyle="1" w:styleId="148">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Pages>
  <Words>501</Words>
  <Characters>2857</Characters>
  <Lines>23</Lines>
  <Paragraphs>6</Paragraphs>
  <TotalTime>10</TotalTime>
  <ScaleCrop>false</ScaleCrop>
  <LinksUpToDate>false</LinksUpToDate>
  <CharactersWithSpaces>3352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WPS_1725933743</cp:lastModifiedBy>
  <cp:lastPrinted>2021-06-11T08:09:00Z</cp:lastPrinted>
  <dcterms:modified xsi:type="dcterms:W3CDTF">2026-07-23T08:58:58Z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A07834ACD76D46C1BAA0A96D70E4B22E</vt:lpwstr>
  </property>
</Properties>
</file>