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outlineLvl w:val="0"/>
        <w:rPr>
          <w:rFonts w:hint="eastAsia" w:ascii="方正小标宋简体" w:hAnsi="方正小标宋简体" w:eastAsia="方正小标宋简体" w:cs="方正小标宋简体"/>
          <w:b/>
          <w:color w:val="auto"/>
          <w:sz w:val="36"/>
          <w:szCs w:val="36"/>
          <w:highlight w:val="none"/>
          <w:lang w:val="en-US" w:eastAsia="zh-CN"/>
        </w:rPr>
      </w:pPr>
      <w:bookmarkStart w:id="0" w:name="_Toc11357_WPSOffice_Level1"/>
      <w:bookmarkStart w:id="1" w:name="_Toc19720_WPSOffice_Level1"/>
      <w:bookmarkStart w:id="2" w:name="_Toc20396_WPSOffice_Level1"/>
      <w:bookmarkStart w:id="3" w:name="_Toc28241_WPSOffice_Level1"/>
      <w:r>
        <w:rPr>
          <w:rFonts w:hint="eastAsia" w:ascii="方正小标宋简体" w:hAnsi="方正小标宋简体" w:eastAsia="方正小标宋简体" w:cs="方正小标宋简体"/>
          <w:b/>
          <w:color w:val="auto"/>
          <w:sz w:val="36"/>
          <w:szCs w:val="36"/>
          <w:highlight w:val="none"/>
          <w:lang w:val="en-US" w:eastAsia="zh-CN"/>
        </w:rPr>
        <w:t>第一章 供应商须知</w:t>
      </w:r>
    </w:p>
    <w:tbl>
      <w:tblPr>
        <w:tblStyle w:val="16"/>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468"/>
        <w:gridCol w:w="640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pPr>
              <w:autoSpaceDE w:val="0"/>
              <w:autoSpaceDN w:val="0"/>
              <w:adjustRightInd w:val="0"/>
              <w:snapToGrid w:val="0"/>
              <w:jc w:val="center"/>
              <w:rPr>
                <w:rFonts w:hint="eastAsia" w:ascii="黑体" w:hAnsi="黑体" w:eastAsia="黑体" w:cs="黑体"/>
                <w:b w:val="0"/>
                <w:bCs/>
                <w:color w:val="auto"/>
                <w:szCs w:val="21"/>
                <w:highlight w:val="none"/>
              </w:rPr>
            </w:pPr>
            <w:r>
              <w:rPr>
                <w:rFonts w:hint="eastAsia" w:ascii="黑体" w:hAnsi="黑体" w:eastAsia="黑体" w:cs="黑体"/>
                <w:b w:val="0"/>
                <w:bCs/>
                <w:color w:val="auto"/>
                <w:szCs w:val="21"/>
                <w:highlight w:val="none"/>
              </w:rPr>
              <w:t>条款号</w:t>
            </w:r>
          </w:p>
        </w:tc>
        <w:tc>
          <w:tcPr>
            <w:tcW w:w="1468" w:type="dxa"/>
            <w:vAlign w:val="center"/>
          </w:tcPr>
          <w:p>
            <w:pPr>
              <w:autoSpaceDE w:val="0"/>
              <w:autoSpaceDN w:val="0"/>
              <w:adjustRightInd w:val="0"/>
              <w:snapToGrid w:val="0"/>
              <w:jc w:val="center"/>
              <w:rPr>
                <w:rFonts w:hint="eastAsia" w:ascii="黑体" w:hAnsi="黑体" w:eastAsia="黑体" w:cs="黑体"/>
                <w:b w:val="0"/>
                <w:bCs/>
                <w:color w:val="auto"/>
                <w:szCs w:val="21"/>
                <w:highlight w:val="none"/>
              </w:rPr>
            </w:pPr>
            <w:r>
              <w:rPr>
                <w:rFonts w:hint="eastAsia" w:ascii="黑体" w:hAnsi="黑体" w:eastAsia="黑体" w:cs="黑体"/>
                <w:b w:val="0"/>
                <w:bCs/>
                <w:color w:val="auto"/>
                <w:szCs w:val="21"/>
                <w:highlight w:val="none"/>
              </w:rPr>
              <w:t>条款名称</w:t>
            </w:r>
          </w:p>
        </w:tc>
        <w:tc>
          <w:tcPr>
            <w:tcW w:w="6408" w:type="dxa"/>
            <w:vAlign w:val="center"/>
          </w:tcPr>
          <w:p>
            <w:pPr>
              <w:autoSpaceDE w:val="0"/>
              <w:autoSpaceDN w:val="0"/>
              <w:adjustRightInd w:val="0"/>
              <w:snapToGrid w:val="0"/>
              <w:jc w:val="center"/>
              <w:rPr>
                <w:rFonts w:hint="eastAsia" w:ascii="黑体" w:hAnsi="黑体" w:eastAsia="黑体" w:cs="黑体"/>
                <w:b w:val="0"/>
                <w:bCs/>
                <w:color w:val="auto"/>
                <w:szCs w:val="21"/>
                <w:highlight w:val="none"/>
              </w:rPr>
            </w:pPr>
            <w:r>
              <w:rPr>
                <w:rFonts w:hint="eastAsia" w:ascii="黑体" w:hAnsi="黑体" w:eastAsia="黑体" w:cs="黑体"/>
                <w:b w:val="0"/>
                <w:bCs/>
                <w:color w:val="auto"/>
                <w:szCs w:val="21"/>
                <w:highlight w:val="none"/>
              </w:rPr>
              <w:t>编列内容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96" w:hRule="atLeast"/>
        </w:trPr>
        <w:tc>
          <w:tcPr>
            <w:tcW w:w="840" w:type="dxa"/>
            <w:vAlign w:val="center"/>
          </w:tcPr>
          <w:p>
            <w:pPr>
              <w:autoSpaceDE w:val="0"/>
              <w:autoSpaceDN w:val="0"/>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68"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询价文件实质性要求的标识</w:t>
            </w:r>
          </w:p>
        </w:tc>
        <w:tc>
          <w:tcPr>
            <w:tcW w:w="6408"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询价文件中标识★的条款，均为实质性条款。</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468"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编制要求</w:t>
            </w:r>
          </w:p>
        </w:tc>
        <w:tc>
          <w:tcPr>
            <w:tcW w:w="6408" w:type="dxa"/>
            <w:vAlign w:val="center"/>
          </w:tcPr>
          <w:p>
            <w:pPr>
              <w:autoSpaceDE w:val="0"/>
              <w:autoSpaceDN w:val="0"/>
              <w:adjustRightInd w:val="0"/>
              <w:snapToGri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1、签字或盖章要求：</w:t>
            </w:r>
          </w:p>
          <w:p>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中凡出现供应商单位落款的地方应盖单位章。</w:t>
            </w:r>
          </w:p>
          <w:p>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签字盖章必须符合以下其中一种：</w:t>
            </w:r>
          </w:p>
          <w:p>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1）供应商的法定代表人（负责人）或其授权的代理人逐页签字；</w:t>
            </w:r>
          </w:p>
          <w:p>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2）加盖供应商单位骑缝章；</w:t>
            </w:r>
          </w:p>
          <w:p>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3）逐页加盖供应商单位印章。</w:t>
            </w:r>
          </w:p>
          <w:p>
            <w:pPr>
              <w:autoSpaceDE w:val="0"/>
              <w:autoSpaceDN w:val="0"/>
              <w:adjustRightInd w:val="0"/>
              <w:snapToGrid w:val="0"/>
              <w:spacing w:line="276"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的密封和标记要求</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应装订完整，密封后，加贴封条。</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468"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应答有效期和报价具体要求</w:t>
            </w:r>
          </w:p>
        </w:tc>
        <w:tc>
          <w:tcPr>
            <w:tcW w:w="6408" w:type="dxa"/>
            <w:vAlign w:val="center"/>
          </w:tcPr>
          <w:p>
            <w:pPr>
              <w:rPr>
                <w:rFonts w:hint="eastAsia" w:ascii="宋体" w:hAnsi="宋体" w:eastAsia="宋体" w:cs="宋体"/>
                <w:color w:val="auto"/>
                <w:highlight w:val="none"/>
              </w:rPr>
            </w:pPr>
            <w:r>
              <w:rPr>
                <w:rFonts w:hint="eastAsia" w:ascii="宋体" w:hAnsi="宋体" w:eastAsia="宋体" w:cs="宋体"/>
                <w:color w:val="auto"/>
                <w:highlight w:val="none"/>
              </w:rPr>
              <w:t>1、报价具体要求</w:t>
            </w:r>
          </w:p>
          <w:p>
            <w:pPr>
              <w:numPr>
                <w:ilvl w:val="0"/>
                <w:numId w:val="1"/>
              </w:numPr>
              <w:adjustRightInd w:val="0"/>
              <w:ind w:left="29" w:hanging="29"/>
              <w:rPr>
                <w:rFonts w:hint="eastAsia" w:ascii="宋体" w:hAnsi="宋体" w:eastAsia="宋体" w:cs="宋体"/>
                <w:color w:val="auto"/>
                <w:highlight w:val="none"/>
              </w:rPr>
            </w:pPr>
            <w:r>
              <w:rPr>
                <w:rFonts w:hint="eastAsia" w:ascii="宋体" w:hAnsi="宋体" w:eastAsia="宋体" w:cs="宋体"/>
                <w:color w:val="auto"/>
                <w:highlight w:val="none"/>
              </w:rPr>
              <w:t>供应商应根据自身具体情况及项目实际要求对本询价项目报价（注：保留小数点后2位)。</w:t>
            </w:r>
          </w:p>
          <w:p>
            <w:pPr>
              <w:numPr>
                <w:ilvl w:val="0"/>
                <w:numId w:val="1"/>
              </w:numPr>
              <w:adjustRightInd w:val="0"/>
              <w:ind w:left="29" w:hanging="29"/>
              <w:rPr>
                <w:rFonts w:hint="eastAsia" w:ascii="宋体" w:hAnsi="宋体" w:eastAsia="宋体" w:cs="宋体"/>
                <w:color w:val="auto"/>
                <w:highlight w:val="none"/>
              </w:rPr>
            </w:pPr>
            <w:r>
              <w:rPr>
                <w:rFonts w:hint="eastAsia" w:ascii="宋体" w:hAnsi="宋体" w:eastAsia="宋体" w:cs="宋体"/>
                <w:color w:val="auto"/>
                <w:highlight w:val="none"/>
              </w:rPr>
              <w:t>除合同另有规定外，</w:t>
            </w:r>
            <w:r>
              <w:rPr>
                <w:rFonts w:hint="eastAsia" w:ascii="宋体" w:hAnsi="宋体" w:cs="宋体"/>
                <w:color w:val="auto"/>
                <w:highlight w:val="none"/>
                <w:lang w:val="en-US" w:eastAsia="zh-CN"/>
              </w:rPr>
              <w:t>供应商的报</w:t>
            </w:r>
            <w:r>
              <w:rPr>
                <w:rFonts w:hint="eastAsia" w:ascii="宋体" w:hAnsi="宋体" w:eastAsia="宋体" w:cs="宋体"/>
                <w:color w:val="auto"/>
                <w:highlight w:val="none"/>
              </w:rPr>
              <w:t>价已包括供应商为完成本合同规定的工作所承担的全部费用，包括成本、税金、利润等，并包含了应由供应商承担的义务、责任和风险所发生的费用。</w:t>
            </w:r>
          </w:p>
          <w:p>
            <w:pPr>
              <w:numPr>
                <w:ilvl w:val="0"/>
                <w:numId w:val="1"/>
              </w:numPr>
              <w:adjustRightInd w:val="0"/>
              <w:ind w:left="29" w:hanging="29"/>
              <w:rPr>
                <w:rFonts w:hint="eastAsia" w:ascii="宋体" w:hAnsi="宋体" w:eastAsia="宋体" w:cs="宋体"/>
                <w:color w:val="auto"/>
                <w:highlight w:val="none"/>
              </w:rPr>
            </w:pPr>
            <w:r>
              <w:rPr>
                <w:rFonts w:hint="eastAsia" w:ascii="宋体" w:hAnsi="宋体" w:eastAsia="宋体" w:cs="宋体"/>
                <w:color w:val="auto"/>
                <w:highlight w:val="none"/>
              </w:rPr>
              <w:t>供应商作出的报价为一次性报价，除非采购人要求，供应商在报价截止日期之后，不得主动对报价做出任何修改。</w:t>
            </w:r>
          </w:p>
          <w:p>
            <w:pPr>
              <w:numPr>
                <w:ilvl w:val="0"/>
                <w:numId w:val="1"/>
              </w:numPr>
              <w:adjustRightInd w:val="0"/>
              <w:ind w:left="29" w:hanging="29"/>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b/>
                <w:bCs/>
                <w:color w:val="auto"/>
                <w:highlight w:val="none"/>
              </w:rPr>
              <w:t>报价人须</w:t>
            </w:r>
            <w:r>
              <w:rPr>
                <w:rFonts w:hint="eastAsia" w:ascii="宋体" w:hAnsi="宋体" w:cs="宋体"/>
                <w:b/>
                <w:bCs/>
                <w:color w:val="auto"/>
                <w:highlight w:val="none"/>
                <w:lang w:val="en-US" w:eastAsia="zh-CN"/>
              </w:rPr>
              <w:t>承诺</w:t>
            </w:r>
            <w:r>
              <w:rPr>
                <w:rFonts w:hint="eastAsia" w:ascii="宋体" w:hAnsi="宋体" w:eastAsia="宋体" w:cs="宋体"/>
                <w:b/>
                <w:bCs/>
                <w:color w:val="auto"/>
                <w:highlight w:val="none"/>
              </w:rPr>
              <w:t>提供增值税</w:t>
            </w:r>
            <w:r>
              <w:rPr>
                <w:rFonts w:hint="eastAsia" w:ascii="宋体" w:hAnsi="宋体" w:eastAsia="宋体" w:cs="宋体"/>
                <w:b/>
                <w:bCs/>
                <w:color w:val="auto"/>
                <w:highlight w:val="none"/>
                <w:lang w:val="en-US" w:eastAsia="zh-CN"/>
              </w:rPr>
              <w:t>专用</w:t>
            </w:r>
            <w:r>
              <w:rPr>
                <w:rFonts w:hint="eastAsia" w:ascii="宋体" w:hAnsi="宋体" w:eastAsia="宋体" w:cs="宋体"/>
                <w:b/>
                <w:bCs/>
                <w:color w:val="auto"/>
                <w:highlight w:val="none"/>
              </w:rPr>
              <w:t>发票</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税法规定不允许开具专票的项目除外</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w:t>
            </w:r>
          </w:p>
          <w:p>
            <w:pPr>
              <w:numPr>
                <w:ilvl w:val="0"/>
                <w:numId w:val="1"/>
              </w:numPr>
              <w:adjustRightInd w:val="0"/>
              <w:ind w:left="29" w:hanging="29"/>
              <w:rPr>
                <w:rFonts w:hint="eastAsia" w:ascii="宋体" w:hAnsi="宋体" w:eastAsia="宋体" w:cs="宋体"/>
                <w:color w:val="auto"/>
                <w:highlight w:val="none"/>
              </w:rPr>
            </w:pPr>
            <w:r>
              <w:rPr>
                <w:rFonts w:hint="eastAsia" w:ascii="宋体" w:hAnsi="宋体" w:cs="宋体"/>
                <w:b w:val="0"/>
                <w:bCs w:val="0"/>
                <w:color w:val="auto"/>
                <w:highlight w:val="none"/>
                <w:lang w:val="en-US" w:eastAsia="zh-CN"/>
              </w:rPr>
              <w:t>报价表格式</w:t>
            </w:r>
            <w:r>
              <w:rPr>
                <w:rFonts w:hint="eastAsia" w:ascii="宋体" w:hAnsi="宋体" w:eastAsia="宋体" w:cs="宋体"/>
                <w:color w:val="auto"/>
                <w:highlight w:val="none"/>
              </w:rPr>
              <w:t>详见询价文件第</w:t>
            </w:r>
            <w:r>
              <w:rPr>
                <w:rFonts w:hint="eastAsia" w:ascii="宋体" w:hAnsi="宋体" w:cs="宋体"/>
                <w:color w:val="auto"/>
                <w:highlight w:val="none"/>
                <w:lang w:val="en-US" w:eastAsia="zh-CN"/>
              </w:rPr>
              <w:t>六</w:t>
            </w:r>
            <w:r>
              <w:rPr>
                <w:rFonts w:hint="eastAsia" w:ascii="宋体" w:hAnsi="宋体" w:eastAsia="宋体" w:cs="宋体"/>
                <w:color w:val="auto"/>
                <w:highlight w:val="none"/>
              </w:rPr>
              <w:t>章《九、报价</w:t>
            </w:r>
            <w:r>
              <w:rPr>
                <w:rFonts w:hint="eastAsia" w:ascii="宋体" w:hAnsi="宋体" w:cs="宋体"/>
                <w:color w:val="auto"/>
                <w:highlight w:val="none"/>
                <w:lang w:val="en-US" w:eastAsia="zh-CN"/>
              </w:rPr>
              <w:t>函</w:t>
            </w:r>
            <w:r>
              <w:rPr>
                <w:rFonts w:hint="eastAsia" w:ascii="宋体" w:hAnsi="宋体" w:eastAsia="宋体" w:cs="宋体"/>
                <w:color w:val="auto"/>
                <w:highlight w:val="none"/>
              </w:rPr>
              <w:t>》。</w:t>
            </w:r>
          </w:p>
          <w:p>
            <w:pPr>
              <w:pStyle w:val="5"/>
              <w:ind w:left="0" w:leftChars="0" w:firstLine="0" w:firstLineChars="0"/>
              <w:rPr>
                <w:rFonts w:hint="eastAsia" w:ascii="宋体" w:hAnsi="宋体" w:eastAsia="宋体" w:cs="宋体"/>
                <w:color w:val="auto"/>
                <w:highlight w:val="none"/>
              </w:rPr>
            </w:pPr>
            <w:r>
              <w:rPr>
                <w:rFonts w:hint="eastAsia" w:ascii="宋体" w:hAnsi="宋体" w:eastAsia="宋体" w:cs="宋体"/>
                <w:color w:val="auto"/>
                <w:kern w:val="2"/>
                <w:sz w:val="21"/>
                <w:szCs w:val="24"/>
                <w:highlight w:val="none"/>
              </w:rPr>
              <w:t>2、应答有效期：</w:t>
            </w:r>
            <w:r>
              <w:rPr>
                <w:rFonts w:hint="eastAsia" w:ascii="宋体" w:hAnsi="宋体" w:eastAsia="宋体" w:cs="宋体"/>
                <w:color w:val="auto"/>
                <w:kern w:val="2"/>
                <w:sz w:val="21"/>
                <w:szCs w:val="24"/>
                <w:highlight w:val="none"/>
                <w:u w:val="single"/>
              </w:rPr>
              <w:t xml:space="preserve">  </w:t>
            </w:r>
            <w:r>
              <w:rPr>
                <w:rFonts w:hint="eastAsia" w:ascii="宋体" w:hAnsi="宋体" w:eastAsia="宋体" w:cs="宋体"/>
                <w:color w:val="auto"/>
                <w:kern w:val="2"/>
                <w:sz w:val="21"/>
                <w:szCs w:val="24"/>
                <w:highlight w:val="none"/>
                <w:u w:val="single"/>
                <w:lang w:val="en-US" w:eastAsia="zh-CN"/>
              </w:rPr>
              <w:t>6</w:t>
            </w:r>
            <w:r>
              <w:rPr>
                <w:rFonts w:hint="eastAsia" w:ascii="宋体" w:hAnsi="宋体" w:eastAsia="宋体" w:cs="宋体"/>
                <w:color w:val="auto"/>
                <w:kern w:val="2"/>
                <w:sz w:val="21"/>
                <w:szCs w:val="24"/>
                <w:highlight w:val="none"/>
                <w:u w:val="single"/>
              </w:rPr>
              <w:t xml:space="preserve">0  </w:t>
            </w:r>
            <w:r>
              <w:rPr>
                <w:rFonts w:hint="eastAsia" w:ascii="宋体" w:hAnsi="宋体" w:eastAsia="宋体" w:cs="宋体"/>
                <w:color w:val="auto"/>
                <w:kern w:val="2"/>
                <w:sz w:val="21"/>
                <w:szCs w:val="24"/>
                <w:highlight w:val="none"/>
              </w:rPr>
              <w:t>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1468"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6408" w:type="dxa"/>
            <w:vAlign w:val="center"/>
          </w:tcPr>
          <w:p>
            <w:pPr>
              <w:autoSpaceDE w:val="0"/>
              <w:autoSpaceDN w:val="0"/>
              <w:adjustRightInd w:val="0"/>
              <w:snapToGrid w:val="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pPr>
              <w:pStyle w:val="5"/>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1468"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408" w:type="dxa"/>
            <w:vAlign w:val="center"/>
          </w:tcPr>
          <w:p>
            <w:pPr>
              <w:adjustRightIn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采购结果</w:t>
            </w:r>
            <w:r>
              <w:rPr>
                <w:rFonts w:hint="eastAsia" w:ascii="宋体" w:hAnsi="宋体" w:cs="宋体"/>
                <w:color w:val="auto"/>
                <w:szCs w:val="21"/>
                <w:highlight w:val="none"/>
                <w:lang w:val="en-US" w:eastAsia="zh-CN"/>
              </w:rPr>
              <w:t>经采购人确认后，</w:t>
            </w:r>
            <w:r>
              <w:rPr>
                <w:rFonts w:hint="eastAsia" w:ascii="宋体" w:hAnsi="宋体" w:eastAsia="宋体" w:cs="宋体"/>
                <w:color w:val="auto"/>
                <w:szCs w:val="21"/>
                <w:highlight w:val="none"/>
              </w:rPr>
              <w:t>采购结果不另行公示。</w:t>
            </w:r>
          </w:p>
        </w:tc>
      </w:tr>
    </w:tbl>
    <w:p>
      <w:pPr>
        <w:pStyle w:val="2"/>
        <w:jc w:val="center"/>
        <w:outlineLvl w:val="0"/>
        <w:rPr>
          <w:rFonts w:hint="eastAsia" w:ascii="方正小标宋简体" w:hAnsi="方正小标宋简体" w:eastAsia="方正小标宋简体" w:cs="方正小标宋简体"/>
          <w:b/>
          <w:color w:val="auto"/>
          <w:sz w:val="36"/>
          <w:szCs w:val="36"/>
          <w:highlight w:val="none"/>
          <w:lang w:val="en-US" w:eastAsia="zh-CN"/>
        </w:rPr>
      </w:pPr>
      <w:bookmarkStart w:id="4" w:name="_Toc447265557"/>
      <w:bookmarkStart w:id="5" w:name="_Toc447265271"/>
      <w:bookmarkStart w:id="6" w:name="_Toc26678"/>
      <w:r>
        <w:rPr>
          <w:rFonts w:hint="eastAsia" w:ascii="方正小标宋简体" w:hAnsi="方正小标宋简体" w:eastAsia="方正小标宋简体" w:cs="方正小标宋简体"/>
          <w:b/>
          <w:color w:val="auto"/>
          <w:sz w:val="36"/>
          <w:szCs w:val="36"/>
          <w:highlight w:val="none"/>
          <w:lang w:val="en-US" w:eastAsia="zh-CN"/>
        </w:rPr>
        <w:t>第二章 评审办法</w:t>
      </w:r>
      <w:bookmarkEnd w:id="4"/>
      <w:bookmarkEnd w:id="5"/>
      <w:bookmarkEnd w:id="6"/>
    </w:p>
    <w:p>
      <w:pPr>
        <w:pStyle w:val="28"/>
        <w:keepNext/>
        <w:keepLines/>
        <w:pageBreakBefore w:val="0"/>
        <w:widowControl w:val="0"/>
        <w:kinsoku/>
        <w:wordWrap/>
        <w:overflowPunct/>
        <w:topLinePunct w:val="0"/>
        <w:autoSpaceDE/>
        <w:autoSpaceDN/>
        <w:bidi w:val="0"/>
        <w:adjustRightInd/>
        <w:snapToGrid w:val="0"/>
        <w:spacing w:before="0" w:after="0"/>
        <w:jc w:val="both"/>
        <w:textAlignment w:val="auto"/>
        <w:outlineLvl w:val="9"/>
        <w:rPr>
          <w:rFonts w:hint="eastAsia" w:ascii="宋体" w:hAnsi="宋体" w:eastAsia="宋体" w:cs="宋体"/>
          <w:b/>
          <w:bCs w:val="0"/>
          <w:color w:val="auto"/>
          <w:kern w:val="0"/>
          <w:sz w:val="28"/>
          <w:szCs w:val="28"/>
          <w:highlight w:val="none"/>
        </w:rPr>
      </w:pPr>
      <w:bookmarkStart w:id="7" w:name="_Toc24289"/>
      <w:r>
        <w:rPr>
          <w:rFonts w:hint="eastAsia" w:ascii="宋体" w:hAnsi="宋体" w:eastAsia="宋体" w:cs="宋体"/>
          <w:b/>
          <w:bCs w:val="0"/>
          <w:color w:val="auto"/>
          <w:kern w:val="0"/>
          <w:sz w:val="28"/>
          <w:szCs w:val="28"/>
          <w:highlight w:val="none"/>
        </w:rPr>
        <w:t>评审办法前附表</w:t>
      </w:r>
      <w:bookmarkEnd w:id="7"/>
    </w:p>
    <w:tbl>
      <w:tblPr>
        <w:tblStyle w:val="16"/>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843"/>
        <w:gridCol w:w="1840"/>
        <w:gridCol w:w="5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pPr>
              <w:snapToGrid w:val="0"/>
              <w:jc w:val="center"/>
              <w:rPr>
                <w:rFonts w:hint="eastAsia" w:ascii="黑体" w:hAnsi="黑体" w:eastAsia="黑体" w:cs="黑体"/>
                <w:color w:val="auto"/>
                <w:kern w:val="0"/>
                <w:sz w:val="21"/>
                <w:szCs w:val="21"/>
                <w:highlight w:val="none"/>
              </w:rPr>
            </w:pPr>
            <w:r>
              <w:rPr>
                <w:rFonts w:hint="eastAsia" w:ascii="黑体" w:hAnsi="黑体" w:eastAsia="黑体" w:cs="黑体"/>
                <w:color w:val="auto"/>
                <w:sz w:val="21"/>
                <w:szCs w:val="21"/>
                <w:highlight w:val="none"/>
              </w:rPr>
              <w:t>条款号</w:t>
            </w:r>
          </w:p>
        </w:tc>
        <w:tc>
          <w:tcPr>
            <w:tcW w:w="1017" w:type="pct"/>
            <w:vAlign w:val="center"/>
          </w:tcPr>
          <w:p>
            <w:pPr>
              <w:snapToGrid w:val="0"/>
              <w:jc w:val="center"/>
              <w:rPr>
                <w:rFonts w:hint="eastAsia" w:ascii="黑体" w:hAnsi="黑体" w:eastAsia="黑体" w:cs="黑体"/>
                <w:color w:val="auto"/>
                <w:sz w:val="21"/>
                <w:szCs w:val="21"/>
                <w:highlight w:val="none"/>
              </w:rPr>
            </w:pPr>
            <w:r>
              <w:rPr>
                <w:rFonts w:hint="eastAsia" w:ascii="黑体" w:hAnsi="黑体" w:eastAsia="黑体" w:cs="黑体"/>
                <w:color w:val="auto"/>
                <w:kern w:val="0"/>
                <w:sz w:val="21"/>
                <w:szCs w:val="21"/>
                <w:highlight w:val="none"/>
              </w:rPr>
              <w:t>评审因素</w:t>
            </w:r>
          </w:p>
        </w:tc>
        <w:tc>
          <w:tcPr>
            <w:tcW w:w="2872" w:type="pct"/>
            <w:vAlign w:val="center"/>
          </w:tcPr>
          <w:p>
            <w:pPr>
              <w:snapToGrid w:val="0"/>
              <w:jc w:val="center"/>
              <w:rPr>
                <w:rFonts w:hint="eastAsia" w:ascii="黑体" w:hAnsi="黑体" w:eastAsia="黑体" w:cs="黑体"/>
                <w:color w:val="auto"/>
                <w:sz w:val="21"/>
                <w:szCs w:val="21"/>
                <w:highlight w:val="none"/>
              </w:rPr>
            </w:pPr>
            <w:r>
              <w:rPr>
                <w:rFonts w:hint="eastAsia" w:ascii="黑体" w:hAnsi="黑体" w:eastAsia="黑体" w:cs="黑体"/>
                <w:color w:val="auto"/>
                <w:kern w:val="0"/>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644" w:type="pct"/>
            <w:vMerge w:val="restart"/>
            <w:vAlign w:val="center"/>
          </w:tcPr>
          <w:p>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初步评审</w:t>
            </w:r>
          </w:p>
        </w:tc>
        <w:tc>
          <w:tcPr>
            <w:tcW w:w="466" w:type="pct"/>
            <w:vMerge w:val="restart"/>
            <w:vAlign w:val="center"/>
          </w:tcPr>
          <w:p>
            <w:pPr>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形式及响应性评审</w:t>
            </w:r>
          </w:p>
        </w:tc>
        <w:tc>
          <w:tcPr>
            <w:tcW w:w="1017" w:type="pct"/>
            <w:vAlign w:val="center"/>
          </w:tcPr>
          <w:p>
            <w:pPr>
              <w:spacing w:line="44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p>
        </w:tc>
        <w:tc>
          <w:tcPr>
            <w:tcW w:w="2872" w:type="pct"/>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jc w:val="center"/>
              <w:rPr>
                <w:rFonts w:hint="eastAsia" w:ascii="宋体" w:hAnsi="宋体" w:eastAsia="宋体" w:cs="宋体"/>
                <w:color w:val="auto"/>
                <w:sz w:val="21"/>
                <w:szCs w:val="21"/>
                <w:highlight w:val="none"/>
              </w:rPr>
            </w:pPr>
          </w:p>
        </w:tc>
        <w:tc>
          <w:tcPr>
            <w:tcW w:w="466" w:type="pct"/>
            <w:vMerge w:val="continue"/>
          </w:tcPr>
          <w:p>
            <w:pPr>
              <w:snapToGrid w:val="0"/>
              <w:jc w:val="center"/>
              <w:rPr>
                <w:rFonts w:hint="eastAsia" w:ascii="宋体" w:hAnsi="宋体" w:eastAsia="宋体" w:cs="宋体"/>
                <w:color w:val="auto"/>
                <w:sz w:val="21"/>
                <w:szCs w:val="21"/>
                <w:highlight w:val="none"/>
              </w:rPr>
            </w:pPr>
          </w:p>
        </w:tc>
        <w:tc>
          <w:tcPr>
            <w:tcW w:w="1017" w:type="pct"/>
            <w:vAlign w:val="center"/>
          </w:tcPr>
          <w:p>
            <w:pPr>
              <w:spacing w:line="440" w:lineRule="exact"/>
              <w:jc w:val="center"/>
              <w:rPr>
                <w:rFonts w:hint="eastAsia" w:ascii="宋体" w:hAnsi="宋体" w:eastAsia="宋体" w:cs="宋体"/>
                <w:color w:val="auto"/>
                <w:sz w:val="21"/>
                <w:szCs w:val="21"/>
                <w:highlight w:val="none"/>
              </w:rPr>
            </w:pPr>
            <w:r>
              <w:rPr>
                <w:rFonts w:hint="eastAsia" w:ascii="宋体" w:hAnsi="宋体" w:cs="宋体"/>
                <w:bCs/>
                <w:color w:val="auto"/>
                <w:kern w:val="0"/>
                <w:sz w:val="21"/>
                <w:szCs w:val="21"/>
                <w:highlight w:val="none"/>
                <w:lang w:eastAsia="zh-CN"/>
              </w:rPr>
              <w:t>响应文件</w:t>
            </w:r>
            <w:r>
              <w:rPr>
                <w:rFonts w:hint="eastAsia" w:ascii="宋体" w:hAnsi="宋体" w:eastAsia="宋体" w:cs="宋体"/>
                <w:bCs/>
                <w:color w:val="auto"/>
                <w:kern w:val="0"/>
                <w:sz w:val="21"/>
                <w:szCs w:val="21"/>
                <w:highlight w:val="none"/>
              </w:rPr>
              <w:t>格式</w:t>
            </w:r>
          </w:p>
        </w:tc>
        <w:tc>
          <w:tcPr>
            <w:tcW w:w="2872" w:type="pct"/>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应答函、法定代表人身份证明、法定代表人授权委托书按询价文件提供的格式和要求提交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continue"/>
          </w:tcPr>
          <w:p>
            <w:pPr>
              <w:snapToGrid w:val="0"/>
              <w:jc w:val="center"/>
              <w:rPr>
                <w:rFonts w:hint="eastAsia" w:ascii="宋体" w:hAnsi="宋体" w:eastAsia="宋体" w:cs="宋体"/>
                <w:color w:val="auto"/>
                <w:sz w:val="21"/>
                <w:szCs w:val="21"/>
                <w:highlight w:val="none"/>
              </w:rPr>
            </w:pPr>
          </w:p>
        </w:tc>
        <w:tc>
          <w:tcPr>
            <w:tcW w:w="1017" w:type="pct"/>
            <w:vAlign w:val="center"/>
          </w:tcPr>
          <w:p>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应答报价</w:t>
            </w:r>
          </w:p>
        </w:tc>
        <w:tc>
          <w:tcPr>
            <w:tcW w:w="2872" w:type="pct"/>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应答报价表按询价文件提供的格式和要求提交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continue"/>
          </w:tcPr>
          <w:p>
            <w:pPr>
              <w:snapToGrid w:val="0"/>
              <w:jc w:val="center"/>
              <w:rPr>
                <w:rFonts w:hint="eastAsia" w:ascii="宋体" w:hAnsi="宋体" w:eastAsia="宋体" w:cs="宋体"/>
                <w:color w:val="auto"/>
                <w:sz w:val="21"/>
                <w:szCs w:val="21"/>
                <w:highlight w:val="none"/>
              </w:rPr>
            </w:pPr>
          </w:p>
        </w:tc>
        <w:tc>
          <w:tcPr>
            <w:tcW w:w="1017" w:type="pct"/>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实质性条款偏离情况</w:t>
            </w:r>
          </w:p>
        </w:tc>
        <w:tc>
          <w:tcPr>
            <w:tcW w:w="2872" w:type="pct"/>
            <w:vAlign w:val="center"/>
          </w:tcPr>
          <w:p>
            <w:pP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满足询价文件实质性条款（“★”项否决</w:t>
            </w:r>
            <w:r>
              <w:rPr>
                <w:rFonts w:hint="eastAsia" w:ascii="宋体" w:hAnsi="宋体" w:eastAsia="宋体" w:cs="宋体"/>
                <w:color w:val="auto"/>
                <w:sz w:val="21"/>
                <w:szCs w:val="21"/>
                <w:highlight w:val="none"/>
              </w:rPr>
              <w:t>应答</w:t>
            </w:r>
            <w:r>
              <w:rPr>
                <w:rFonts w:hint="eastAsia" w:ascii="宋体" w:hAnsi="宋体" w:eastAsia="宋体" w:cs="宋体"/>
                <w:bCs/>
                <w:color w:val="auto"/>
                <w:kern w:val="0"/>
                <w:sz w:val="21"/>
                <w:szCs w:val="21"/>
                <w:highlight w:val="none"/>
              </w:rPr>
              <w:t>的关键条款）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continue"/>
          </w:tcPr>
          <w:p>
            <w:pPr>
              <w:snapToGrid w:val="0"/>
              <w:jc w:val="center"/>
              <w:rPr>
                <w:rFonts w:hint="eastAsia" w:ascii="宋体" w:hAnsi="宋体" w:eastAsia="宋体" w:cs="宋体"/>
                <w:color w:val="auto"/>
                <w:sz w:val="21"/>
                <w:szCs w:val="21"/>
                <w:highlight w:val="none"/>
              </w:rPr>
            </w:pPr>
          </w:p>
        </w:tc>
        <w:tc>
          <w:tcPr>
            <w:tcW w:w="1017" w:type="pct"/>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的签署和盖章</w:t>
            </w:r>
          </w:p>
        </w:tc>
        <w:tc>
          <w:tcPr>
            <w:tcW w:w="2872" w:type="pct"/>
            <w:vAlign w:val="center"/>
          </w:tcPr>
          <w:p>
            <w:pP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的签字、盖章须符合询价文件第二章供应商须知“2.</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编制要求”要求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restart"/>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w:t>
            </w:r>
          </w:p>
        </w:tc>
        <w:tc>
          <w:tcPr>
            <w:tcW w:w="1017" w:type="pct"/>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具有独立承担民事责任能力</w:t>
            </w:r>
          </w:p>
        </w:tc>
        <w:tc>
          <w:tcPr>
            <w:tcW w:w="2872" w:type="pct"/>
            <w:vAlign w:val="center"/>
          </w:tcPr>
          <w:p>
            <w:pPr>
              <w:snapToGrid w:val="0"/>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供应商</w:t>
            </w:r>
            <w:r>
              <w:rPr>
                <w:rFonts w:hint="eastAsia" w:ascii="宋体" w:hAnsi="宋体" w:eastAsia="宋体" w:cs="宋体"/>
                <w:color w:val="auto"/>
                <w:sz w:val="21"/>
                <w:szCs w:val="21"/>
                <w:highlight w:val="none"/>
              </w:rPr>
              <w:t>须</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rPr>
              <w:t>在中华人民共和国境内注册的具有独立承担民事责任能力的法人</w:t>
            </w:r>
            <w:r>
              <w:rPr>
                <w:rFonts w:hint="eastAsia" w:cs="宋体"/>
                <w:color w:val="auto"/>
                <w:sz w:val="21"/>
                <w:szCs w:val="21"/>
                <w:highlight w:val="none"/>
                <w:lang w:val="en-US" w:eastAsia="zh-CN"/>
              </w:rPr>
              <w:t>或其他组织</w:t>
            </w:r>
            <w:r>
              <w:rPr>
                <w:rFonts w:hint="eastAsia" w:ascii="宋体" w:hAnsi="宋体" w:eastAsia="宋体" w:cs="宋体"/>
                <w:color w:val="auto"/>
                <w:sz w:val="21"/>
                <w:szCs w:val="21"/>
                <w:highlight w:val="none"/>
              </w:rPr>
              <w:t>，提供营业执照或</w:t>
            </w:r>
            <w:r>
              <w:rPr>
                <w:rFonts w:hint="eastAsia" w:cs="宋体"/>
                <w:color w:val="auto"/>
                <w:sz w:val="21"/>
                <w:szCs w:val="21"/>
                <w:highlight w:val="none"/>
                <w:lang w:val="en-US" w:eastAsia="zh-CN"/>
              </w:rPr>
              <w:t>事业</w:t>
            </w:r>
            <w:r>
              <w:rPr>
                <w:rFonts w:hint="eastAsia" w:ascii="宋体" w:hAnsi="宋体" w:eastAsia="宋体" w:cs="宋体"/>
                <w:color w:val="auto"/>
                <w:sz w:val="21"/>
                <w:szCs w:val="21"/>
                <w:highlight w:val="none"/>
              </w:rPr>
              <w:t>法人</w:t>
            </w:r>
            <w:r>
              <w:rPr>
                <w:rFonts w:hint="eastAsia" w:cs="宋体"/>
                <w:color w:val="auto"/>
                <w:sz w:val="21"/>
                <w:szCs w:val="21"/>
                <w:highlight w:val="none"/>
                <w:lang w:val="en-US" w:eastAsia="zh-CN"/>
              </w:rPr>
              <w:t>登记</w:t>
            </w:r>
            <w:r>
              <w:rPr>
                <w:rFonts w:hint="eastAsia" w:ascii="宋体" w:hAnsi="宋体" w:eastAsia="宋体" w:cs="宋体"/>
                <w:color w:val="auto"/>
                <w:sz w:val="21"/>
                <w:szCs w:val="21"/>
                <w:highlight w:val="none"/>
              </w:rPr>
              <w:t>证书</w:t>
            </w:r>
            <w:r>
              <w:rPr>
                <w:rFonts w:hint="eastAsia" w:cs="宋体"/>
                <w:color w:val="auto"/>
                <w:sz w:val="21"/>
                <w:szCs w:val="21"/>
                <w:highlight w:val="none"/>
                <w:lang w:val="en-US" w:eastAsia="zh-CN"/>
              </w:rPr>
              <w:t>复印件（分公司投标须得到总公司授权，同时提供总公司营业执照及盖章授权函）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continue"/>
            <w:vAlign w:val="center"/>
          </w:tcPr>
          <w:p>
            <w:pPr>
              <w:snapToGrid w:val="0"/>
              <w:jc w:val="center"/>
              <w:rPr>
                <w:rFonts w:hint="eastAsia" w:ascii="宋体" w:hAnsi="宋体" w:eastAsia="宋体" w:cs="宋体"/>
                <w:color w:val="auto"/>
                <w:sz w:val="21"/>
                <w:szCs w:val="21"/>
                <w:highlight w:val="none"/>
              </w:rPr>
            </w:pPr>
          </w:p>
        </w:tc>
        <w:tc>
          <w:tcPr>
            <w:tcW w:w="1017" w:type="pct"/>
            <w:vAlign w:val="center"/>
          </w:tcPr>
          <w:p>
            <w:pPr>
              <w:snapToGrid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具备服务能力</w:t>
            </w:r>
          </w:p>
        </w:tc>
        <w:tc>
          <w:tcPr>
            <w:tcW w:w="2872" w:type="pct"/>
            <w:vAlign w:val="center"/>
          </w:tcPr>
          <w:p>
            <w:pPr>
              <w:snapToGrid w:val="0"/>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highlight w:val="none"/>
                <w:lang w:val="en-US" w:eastAsia="zh-CN" w:bidi="ar-SA"/>
              </w:rPr>
              <w:t>供应商应具备承担本采购项目的能力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continue"/>
            <w:vAlign w:val="center"/>
          </w:tcPr>
          <w:p>
            <w:pPr>
              <w:snapToGrid w:val="0"/>
              <w:jc w:val="center"/>
              <w:rPr>
                <w:rFonts w:hint="eastAsia" w:ascii="宋体" w:hAnsi="宋体" w:eastAsia="宋体" w:cs="宋体"/>
                <w:color w:val="auto"/>
                <w:sz w:val="21"/>
                <w:szCs w:val="21"/>
                <w:highlight w:val="none"/>
              </w:rPr>
            </w:pPr>
          </w:p>
        </w:tc>
        <w:tc>
          <w:tcPr>
            <w:tcW w:w="1017" w:type="pct"/>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信誉要求</w:t>
            </w:r>
          </w:p>
        </w:tc>
        <w:tc>
          <w:tcPr>
            <w:tcW w:w="2872" w:type="pct"/>
            <w:vAlign w:val="center"/>
          </w:tcPr>
          <w:p>
            <w:pPr>
              <w:snapToGrid w:val="0"/>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highlight w:val="none"/>
                <w:lang w:val="en-US" w:eastAsia="zh-CN" w:bidi="ar-SA"/>
              </w:rPr>
              <w:t>供应商参与本采购活动时，未被列入国家企业信用信息公示系统的经营异常名录、严重违法失信企业名单</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continue"/>
            <w:vAlign w:val="center"/>
          </w:tcPr>
          <w:p>
            <w:pPr>
              <w:snapToGrid w:val="0"/>
              <w:jc w:val="center"/>
              <w:rPr>
                <w:rFonts w:hint="eastAsia" w:ascii="宋体" w:hAnsi="宋体" w:eastAsia="宋体" w:cs="宋体"/>
                <w:color w:val="auto"/>
                <w:sz w:val="21"/>
                <w:szCs w:val="21"/>
                <w:highlight w:val="none"/>
              </w:rPr>
            </w:pPr>
          </w:p>
        </w:tc>
        <w:tc>
          <w:tcPr>
            <w:tcW w:w="1017" w:type="pct"/>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应答唯一性</w:t>
            </w:r>
          </w:p>
        </w:tc>
        <w:tc>
          <w:tcPr>
            <w:tcW w:w="2872" w:type="pct"/>
            <w:vAlign w:val="center"/>
          </w:tcPr>
          <w:p>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单位负责人为同一人或者存在直接控股、管理关系的不同供应商，不得</w:t>
            </w:r>
            <w:r>
              <w:rPr>
                <w:rFonts w:hint="eastAsia" w:ascii="宋体" w:hAnsi="宋体" w:cs="宋体"/>
                <w:color w:val="auto"/>
                <w:sz w:val="21"/>
                <w:szCs w:val="21"/>
                <w:highlight w:val="none"/>
                <w:lang w:val="en-US" w:eastAsia="zh-CN"/>
              </w:rPr>
              <w:t>同时</w:t>
            </w:r>
            <w:r>
              <w:rPr>
                <w:rFonts w:hint="eastAsia" w:ascii="宋体" w:hAnsi="宋体" w:eastAsia="宋体" w:cs="宋体"/>
                <w:color w:val="auto"/>
                <w:sz w:val="21"/>
                <w:szCs w:val="21"/>
                <w:highlight w:val="none"/>
                <w:lang w:eastAsia="zh-CN"/>
              </w:rPr>
              <w:t>参加本项目的采购活动（</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4" w:type="pct"/>
            <w:vMerge w:val="continue"/>
            <w:vAlign w:val="center"/>
          </w:tcPr>
          <w:p>
            <w:pPr>
              <w:snapToGrid w:val="0"/>
              <w:ind w:firstLine="420" w:firstLineChars="200"/>
              <w:jc w:val="center"/>
              <w:rPr>
                <w:rFonts w:hint="eastAsia" w:ascii="宋体" w:hAnsi="宋体" w:eastAsia="宋体" w:cs="宋体"/>
                <w:color w:val="auto"/>
                <w:sz w:val="21"/>
                <w:szCs w:val="21"/>
                <w:highlight w:val="none"/>
              </w:rPr>
            </w:pPr>
          </w:p>
        </w:tc>
        <w:tc>
          <w:tcPr>
            <w:tcW w:w="466" w:type="pct"/>
            <w:vMerge w:val="continue"/>
            <w:vAlign w:val="center"/>
          </w:tcPr>
          <w:p>
            <w:pPr>
              <w:snapToGrid w:val="0"/>
              <w:jc w:val="center"/>
              <w:rPr>
                <w:rFonts w:hint="eastAsia" w:ascii="宋体" w:hAnsi="宋体" w:eastAsia="宋体" w:cs="宋体"/>
                <w:color w:val="auto"/>
                <w:sz w:val="21"/>
                <w:szCs w:val="21"/>
                <w:highlight w:val="none"/>
              </w:rPr>
            </w:pPr>
          </w:p>
        </w:tc>
        <w:tc>
          <w:tcPr>
            <w:tcW w:w="1017" w:type="pct"/>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eastAsia="zh-CN"/>
              </w:rPr>
              <w:t>其他要求</w:t>
            </w:r>
          </w:p>
        </w:tc>
        <w:tc>
          <w:tcPr>
            <w:tcW w:w="2872" w:type="pct"/>
            <w:vAlign w:val="center"/>
          </w:tcPr>
          <w:p>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644" w:type="pct"/>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355" w:type="pct"/>
            <w:gridSpan w:val="3"/>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pPr>
        <w:rPr>
          <w:rFonts w:hint="default" w:ascii="宋体" w:hAnsi="宋体" w:eastAsia="宋体" w:cs="宋体"/>
          <w:b/>
          <w:bCs w:val="0"/>
          <w:color w:val="auto"/>
          <w:kern w:val="0"/>
          <w:sz w:val="28"/>
          <w:szCs w:val="28"/>
          <w:highlight w:val="none"/>
          <w:lang w:val="en-US" w:eastAsia="zh-CN"/>
        </w:rPr>
      </w:pPr>
      <w:bookmarkStart w:id="8" w:name="_Toc478566273"/>
      <w:bookmarkStart w:id="9" w:name="_Toc478565718"/>
      <w:bookmarkStart w:id="10" w:name="_Toc478566439"/>
      <w:bookmarkStart w:id="11" w:name="_Toc68859970"/>
      <w:bookmarkStart w:id="12" w:name="_Toc478566081"/>
      <w:bookmarkStart w:id="13" w:name="_Toc474148037"/>
      <w:bookmarkStart w:id="14" w:name="_Toc20635"/>
      <w:r>
        <w:rPr>
          <w:rFonts w:hint="default" w:ascii="宋体" w:hAnsi="宋体" w:eastAsia="宋体" w:cs="宋体"/>
          <w:b/>
          <w:bCs w:val="0"/>
          <w:color w:val="auto"/>
          <w:kern w:val="0"/>
          <w:sz w:val="28"/>
          <w:szCs w:val="28"/>
          <w:highlight w:val="none"/>
          <w:lang w:val="en-US" w:eastAsia="zh-CN"/>
        </w:rPr>
        <w:br w:type="page"/>
      </w:r>
    </w:p>
    <w:p>
      <w:pPr>
        <w:pStyle w:val="28"/>
        <w:keepNext/>
        <w:keepLines/>
        <w:pageBreakBefore w:val="0"/>
        <w:widowControl w:val="0"/>
        <w:kinsoku/>
        <w:wordWrap/>
        <w:overflowPunct/>
        <w:topLinePunct w:val="0"/>
        <w:autoSpaceDE/>
        <w:autoSpaceDN/>
        <w:bidi w:val="0"/>
        <w:adjustRightInd/>
        <w:snapToGrid w:val="0"/>
        <w:spacing w:before="0" w:after="0"/>
        <w:jc w:val="both"/>
        <w:textAlignment w:val="auto"/>
        <w:outlineLvl w:val="9"/>
        <w:rPr>
          <w:rFonts w:hint="default" w:ascii="宋体" w:hAnsi="宋体" w:eastAsia="宋体" w:cs="宋体"/>
          <w:b/>
          <w:bCs w:val="0"/>
          <w:color w:val="auto"/>
          <w:kern w:val="0"/>
          <w:sz w:val="28"/>
          <w:szCs w:val="28"/>
          <w:highlight w:val="none"/>
          <w:lang w:val="en-US" w:eastAsia="zh-CN"/>
        </w:rPr>
      </w:pPr>
      <w:r>
        <w:rPr>
          <w:rFonts w:hint="default" w:ascii="宋体" w:hAnsi="宋体" w:eastAsia="宋体" w:cs="宋体"/>
          <w:b/>
          <w:bCs w:val="0"/>
          <w:color w:val="auto"/>
          <w:kern w:val="0"/>
          <w:sz w:val="28"/>
          <w:szCs w:val="28"/>
          <w:highlight w:val="none"/>
          <w:lang w:val="en-US" w:eastAsia="zh-CN"/>
        </w:rPr>
        <w:t>评分标准</w:t>
      </w:r>
      <w:r>
        <w:rPr>
          <w:rFonts w:hint="eastAsia" w:ascii="宋体" w:hAnsi="宋体" w:eastAsia="宋体" w:cs="宋体"/>
          <w:b/>
          <w:bCs w:val="0"/>
          <w:color w:val="auto"/>
          <w:kern w:val="0"/>
          <w:sz w:val="28"/>
          <w:szCs w:val="28"/>
          <w:highlight w:val="none"/>
          <w:lang w:val="en-US" w:eastAsia="zh-CN"/>
        </w:rPr>
        <w:t>表</w:t>
      </w:r>
    </w:p>
    <w:p>
      <w:pPr>
        <w:pStyle w:val="2"/>
        <w:numPr>
          <w:ilvl w:val="0"/>
          <w:numId w:val="0"/>
        </w:numPr>
        <w:spacing w:before="91" w:line="223" w:lineRule="auto"/>
        <w:outlineLvl w:val="1"/>
        <w:rPr>
          <w:rFonts w:hint="default" w:ascii="Times New Roman" w:hAnsi="Times New Roman" w:eastAsia="仿宋_GB2312" w:cs="Times New Roman"/>
          <w:color w:val="auto"/>
          <w:spacing w:val="-5"/>
          <w:sz w:val="28"/>
          <w:szCs w:val="28"/>
          <w:highlight w:val="none"/>
        </w:rPr>
      </w:pPr>
      <w:r>
        <w:rPr>
          <w:rFonts w:hint="eastAsia" w:ascii="Times New Roman" w:hAnsi="Times New Roman" w:eastAsia="仿宋_GB2312" w:cs="Times New Roman"/>
          <w:b w:val="0"/>
          <w:bCs w:val="0"/>
          <w:color w:val="auto"/>
          <w:spacing w:val="-3"/>
          <w:sz w:val="28"/>
          <w:szCs w:val="28"/>
          <w:highlight w:val="none"/>
          <w:lang w:eastAsia="zh-CN"/>
          <w14:textOutline w14:w="5103" w14:cap="sq" w14:cmpd="sng">
            <w14:solidFill>
              <w14:srgbClr w14:val="000000"/>
            </w14:solidFill>
            <w14:prstDash w14:val="solid"/>
            <w14:bevel/>
          </w14:textOutline>
        </w:rPr>
        <w:t>（</w:t>
      </w:r>
      <w:r>
        <w:rPr>
          <w:rFonts w:hint="eastAsia"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t>1）</w:t>
      </w:r>
      <w:r>
        <w:rPr>
          <w:rFonts w:hint="default" w:ascii="Times New Roman" w:hAnsi="Times New Roman" w:eastAsia="仿宋_GB2312" w:cs="Times New Roman"/>
          <w:b w:val="0"/>
          <w:bCs w:val="0"/>
          <w:color w:val="auto"/>
          <w:spacing w:val="-3"/>
          <w:sz w:val="28"/>
          <w:szCs w:val="28"/>
          <w:highlight w:val="none"/>
          <w14:textOutline w14:w="5103" w14:cap="sq" w14:cmpd="sng">
            <w14:solidFill>
              <w14:srgbClr w14:val="000000"/>
            </w14:solidFill>
            <w14:prstDash w14:val="solid"/>
            <w14:bevel/>
          </w14:textOutline>
        </w:rPr>
        <w:t>分权值</w:t>
      </w:r>
      <w:r>
        <w:rPr>
          <w:rFonts w:hint="default" w:ascii="Times New Roman" w:hAnsi="Times New Roman" w:eastAsia="仿宋_GB2312" w:cs="Times New Roman"/>
          <w:b w:val="0"/>
          <w:bCs w:val="0"/>
          <w:color w:val="auto"/>
          <w:spacing w:val="-3"/>
          <w:sz w:val="28"/>
          <w:szCs w:val="28"/>
          <w:highlight w:val="none"/>
          <w:lang w:eastAsia="zh-CN"/>
          <w14:textOutline w14:w="5103" w14:cap="sq" w14:cmpd="sng">
            <w14:solidFill>
              <w14:srgbClr w14:val="000000"/>
            </w14:solidFill>
            <w14:prstDash w14:val="solid"/>
            <w14:bevel/>
          </w14:textOutline>
        </w:rPr>
        <w:t>：</w:t>
      </w:r>
      <w:r>
        <w:rPr>
          <w:rFonts w:hint="default" w:ascii="Times New Roman" w:hAnsi="Times New Roman" w:eastAsia="仿宋_GB2312" w:cs="Times New Roman"/>
          <w:b w:val="0"/>
          <w:bCs w:val="0"/>
          <w:color w:val="auto"/>
          <w:spacing w:val="-5"/>
          <w:sz w:val="28"/>
          <w:szCs w:val="28"/>
          <w:highlight w:val="none"/>
        </w:rPr>
        <w:t>总分为100分，</w:t>
      </w:r>
      <w:r>
        <w:rPr>
          <w:rFonts w:hint="default" w:ascii="Times New Roman" w:hAnsi="Times New Roman" w:eastAsia="仿宋_GB2312" w:cs="Times New Roman"/>
          <w:color w:val="auto"/>
          <w:spacing w:val="-5"/>
          <w:sz w:val="28"/>
          <w:szCs w:val="28"/>
          <w:highlight w:val="none"/>
        </w:rPr>
        <w:t>评分分值分配如下：</w:t>
      </w:r>
    </w:p>
    <w:tbl>
      <w:tblPr>
        <w:tblStyle w:val="17"/>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3091"/>
        <w:gridCol w:w="3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评审项</w:t>
            </w:r>
          </w:p>
        </w:tc>
        <w:tc>
          <w:tcPr>
            <w:tcW w:w="309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各部分分值</w:t>
            </w:r>
          </w:p>
        </w:tc>
        <w:tc>
          <w:tcPr>
            <w:tcW w:w="309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color w:val="auto"/>
                <w:szCs w:val="21"/>
                <w:highlight w:val="none"/>
                <w:lang w:val="en-US" w:eastAsia="zh-CN"/>
              </w:rPr>
            </w:pPr>
            <w:r>
              <w:rPr>
                <w:rFonts w:hint="eastAsia" w:ascii="仿宋" w:hAnsi="仿宋" w:eastAsia="仿宋" w:cs="宋体"/>
                <w:b/>
                <w:color w:val="auto"/>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商务审查</w:t>
            </w:r>
          </w:p>
        </w:tc>
        <w:tc>
          <w:tcPr>
            <w:tcW w:w="3091" w:type="dxa"/>
            <w:vAlign w:val="center"/>
          </w:tcPr>
          <w:p>
            <w:pPr>
              <w:autoSpaceDE w:val="0"/>
              <w:autoSpaceDN w:val="0"/>
              <w:spacing w:before="93" w:beforeLines="30" w:after="93" w:afterLines="30"/>
              <w:jc w:val="center"/>
              <w:rPr>
                <w:rFonts w:hint="default" w:ascii="仿宋" w:hAnsi="仿宋" w:eastAsia="仿宋" w:cs="宋体"/>
                <w:b/>
                <w:color w:val="auto"/>
                <w:szCs w:val="21"/>
                <w:highlight w:val="none"/>
                <w:lang w:val="en-US" w:eastAsia="zh-CN"/>
              </w:rPr>
            </w:pPr>
            <w:r>
              <w:rPr>
                <w:rFonts w:hint="eastAsia" w:ascii="仿宋" w:hAnsi="仿宋" w:eastAsia="仿宋" w:cs="宋体"/>
                <w:b/>
                <w:color w:val="auto"/>
                <w:szCs w:val="21"/>
                <w:highlight w:val="none"/>
                <w:lang w:val="en-US" w:eastAsia="zh-CN"/>
              </w:rPr>
              <w:t>30</w:t>
            </w:r>
          </w:p>
        </w:tc>
        <w:tc>
          <w:tcPr>
            <w:tcW w:w="3091" w:type="dxa"/>
            <w:vMerge w:val="restart"/>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本项目商务部分设置评分基准线。若投标人的商务评分低于基准线，其投标应答将被视为存在重大商务技术偏差，则</w:t>
            </w:r>
            <w:r>
              <w:rPr>
                <w:rFonts w:hint="eastAsia" w:ascii="仿宋" w:hAnsi="仿宋" w:eastAsia="仿宋" w:cs="宋体"/>
                <w:b/>
                <w:color w:val="auto"/>
                <w:szCs w:val="21"/>
                <w:highlight w:val="none"/>
                <w:lang w:val="en-US" w:eastAsia="zh-CN"/>
              </w:rPr>
              <w:t>报价</w:t>
            </w:r>
            <w:r>
              <w:rPr>
                <w:rFonts w:hint="eastAsia" w:ascii="仿宋" w:hAnsi="仿宋" w:eastAsia="仿宋" w:cs="宋体"/>
                <w:b/>
                <w:color w:val="auto"/>
                <w:szCs w:val="21"/>
                <w:highlight w:val="none"/>
              </w:rPr>
              <w:t>无效，不进入技术部分评审。</w:t>
            </w:r>
          </w:p>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商务评分基准线</w:t>
            </w:r>
            <w:r>
              <w:rPr>
                <w:rFonts w:hint="eastAsia" w:ascii="仿宋" w:hAnsi="仿宋" w:eastAsia="仿宋" w:cs="宋体"/>
                <w:b/>
                <w:color w:val="auto"/>
                <w:szCs w:val="21"/>
                <w:highlight w:val="none"/>
                <w:lang w:val="en-US" w:eastAsia="zh-CN"/>
              </w:rPr>
              <w:t>=</w:t>
            </w:r>
            <w:r>
              <w:rPr>
                <w:rFonts w:hint="eastAsia" w:ascii="仿宋" w:hAnsi="仿宋" w:eastAsia="仿宋" w:cs="宋体"/>
                <w:b/>
                <w:color w:val="auto"/>
                <w:szCs w:val="21"/>
                <w:highlight w:val="none"/>
              </w:rPr>
              <w:t>本项目商务部分分值×60%（即</w:t>
            </w:r>
            <w:r>
              <w:rPr>
                <w:rFonts w:hint="eastAsia" w:ascii="仿宋" w:hAnsi="仿宋" w:eastAsia="仿宋" w:cs="宋体"/>
                <w:b/>
                <w:color w:val="auto"/>
                <w:szCs w:val="21"/>
                <w:highlight w:val="none"/>
                <w:lang w:val="en-US" w:eastAsia="zh-CN"/>
              </w:rPr>
              <w:t>3</w:t>
            </w:r>
            <w:r>
              <w:rPr>
                <w:rFonts w:hint="eastAsia" w:ascii="仿宋" w:hAnsi="仿宋" w:eastAsia="仿宋" w:cs="宋体"/>
                <w:b/>
                <w:color w:val="auto"/>
                <w:szCs w:val="21"/>
                <w:highlight w:val="none"/>
              </w:rPr>
              <w:t>0×60%=1</w:t>
            </w:r>
            <w:r>
              <w:rPr>
                <w:rFonts w:hint="eastAsia" w:ascii="仿宋" w:hAnsi="仿宋" w:eastAsia="仿宋" w:cs="宋体"/>
                <w:b/>
                <w:color w:val="auto"/>
                <w:szCs w:val="21"/>
                <w:highlight w:val="none"/>
                <w:lang w:val="en-US" w:eastAsia="zh-CN"/>
              </w:rPr>
              <w:t>8</w:t>
            </w:r>
            <w:r>
              <w:rPr>
                <w:rFonts w:hint="eastAsia" w:ascii="仿宋" w:hAnsi="仿宋" w:eastAsia="仿宋" w:cs="宋体"/>
                <w:b/>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技术审查</w:t>
            </w:r>
          </w:p>
        </w:tc>
        <w:tc>
          <w:tcPr>
            <w:tcW w:w="3091" w:type="dxa"/>
            <w:vAlign w:val="center"/>
          </w:tcPr>
          <w:p>
            <w:pPr>
              <w:autoSpaceDE w:val="0"/>
              <w:autoSpaceDN w:val="0"/>
              <w:spacing w:before="93" w:beforeLines="30" w:after="93" w:afterLines="30"/>
              <w:jc w:val="center"/>
              <w:rPr>
                <w:rFonts w:hint="default" w:ascii="仿宋" w:hAnsi="仿宋" w:eastAsia="仿宋" w:cs="宋体"/>
                <w:b/>
                <w:color w:val="auto"/>
                <w:szCs w:val="21"/>
                <w:highlight w:val="none"/>
                <w:lang w:val="en-US" w:eastAsia="zh-CN"/>
              </w:rPr>
            </w:pPr>
            <w:r>
              <w:rPr>
                <w:rFonts w:hint="eastAsia" w:ascii="仿宋" w:hAnsi="仿宋" w:eastAsia="仿宋" w:cs="宋体"/>
                <w:b/>
                <w:color w:val="auto"/>
                <w:szCs w:val="21"/>
                <w:highlight w:val="none"/>
                <w:lang w:val="en-US" w:eastAsia="zh-CN"/>
              </w:rPr>
              <w:t>40</w:t>
            </w:r>
          </w:p>
        </w:tc>
        <w:tc>
          <w:tcPr>
            <w:tcW w:w="3091" w:type="dxa"/>
            <w:vMerge w:val="continue"/>
          </w:tcPr>
          <w:p>
            <w:pPr>
              <w:autoSpaceDE w:val="0"/>
              <w:autoSpaceDN w:val="0"/>
              <w:spacing w:before="93" w:beforeLines="30" w:after="93" w:afterLines="30"/>
              <w:jc w:val="center"/>
              <w:rPr>
                <w:rFonts w:hint="eastAsia" w:ascii="仿宋" w:hAnsi="仿宋" w:eastAsia="仿宋"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价格评审</w:t>
            </w:r>
          </w:p>
        </w:tc>
        <w:tc>
          <w:tcPr>
            <w:tcW w:w="3091" w:type="dxa"/>
            <w:vAlign w:val="center"/>
          </w:tcPr>
          <w:p>
            <w:pPr>
              <w:autoSpaceDE w:val="0"/>
              <w:autoSpaceDN w:val="0"/>
              <w:spacing w:before="93" w:beforeLines="30" w:after="93" w:afterLines="30"/>
              <w:jc w:val="center"/>
              <w:rPr>
                <w:rFonts w:hint="default" w:ascii="仿宋" w:hAnsi="仿宋" w:eastAsia="仿宋" w:cs="宋体"/>
                <w:b/>
                <w:color w:val="auto"/>
                <w:szCs w:val="21"/>
                <w:highlight w:val="none"/>
                <w:lang w:val="en-US" w:eastAsia="zh-CN"/>
              </w:rPr>
            </w:pPr>
            <w:r>
              <w:rPr>
                <w:rFonts w:hint="eastAsia" w:ascii="仿宋" w:hAnsi="仿宋" w:eastAsia="仿宋" w:cs="宋体"/>
                <w:b/>
                <w:color w:val="auto"/>
                <w:szCs w:val="21"/>
                <w:highlight w:val="none"/>
                <w:lang w:val="en-US" w:eastAsia="zh-CN"/>
              </w:rPr>
              <w:t>30</w:t>
            </w:r>
          </w:p>
        </w:tc>
        <w:tc>
          <w:tcPr>
            <w:tcW w:w="3091" w:type="dxa"/>
            <w:vMerge w:val="continue"/>
          </w:tcPr>
          <w:p>
            <w:pPr>
              <w:autoSpaceDE w:val="0"/>
              <w:autoSpaceDN w:val="0"/>
              <w:spacing w:before="93" w:beforeLines="30" w:after="93" w:afterLines="30"/>
              <w:jc w:val="center"/>
              <w:rPr>
                <w:rFonts w:hint="eastAsia" w:ascii="仿宋" w:hAnsi="仿宋" w:eastAsia="仿宋" w:cs="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总和</w:t>
            </w:r>
          </w:p>
        </w:tc>
        <w:tc>
          <w:tcPr>
            <w:tcW w:w="3091" w:type="dxa"/>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100</w:t>
            </w:r>
          </w:p>
        </w:tc>
        <w:tc>
          <w:tcPr>
            <w:tcW w:w="3091" w:type="dxa"/>
            <w:vMerge w:val="continue"/>
          </w:tcPr>
          <w:p>
            <w:pPr>
              <w:autoSpaceDE w:val="0"/>
              <w:autoSpaceDN w:val="0"/>
              <w:spacing w:before="93" w:beforeLines="30" w:after="93" w:afterLines="30"/>
              <w:jc w:val="center"/>
              <w:rPr>
                <w:rFonts w:hint="eastAsia" w:ascii="仿宋" w:hAnsi="仿宋" w:eastAsia="仿宋" w:cs="宋体"/>
                <w:b/>
                <w:color w:val="auto"/>
                <w:szCs w:val="21"/>
                <w:highlight w:val="none"/>
              </w:rPr>
            </w:pPr>
          </w:p>
        </w:tc>
      </w:tr>
    </w:tbl>
    <w:p>
      <w:pPr>
        <w:pStyle w:val="2"/>
        <w:numPr>
          <w:ilvl w:val="0"/>
          <w:numId w:val="0"/>
        </w:numPr>
        <w:spacing w:before="91" w:line="223" w:lineRule="auto"/>
        <w:outlineLvl w:val="1"/>
        <w:rPr>
          <w:rFonts w:hint="default"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pPr>
      <w:r>
        <w:rPr>
          <w:rFonts w:hint="eastAsia"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t>（2）</w:t>
      </w:r>
      <w:r>
        <w:rPr>
          <w:rFonts w:hint="default"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t>商务评分表：</w:t>
      </w:r>
    </w:p>
    <w:tbl>
      <w:tblPr>
        <w:tblStyle w:val="17"/>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68"/>
        <w:gridCol w:w="928"/>
        <w:gridCol w:w="6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bookmarkStart w:id="15" w:name="_Hlk164269056"/>
            <w:r>
              <w:rPr>
                <w:rFonts w:hint="eastAsia" w:ascii="仿宋" w:hAnsi="仿宋" w:eastAsia="仿宋" w:cs="宋体"/>
                <w:b/>
                <w:color w:val="auto"/>
                <w:szCs w:val="21"/>
                <w:highlight w:val="none"/>
              </w:rPr>
              <w:t>评分项</w:t>
            </w:r>
          </w:p>
        </w:tc>
        <w:tc>
          <w:tcPr>
            <w:tcW w:w="618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商务</w:t>
            </w:r>
          </w:p>
        </w:tc>
        <w:tc>
          <w:tcPr>
            <w:tcW w:w="6184" w:type="dxa"/>
            <w:shd w:val="clear" w:color="auto" w:fill="F1F1F1" w:themeFill="background1" w:themeFillShade="F2"/>
            <w:vAlign w:val="center"/>
          </w:tcPr>
          <w:p>
            <w:pPr>
              <w:autoSpaceDE w:val="0"/>
              <w:autoSpaceDN w:val="0"/>
              <w:spacing w:before="93" w:beforeLines="30" w:after="93" w:afterLines="30"/>
              <w:jc w:val="center"/>
              <w:rPr>
                <w:rFonts w:hint="default" w:ascii="仿宋" w:hAnsi="仿宋" w:eastAsia="仿宋" w:cs="宋体"/>
                <w:b/>
                <w:color w:val="auto"/>
                <w:szCs w:val="21"/>
                <w:highlight w:val="none"/>
                <w:lang w:val="en-US" w:eastAsia="zh-CN"/>
              </w:rPr>
            </w:pPr>
            <w:r>
              <w:rPr>
                <w:rFonts w:hint="eastAsia" w:ascii="仿宋" w:hAnsi="仿宋" w:eastAsia="仿宋" w:cs="宋体"/>
                <w:b/>
                <w:color w:val="auto"/>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序号</w:t>
            </w:r>
          </w:p>
        </w:tc>
        <w:tc>
          <w:tcPr>
            <w:tcW w:w="1068"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内容</w:t>
            </w:r>
          </w:p>
        </w:tc>
        <w:tc>
          <w:tcPr>
            <w:tcW w:w="928"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分值</w:t>
            </w:r>
          </w:p>
        </w:tc>
        <w:tc>
          <w:tcPr>
            <w:tcW w:w="6184"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w:t>
            </w:r>
          </w:p>
        </w:tc>
        <w:tc>
          <w:tcPr>
            <w:tcW w:w="1068"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default"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企业综合实力</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eastAsia"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6</w:t>
            </w:r>
          </w:p>
        </w:tc>
        <w:tc>
          <w:tcPr>
            <w:tcW w:w="6184" w:type="dxa"/>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根据投标人具备有效期内的以下管理体系认证证书情况进行评分，每具备一项以下认证证书得</w:t>
            </w:r>
            <w:r>
              <w:rPr>
                <w:rFonts w:hint="eastAsia" w:ascii="仿宋" w:hAnsi="仿宋" w:eastAsia="仿宋" w:cs="宋体"/>
                <w:bCs/>
                <w:color w:val="auto"/>
                <w:szCs w:val="21"/>
                <w:highlight w:val="none"/>
                <w:lang w:val="en-US" w:eastAsia="zh-CN"/>
              </w:rPr>
              <w:t>2</w:t>
            </w:r>
            <w:r>
              <w:rPr>
                <w:rFonts w:hint="eastAsia" w:ascii="仿宋" w:hAnsi="仿宋" w:eastAsia="仿宋" w:cs="宋体"/>
                <w:bCs/>
                <w:color w:val="auto"/>
                <w:szCs w:val="21"/>
                <w:highlight w:val="none"/>
              </w:rPr>
              <w:t>分，本项满分</w:t>
            </w:r>
            <w:r>
              <w:rPr>
                <w:rFonts w:hint="eastAsia" w:ascii="仿宋" w:hAnsi="仿宋" w:eastAsia="仿宋" w:cs="宋体"/>
                <w:bCs/>
                <w:color w:val="auto"/>
                <w:szCs w:val="21"/>
                <w:highlight w:val="none"/>
                <w:lang w:val="en-US" w:eastAsia="zh-CN"/>
              </w:rPr>
              <w:t>6</w:t>
            </w:r>
            <w:r>
              <w:rPr>
                <w:rFonts w:hint="eastAsia" w:ascii="仿宋" w:hAnsi="仿宋" w:eastAsia="仿宋" w:cs="宋体"/>
                <w:bCs/>
                <w:color w:val="auto"/>
                <w:szCs w:val="21"/>
                <w:highlight w:val="none"/>
              </w:rPr>
              <w:t>分。具体如下：</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1、具备有效期内的ISO9001质量管理体系认证的；</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2、具备有效期内的ISO20000信息技术服务管理体系认证的；</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3、具备有效期内的ISO27001信息安全管理体系认证的。</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注：需提供有效的证书复印件/扫描件作为证明材料，同时提供在全国认证认可信息公共服务平台（http://cx.cnca.cn/）对体系证书的信息查询截图作为评审依据，查询截图显示证书已暂停、失效或撤销的或证明材料不完整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2</w:t>
            </w:r>
          </w:p>
        </w:tc>
        <w:tc>
          <w:tcPr>
            <w:tcW w:w="1068"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eastAsia"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拟投入</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eastAsia"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服务团</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default"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队情况</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eastAsia" w:ascii="仿宋" w:hAnsi="仿宋" w:eastAsia="仿宋" w:cs="宋体"/>
                <w:bCs/>
                <w:color w:val="auto"/>
                <w:szCs w:val="21"/>
                <w:highlight w:val="none"/>
                <w:lang w:eastAsia="zh-CN"/>
              </w:rPr>
            </w:pPr>
            <w:r>
              <w:rPr>
                <w:rFonts w:hint="eastAsia" w:ascii="仿宋" w:hAnsi="仿宋" w:eastAsia="仿宋" w:cs="宋体"/>
                <w:bCs/>
                <w:color w:val="auto"/>
                <w:szCs w:val="21"/>
                <w:highlight w:val="none"/>
                <w:lang w:val="en-US" w:eastAsia="zh-CN"/>
              </w:rPr>
              <w:t>7</w:t>
            </w:r>
          </w:p>
        </w:tc>
        <w:tc>
          <w:tcPr>
            <w:tcW w:w="6184"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考察</w:t>
            </w:r>
            <w:r>
              <w:rPr>
                <w:rFonts w:hint="eastAsia" w:ascii="仿宋" w:hAnsi="仿宋" w:eastAsia="仿宋" w:cs="宋体"/>
                <w:bCs/>
                <w:color w:val="auto"/>
                <w:szCs w:val="21"/>
                <w:highlight w:val="none"/>
                <w:lang w:val="en-US" w:eastAsia="zh-CN"/>
              </w:rPr>
              <w:t>供应商</w:t>
            </w:r>
            <w:r>
              <w:rPr>
                <w:rFonts w:hint="eastAsia" w:ascii="仿宋" w:hAnsi="仿宋" w:eastAsia="仿宋" w:cs="宋体"/>
                <w:bCs/>
                <w:color w:val="auto"/>
                <w:szCs w:val="21"/>
                <w:highlight w:val="none"/>
              </w:rPr>
              <w:t>拟投入到本项目的服务人员情况，具体如下：</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1、项目经理情况（</w:t>
            </w:r>
            <w:r>
              <w:rPr>
                <w:rFonts w:hint="eastAsia" w:ascii="仿宋" w:hAnsi="仿宋" w:eastAsia="仿宋" w:cs="宋体"/>
                <w:bCs/>
                <w:color w:val="auto"/>
                <w:szCs w:val="21"/>
                <w:highlight w:val="none"/>
                <w:lang w:val="en-US" w:eastAsia="zh-CN"/>
              </w:rPr>
              <w:t>2.5</w:t>
            </w:r>
            <w:r>
              <w:rPr>
                <w:rFonts w:hint="eastAsia" w:ascii="仿宋" w:hAnsi="仿宋" w:eastAsia="仿宋" w:cs="宋体"/>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按照以下所列标准，根据本项目配置的项目经理情况进行打分，最终累加合计以下2项的得分。具体如下：</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（1）具有信息系统项目管理师的，得</w:t>
            </w:r>
            <w:r>
              <w:rPr>
                <w:rFonts w:hint="eastAsia" w:ascii="仿宋" w:hAnsi="仿宋" w:eastAsia="仿宋" w:cs="宋体"/>
                <w:bCs/>
                <w:color w:val="auto"/>
                <w:szCs w:val="21"/>
                <w:highlight w:val="none"/>
                <w:lang w:val="en-US" w:eastAsia="zh-CN"/>
              </w:rPr>
              <w:t>1.5</w:t>
            </w:r>
            <w:r>
              <w:rPr>
                <w:rFonts w:hint="eastAsia" w:ascii="仿宋" w:hAnsi="仿宋" w:eastAsia="仿宋" w:cs="宋体"/>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（2）具有</w:t>
            </w:r>
            <w:r>
              <w:rPr>
                <w:rFonts w:hint="eastAsia" w:ascii="仿宋" w:hAnsi="仿宋" w:eastAsia="仿宋" w:cs="宋体"/>
                <w:bCs/>
                <w:color w:val="auto"/>
                <w:szCs w:val="21"/>
                <w:highlight w:val="none"/>
                <w:lang w:val="en-US" w:eastAsia="zh-CN"/>
              </w:rPr>
              <w:t>PMP证书的</w:t>
            </w:r>
            <w:r>
              <w:rPr>
                <w:rFonts w:hint="eastAsia" w:ascii="仿宋" w:hAnsi="仿宋" w:eastAsia="仿宋" w:cs="宋体"/>
                <w:bCs/>
                <w:color w:val="auto"/>
                <w:szCs w:val="21"/>
                <w:highlight w:val="none"/>
              </w:rPr>
              <w:t>，得</w:t>
            </w:r>
            <w:r>
              <w:rPr>
                <w:rFonts w:hint="eastAsia" w:ascii="仿宋" w:hAnsi="仿宋" w:eastAsia="仿宋" w:cs="宋体"/>
                <w:bCs/>
                <w:color w:val="auto"/>
                <w:szCs w:val="21"/>
                <w:highlight w:val="none"/>
                <w:lang w:val="en-US" w:eastAsia="zh-CN"/>
              </w:rPr>
              <w:t>1</w:t>
            </w:r>
            <w:r>
              <w:rPr>
                <w:rFonts w:hint="eastAsia" w:ascii="仿宋" w:hAnsi="仿宋" w:eastAsia="仿宋" w:cs="宋体"/>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注1：①需提供项目经理的学历证书复印件或学信网查询截图作为证明材料，未提供则不得分。②提供</w:t>
            </w:r>
            <w:r>
              <w:rPr>
                <w:rFonts w:hint="eastAsia" w:ascii="仿宋" w:hAnsi="仿宋" w:eastAsia="仿宋" w:cs="宋体"/>
                <w:b/>
                <w:bCs w:val="0"/>
                <w:color w:val="auto"/>
                <w:szCs w:val="21"/>
                <w:highlight w:val="none"/>
                <w:lang w:val="en-US" w:eastAsia="zh-CN"/>
              </w:rPr>
              <w:t>近半年</w:t>
            </w:r>
            <w:r>
              <w:rPr>
                <w:rFonts w:hint="eastAsia" w:ascii="仿宋" w:hAnsi="仿宋" w:eastAsia="仿宋" w:cs="宋体"/>
                <w:bCs/>
                <w:color w:val="auto"/>
                <w:szCs w:val="21"/>
                <w:highlight w:val="none"/>
              </w:rPr>
              <w:t>以来任意一个月的有效缴纳社保的证明复印件，或单位代缴个人所得税税单等，未提供则不得分。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2、其他团队成员情况（</w:t>
            </w:r>
            <w:r>
              <w:rPr>
                <w:rFonts w:hint="eastAsia" w:ascii="仿宋" w:hAnsi="仿宋" w:eastAsia="仿宋" w:cs="宋体"/>
                <w:bCs/>
                <w:color w:val="auto"/>
                <w:szCs w:val="21"/>
                <w:highlight w:val="none"/>
                <w:lang w:val="en-US" w:eastAsia="zh-CN"/>
              </w:rPr>
              <w:t>4.5</w:t>
            </w:r>
            <w:r>
              <w:rPr>
                <w:rFonts w:hint="eastAsia" w:ascii="仿宋" w:hAnsi="仿宋" w:eastAsia="仿宋" w:cs="宋体"/>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按照以下所列标准，根据本项目配置的其他团队成员情况进行打分，最终累加合计以下3项的得分。具体如下：</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（1）具有存储专家级（HCIE-Storage）认证证书的，</w:t>
            </w:r>
            <w:r>
              <w:rPr>
                <w:rFonts w:hint="eastAsia" w:ascii="仿宋" w:hAnsi="仿宋" w:eastAsia="仿宋" w:cs="宋体"/>
                <w:bCs/>
                <w:color w:val="auto"/>
                <w:szCs w:val="21"/>
                <w:highlight w:val="none"/>
                <w:lang w:val="en-US" w:eastAsia="zh-CN"/>
              </w:rPr>
              <w:t>每提供1个得1.5分，最高</w:t>
            </w:r>
            <w:r>
              <w:rPr>
                <w:rFonts w:hint="eastAsia" w:ascii="仿宋" w:hAnsi="仿宋" w:eastAsia="仿宋" w:cs="宋体"/>
                <w:bCs/>
                <w:color w:val="auto"/>
                <w:szCs w:val="21"/>
                <w:highlight w:val="none"/>
              </w:rPr>
              <w:t>得</w:t>
            </w:r>
            <w:r>
              <w:rPr>
                <w:rFonts w:hint="eastAsia" w:ascii="仿宋" w:hAnsi="仿宋" w:eastAsia="仿宋" w:cs="宋体"/>
                <w:bCs/>
                <w:color w:val="auto"/>
                <w:szCs w:val="21"/>
                <w:highlight w:val="none"/>
                <w:lang w:val="en-US" w:eastAsia="zh-CN"/>
              </w:rPr>
              <w:t>3</w:t>
            </w:r>
            <w:r>
              <w:rPr>
                <w:rFonts w:hint="eastAsia" w:ascii="仿宋" w:hAnsi="仿宋" w:eastAsia="仿宋" w:cs="宋体"/>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lang w:eastAsia="zh-CN"/>
              </w:rPr>
            </w:pPr>
            <w:r>
              <w:rPr>
                <w:rFonts w:hint="eastAsia" w:ascii="仿宋" w:hAnsi="仿宋" w:eastAsia="仿宋" w:cs="宋体"/>
                <w:bCs/>
                <w:color w:val="auto"/>
                <w:szCs w:val="21"/>
                <w:highlight w:val="none"/>
              </w:rPr>
              <w:t>（2）具有云计算专家级（HCIE-Cloud Computing）认证证书的，得1.5分</w:t>
            </w:r>
            <w:r>
              <w:rPr>
                <w:rFonts w:hint="eastAsia" w:ascii="仿宋" w:hAnsi="仿宋" w:eastAsia="仿宋" w:cs="宋体"/>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注2：①需提供</w:t>
            </w:r>
            <w:r>
              <w:rPr>
                <w:rFonts w:hint="eastAsia" w:ascii="仿宋" w:hAnsi="仿宋" w:eastAsia="仿宋" w:cs="宋体"/>
                <w:bCs/>
                <w:color w:val="auto"/>
                <w:szCs w:val="21"/>
                <w:highlight w:val="none"/>
                <w:lang w:val="en-US" w:eastAsia="zh-CN"/>
              </w:rPr>
              <w:t>团队成员</w:t>
            </w:r>
            <w:r>
              <w:rPr>
                <w:rFonts w:hint="eastAsia" w:ascii="仿宋" w:hAnsi="仿宋" w:eastAsia="仿宋" w:cs="宋体"/>
                <w:bCs/>
                <w:color w:val="auto"/>
                <w:szCs w:val="21"/>
                <w:highlight w:val="none"/>
              </w:rPr>
              <w:t>的学历证书复印件或学信网查询截图作为证明材料，未提供则不得分。②提供</w:t>
            </w:r>
            <w:r>
              <w:rPr>
                <w:rFonts w:hint="eastAsia" w:ascii="仿宋" w:hAnsi="仿宋" w:eastAsia="仿宋" w:cs="宋体"/>
                <w:b/>
                <w:bCs w:val="0"/>
                <w:color w:val="auto"/>
                <w:szCs w:val="21"/>
                <w:highlight w:val="none"/>
                <w:lang w:val="en-US" w:eastAsia="zh-CN"/>
              </w:rPr>
              <w:t>近半年</w:t>
            </w:r>
            <w:r>
              <w:rPr>
                <w:rFonts w:hint="eastAsia" w:ascii="仿宋" w:hAnsi="仿宋" w:eastAsia="仿宋" w:cs="宋体"/>
                <w:bCs/>
                <w:color w:val="auto"/>
                <w:szCs w:val="21"/>
                <w:highlight w:val="none"/>
              </w:rPr>
              <w:t>以来任意一个月的有效缴纳社保的证明复印件，或单位代缴个人所得税税单等，未提供则不得分。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pPr>
              <w:spacing w:before="93" w:beforeLines="30" w:after="93" w:afterLines="30"/>
              <w:jc w:val="center"/>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3</w:t>
            </w:r>
          </w:p>
        </w:tc>
        <w:tc>
          <w:tcPr>
            <w:tcW w:w="1068"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同类项目经验</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rPr>
                <w:rFonts w:hint="default"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12</w:t>
            </w:r>
          </w:p>
        </w:tc>
        <w:tc>
          <w:tcPr>
            <w:tcW w:w="6184" w:type="dxa"/>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考察</w:t>
            </w:r>
            <w:r>
              <w:rPr>
                <w:rFonts w:hint="eastAsia" w:ascii="仿宋" w:hAnsi="仿宋" w:eastAsia="仿宋" w:cs="宋体"/>
                <w:bCs/>
                <w:color w:val="auto"/>
                <w:szCs w:val="21"/>
                <w:highlight w:val="none"/>
                <w:lang w:val="en-US" w:eastAsia="zh-CN"/>
              </w:rPr>
              <w:t>报价供应商</w:t>
            </w:r>
            <w:r>
              <w:rPr>
                <w:rFonts w:hint="eastAsia" w:ascii="仿宋" w:hAnsi="仿宋" w:eastAsia="仿宋" w:cs="宋体"/>
                <w:b/>
                <w:color w:val="auto"/>
                <w:szCs w:val="21"/>
                <w:highlight w:val="none"/>
              </w:rPr>
              <w:t>202</w:t>
            </w:r>
            <w:r>
              <w:rPr>
                <w:rFonts w:hint="eastAsia" w:ascii="仿宋" w:hAnsi="仿宋" w:eastAsia="仿宋" w:cs="宋体"/>
                <w:b/>
                <w:color w:val="auto"/>
                <w:szCs w:val="21"/>
                <w:highlight w:val="none"/>
                <w:lang w:val="en-US" w:eastAsia="zh-CN"/>
              </w:rPr>
              <w:t>2</w:t>
            </w:r>
            <w:r>
              <w:rPr>
                <w:rFonts w:hint="eastAsia" w:ascii="仿宋" w:hAnsi="仿宋" w:eastAsia="仿宋" w:cs="宋体"/>
                <w:b/>
                <w:color w:val="auto"/>
                <w:szCs w:val="21"/>
                <w:highlight w:val="none"/>
              </w:rPr>
              <w:t>年1月1日至今</w:t>
            </w:r>
            <w:r>
              <w:rPr>
                <w:rFonts w:hint="eastAsia" w:ascii="仿宋" w:hAnsi="仿宋" w:eastAsia="仿宋" w:cs="宋体"/>
                <w:bCs/>
                <w:color w:val="auto"/>
                <w:szCs w:val="21"/>
                <w:highlight w:val="none"/>
              </w:rPr>
              <w:t>（以合同签订日期为准），承接过与服务器、存储相关项目业绩的，每提供1个证明得3分，最高得1</w:t>
            </w:r>
            <w:r>
              <w:rPr>
                <w:rFonts w:hint="eastAsia" w:ascii="仿宋" w:hAnsi="仿宋" w:eastAsia="仿宋" w:cs="宋体"/>
                <w:bCs/>
                <w:color w:val="auto"/>
                <w:szCs w:val="21"/>
                <w:highlight w:val="none"/>
                <w:lang w:val="en-US" w:eastAsia="zh-CN"/>
              </w:rPr>
              <w:t>2</w:t>
            </w:r>
            <w:r>
              <w:rPr>
                <w:rFonts w:hint="eastAsia" w:ascii="仿宋" w:hAnsi="仿宋" w:eastAsia="仿宋" w:cs="宋体"/>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注：①须提供合同关键页（不限于签订合同双方的单位名称、合同名称、合同标的内容、合同金额页、合同签订页等）复印件作为证明材料，不提供不得分。②若合同无法说明项目内容符合上述同类项目经验范围，可提供甲方出具的相应证明文件作依据（证明文件须加盖合同甲方公司章或合同章，或甲方项目使用部门部门章）。③若合同无相关签订时间，则以合同中能够体现的服务起始时间进行认定。④证明材料不完整、不清晰、</w:t>
            </w:r>
            <w:r>
              <w:rPr>
                <w:rFonts w:hint="eastAsia" w:ascii="仿宋" w:hAnsi="仿宋" w:eastAsia="仿宋" w:cs="宋体"/>
                <w:bCs/>
                <w:color w:val="auto"/>
                <w:szCs w:val="21"/>
                <w:highlight w:val="none"/>
                <w:lang w:val="en-US" w:eastAsia="zh-CN"/>
              </w:rPr>
              <w:t>项目小组</w:t>
            </w:r>
            <w:r>
              <w:rPr>
                <w:rFonts w:hint="eastAsia" w:ascii="仿宋" w:hAnsi="仿宋" w:eastAsia="仿宋" w:cs="宋体"/>
                <w:bCs/>
                <w:color w:val="auto"/>
                <w:szCs w:val="21"/>
                <w:highlight w:val="none"/>
              </w:rPr>
              <w:t>无法确定业绩关键信息的将不予认可。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auto"/>
            <w:vAlign w:val="center"/>
          </w:tcPr>
          <w:p>
            <w:pPr>
              <w:spacing w:before="93" w:beforeLines="30" w:after="93" w:afterLines="30"/>
              <w:jc w:val="center"/>
              <w:outlineLvl w:val="9"/>
              <w:rPr>
                <w:rFonts w:hint="eastAsia" w:ascii="仿宋" w:hAnsi="仿宋" w:eastAsia="仿宋" w:cs="宋体"/>
                <w:bCs/>
                <w:color w:val="auto"/>
                <w:kern w:val="2"/>
                <w:sz w:val="21"/>
                <w:szCs w:val="21"/>
                <w:highlight w:val="none"/>
                <w:lang w:val="en-US" w:eastAsia="zh-CN" w:bidi="ar-SA"/>
              </w:rPr>
            </w:pPr>
            <w:r>
              <w:rPr>
                <w:rFonts w:hint="eastAsia" w:ascii="仿宋" w:hAnsi="仿宋" w:eastAsia="仿宋" w:cs="宋体"/>
                <w:bCs/>
                <w:color w:val="auto"/>
                <w:szCs w:val="21"/>
                <w:highlight w:val="none"/>
                <w:lang w:val="en-US" w:eastAsia="zh-CN"/>
              </w:rPr>
              <w:t>4</w:t>
            </w:r>
          </w:p>
        </w:tc>
        <w:tc>
          <w:tcPr>
            <w:tcW w:w="106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服务</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outlineLvl w:val="9"/>
              <w:rPr>
                <w:rFonts w:hint="eastAsia" w:ascii="仿宋" w:hAnsi="仿宋" w:eastAsia="仿宋" w:cs="宋体"/>
                <w:bCs/>
                <w:color w:val="auto"/>
                <w:kern w:val="2"/>
                <w:sz w:val="21"/>
                <w:szCs w:val="21"/>
                <w:highlight w:val="none"/>
                <w:lang w:val="en-US" w:eastAsia="zh-CN" w:bidi="ar-SA"/>
              </w:rPr>
            </w:pPr>
            <w:r>
              <w:rPr>
                <w:rFonts w:hint="eastAsia" w:ascii="仿宋" w:hAnsi="仿宋" w:eastAsia="仿宋" w:cs="宋体"/>
                <w:bCs/>
                <w:color w:val="auto"/>
                <w:szCs w:val="21"/>
                <w:highlight w:val="none"/>
              </w:rPr>
              <w:t>便捷性</w:t>
            </w:r>
          </w:p>
        </w:tc>
        <w:tc>
          <w:tcPr>
            <w:tcW w:w="92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jc w:val="center"/>
              <w:textAlignment w:val="auto"/>
              <w:outlineLvl w:val="9"/>
              <w:rPr>
                <w:rFonts w:hint="eastAsia" w:ascii="仿宋" w:hAnsi="仿宋" w:eastAsia="仿宋" w:cs="宋体"/>
                <w:bCs/>
                <w:color w:val="auto"/>
                <w:kern w:val="2"/>
                <w:sz w:val="21"/>
                <w:szCs w:val="21"/>
                <w:highlight w:val="none"/>
                <w:lang w:val="en-US" w:eastAsia="zh-CN" w:bidi="ar-SA"/>
              </w:rPr>
            </w:pPr>
            <w:r>
              <w:rPr>
                <w:rFonts w:hint="eastAsia" w:ascii="仿宋" w:hAnsi="仿宋" w:eastAsia="仿宋" w:cs="宋体"/>
                <w:bCs/>
                <w:color w:val="auto"/>
                <w:szCs w:val="21"/>
                <w:highlight w:val="none"/>
                <w:lang w:val="en-US" w:eastAsia="zh-CN"/>
              </w:rPr>
              <w:t>5</w:t>
            </w:r>
          </w:p>
        </w:tc>
        <w:tc>
          <w:tcPr>
            <w:tcW w:w="618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考察投标人本地服务支撑能力。投标人总部、分公司或服务团队在</w:t>
            </w:r>
            <w:r>
              <w:rPr>
                <w:rFonts w:hint="eastAsia" w:ascii="仿宋" w:hAnsi="仿宋" w:eastAsia="仿宋" w:cs="宋体"/>
                <w:bCs/>
                <w:color w:val="auto"/>
                <w:szCs w:val="21"/>
                <w:highlight w:val="none"/>
                <w:lang w:val="en-US" w:eastAsia="zh-CN"/>
              </w:rPr>
              <w:t>深圳</w:t>
            </w:r>
            <w:r>
              <w:rPr>
                <w:rFonts w:hint="eastAsia" w:ascii="仿宋" w:hAnsi="仿宋" w:eastAsia="仿宋" w:cs="宋体"/>
                <w:bCs/>
                <w:color w:val="auto"/>
                <w:szCs w:val="21"/>
                <w:highlight w:val="none"/>
              </w:rPr>
              <w:t>市的，或提供承诺函承诺中标后在</w:t>
            </w:r>
            <w:r>
              <w:rPr>
                <w:rFonts w:hint="eastAsia" w:ascii="仿宋" w:hAnsi="仿宋" w:eastAsia="仿宋" w:cs="宋体"/>
                <w:bCs/>
                <w:color w:val="auto"/>
                <w:szCs w:val="21"/>
                <w:highlight w:val="none"/>
                <w:lang w:val="en-US" w:eastAsia="zh-CN"/>
              </w:rPr>
              <w:t>深圳</w:t>
            </w:r>
            <w:r>
              <w:rPr>
                <w:rFonts w:hint="eastAsia" w:ascii="仿宋" w:hAnsi="仿宋" w:eastAsia="仿宋" w:cs="宋体"/>
                <w:bCs/>
                <w:color w:val="auto"/>
                <w:szCs w:val="21"/>
                <w:highlight w:val="none"/>
              </w:rPr>
              <w:t>市成立本地服务团队的，得</w:t>
            </w:r>
            <w:r>
              <w:rPr>
                <w:rFonts w:hint="eastAsia" w:ascii="仿宋" w:hAnsi="仿宋" w:eastAsia="仿宋" w:cs="宋体"/>
                <w:bCs/>
                <w:color w:val="auto"/>
                <w:szCs w:val="21"/>
                <w:highlight w:val="none"/>
                <w:lang w:val="en-US" w:eastAsia="zh-CN"/>
              </w:rPr>
              <w:t>5</w:t>
            </w:r>
            <w:r>
              <w:rPr>
                <w:rFonts w:hint="eastAsia" w:ascii="仿宋" w:hAnsi="仿宋" w:eastAsia="仿宋" w:cs="宋体"/>
                <w:bCs/>
                <w:color w:val="auto"/>
                <w:szCs w:val="21"/>
                <w:highlight w:val="none"/>
              </w:rPr>
              <w:t>分，否则不得分。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outlineLvl w:val="9"/>
              <w:rPr>
                <w:rFonts w:hint="eastAsia" w:ascii="仿宋" w:hAnsi="仿宋" w:eastAsia="仿宋" w:cs="宋体"/>
                <w:bCs/>
                <w:color w:val="auto"/>
                <w:kern w:val="2"/>
                <w:sz w:val="21"/>
                <w:szCs w:val="21"/>
                <w:highlight w:val="none"/>
                <w:lang w:val="en-US" w:eastAsia="zh-CN" w:bidi="ar-SA"/>
              </w:rPr>
            </w:pPr>
            <w:r>
              <w:rPr>
                <w:rFonts w:hint="eastAsia" w:ascii="仿宋" w:hAnsi="仿宋" w:eastAsia="仿宋" w:cs="宋体"/>
                <w:bCs/>
                <w:color w:val="auto"/>
                <w:szCs w:val="21"/>
                <w:highlight w:val="none"/>
              </w:rPr>
              <w:t>注：提供营业执照复印件，或有效期内的办公室租赁合同复印件（租赁合同租赁方须为投标人或其分支机构，租赁合同内容须体现租赁用途为写字楼或办公用途)，或承诺函（格式自拟）等证明文件。</w:t>
            </w:r>
          </w:p>
        </w:tc>
      </w:tr>
      <w:bookmarkEnd w:id="15"/>
    </w:tbl>
    <w:p>
      <w:pPr>
        <w:pStyle w:val="2"/>
        <w:numPr>
          <w:ilvl w:val="0"/>
          <w:numId w:val="0"/>
        </w:numPr>
        <w:spacing w:before="91" w:line="223" w:lineRule="auto"/>
        <w:outlineLvl w:val="1"/>
        <w:rPr>
          <w:rFonts w:hint="default"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pPr>
      <w:r>
        <w:rPr>
          <w:rFonts w:hint="eastAsia"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t>（3）</w:t>
      </w:r>
      <w:r>
        <w:rPr>
          <w:rFonts w:hint="default"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t>技术评分表：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评分项</w:t>
            </w:r>
          </w:p>
        </w:tc>
        <w:tc>
          <w:tcPr>
            <w:tcW w:w="6135"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技术</w:t>
            </w:r>
          </w:p>
        </w:tc>
        <w:tc>
          <w:tcPr>
            <w:tcW w:w="6135" w:type="dxa"/>
            <w:shd w:val="clear" w:color="auto" w:fill="F1F1F1" w:themeFill="background1" w:themeFillShade="F2"/>
            <w:vAlign w:val="center"/>
          </w:tcPr>
          <w:p>
            <w:pPr>
              <w:autoSpaceDE w:val="0"/>
              <w:autoSpaceDN w:val="0"/>
              <w:spacing w:before="93" w:beforeLines="30" w:after="93" w:afterLines="30"/>
              <w:jc w:val="center"/>
              <w:rPr>
                <w:rFonts w:hint="default" w:ascii="仿宋" w:hAnsi="仿宋" w:eastAsia="仿宋" w:cs="宋体"/>
                <w:b/>
                <w:color w:val="auto"/>
                <w:szCs w:val="21"/>
                <w:highlight w:val="none"/>
                <w:lang w:val="en-US" w:eastAsia="zh-CN"/>
              </w:rPr>
            </w:pPr>
            <w:r>
              <w:rPr>
                <w:rFonts w:hint="eastAsia" w:ascii="仿宋" w:hAnsi="仿宋" w:eastAsia="仿宋" w:cs="宋体"/>
                <w:b/>
                <w:color w:val="auto"/>
                <w:szCs w:val="21"/>
                <w:highlight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序号</w:t>
            </w:r>
          </w:p>
        </w:tc>
        <w:tc>
          <w:tcPr>
            <w:tcW w:w="1134"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内容</w:t>
            </w:r>
          </w:p>
        </w:tc>
        <w:tc>
          <w:tcPr>
            <w:tcW w:w="851" w:type="dxa"/>
            <w:shd w:val="clear" w:color="auto" w:fill="F1F1F1" w:themeFill="background1" w:themeFillShade="F2"/>
            <w:vAlign w:val="center"/>
          </w:tcPr>
          <w:p>
            <w:pPr>
              <w:autoSpaceDE w:val="0"/>
              <w:autoSpaceDN w:val="0"/>
              <w:spacing w:before="93" w:beforeLines="30" w:after="93" w:afterLines="30"/>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分值</w:t>
            </w:r>
          </w:p>
        </w:tc>
        <w:tc>
          <w:tcPr>
            <w:tcW w:w="6135" w:type="dxa"/>
            <w:shd w:val="clear" w:color="auto" w:fill="F1F1F1" w:themeFill="background1" w:themeFillShade="F2"/>
          </w:tcPr>
          <w:p>
            <w:pPr>
              <w:autoSpaceDE w:val="0"/>
              <w:autoSpaceDN w:val="0"/>
              <w:spacing w:before="93" w:beforeLines="30" w:after="93" w:afterLines="30"/>
              <w:jc w:val="center"/>
              <w:rPr>
                <w:rFonts w:ascii="仿宋" w:hAnsi="仿宋" w:eastAsia="仿宋" w:cs="宋体"/>
                <w:b/>
                <w:color w:val="auto"/>
                <w:szCs w:val="21"/>
                <w:highlight w:val="none"/>
              </w:rPr>
            </w:pPr>
            <w:r>
              <w:rPr>
                <w:rFonts w:hint="eastAsia" w:ascii="仿宋" w:hAnsi="仿宋" w:eastAsia="仿宋" w:cs="宋体"/>
                <w:b/>
                <w:color w:val="auto"/>
                <w:szCs w:val="21"/>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4" w:type="dxa"/>
            <w:shd w:val="clear" w:color="auto" w:fill="auto"/>
            <w:vAlign w:val="center"/>
          </w:tcPr>
          <w:p>
            <w:pPr>
              <w:autoSpaceDE w:val="0"/>
              <w:autoSpaceDN w:val="0"/>
              <w:spacing w:before="93" w:beforeLines="30" w:after="93" w:afterLines="30"/>
              <w:jc w:val="center"/>
              <w:outlineLvl w:val="9"/>
              <w:rPr>
                <w:rFonts w:ascii="仿宋" w:hAnsi="仿宋" w:eastAsia="仿宋" w:cs="宋体"/>
                <w:bCs/>
                <w:color w:val="auto"/>
                <w:szCs w:val="21"/>
                <w:highlight w:val="none"/>
              </w:rPr>
            </w:pPr>
            <w:bookmarkStart w:id="16" w:name="_Hlk164272136"/>
            <w:r>
              <w:rPr>
                <w:rFonts w:ascii="仿宋" w:hAnsi="仿宋" w:eastAsia="仿宋" w:cs="宋体"/>
                <w:bCs/>
                <w:color w:val="auto"/>
                <w:szCs w:val="21"/>
                <w:highlight w:val="none"/>
              </w:rPr>
              <w:t>1</w:t>
            </w:r>
          </w:p>
        </w:tc>
        <w:tc>
          <w:tcPr>
            <w:tcW w:w="1134"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jc w:val="center"/>
              <w:textAlignment w:val="auto"/>
              <w:outlineLvl w:val="9"/>
              <w:rPr>
                <w:rFonts w:hint="default"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项目实施方案</w:t>
            </w:r>
          </w:p>
        </w:tc>
        <w:tc>
          <w:tcPr>
            <w:tcW w:w="851"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jc w:val="center"/>
              <w:textAlignment w:val="auto"/>
              <w:outlineLvl w:val="9"/>
              <w:rPr>
                <w:rFonts w:hint="default"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20</w:t>
            </w:r>
          </w:p>
        </w:tc>
        <w:tc>
          <w:tcPr>
            <w:tcW w:w="613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考察报价供应商针对本项目需求所编写的技术实施方案情况。技术实施方案包括但不限于需求理解、技术支持、售后服务等内容。根据上述内容要点进行综合评分，具体如下：</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1、实施方案规划详细、科学合理、契合实际情况，符合项目进度要求，项目管理架构清晰，可行性较高，得20分；</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2、实施方案规划较详细、合理，基本契合实际情况，符合项目进度要求，项目管理架构较为清晰，具有一定可行性，得15分；</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3、实施方案规划一般，内容较为笼统，上述所列的内容要点存在欠缺，需进一步细化才能满足实际需求，可行性一般，得10分；</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4、实施方案内容不完善，无法有效体现上述所列各要点或存在严重的偏差，与项目要求关联性差，可操作性较差，得5分；</w:t>
            </w:r>
          </w:p>
          <w:p>
            <w:pPr>
              <w:keepNext w:val="0"/>
              <w:keepLines w:val="0"/>
              <w:pageBreakBefore w:val="0"/>
              <w:widowControl w:val="0"/>
              <w:kinsoku/>
              <w:wordWrap/>
              <w:overflowPunct/>
              <w:topLinePunct w:val="0"/>
              <w:autoSpaceDE w:val="0"/>
              <w:autoSpaceDN w:val="0"/>
              <w:bidi w:val="0"/>
              <w:adjustRightInd/>
              <w:snapToGrid/>
              <w:spacing w:before="93" w:beforeLines="30" w:after="93" w:afterLines="30" w:line="240" w:lineRule="exact"/>
              <w:textAlignment w:val="auto"/>
              <w:outlineLvl w:val="9"/>
              <w:rPr>
                <w:rFonts w:ascii="仿宋" w:hAnsi="仿宋" w:eastAsia="仿宋" w:cs="宋体"/>
                <w:bCs/>
                <w:color w:val="auto"/>
                <w:szCs w:val="21"/>
                <w:highlight w:val="none"/>
              </w:rPr>
            </w:pPr>
            <w:r>
              <w:rPr>
                <w:rFonts w:hint="eastAsia" w:ascii="仿宋" w:hAnsi="仿宋" w:eastAsia="仿宋" w:cs="宋体"/>
                <w:bCs/>
                <w:color w:val="auto"/>
                <w:szCs w:val="21"/>
                <w:highlight w:val="none"/>
              </w:rPr>
              <w:t>5、未提供相关内容则不得分。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outlineLvl w:val="9"/>
              <w:rPr>
                <w:rFonts w:ascii="仿宋" w:hAnsi="仿宋" w:eastAsia="仿宋" w:cs="宋体"/>
                <w:bCs/>
                <w:color w:val="auto"/>
                <w:szCs w:val="21"/>
                <w:highlight w:val="none"/>
              </w:rPr>
            </w:pPr>
            <w:bookmarkStart w:id="17" w:name="_Hlk163650616"/>
            <w:r>
              <w:rPr>
                <w:rFonts w:hint="eastAsia" w:ascii="仿宋" w:hAnsi="仿宋" w:eastAsia="仿宋" w:cs="宋体"/>
                <w:bCs/>
                <w:color w:val="auto"/>
                <w:szCs w:val="21"/>
                <w:highlight w:val="none"/>
              </w:rPr>
              <w:t>2</w:t>
            </w:r>
          </w:p>
        </w:tc>
        <w:tc>
          <w:tcPr>
            <w:tcW w:w="1134" w:type="dxa"/>
            <w:vAlign w:val="center"/>
          </w:tcPr>
          <w:p>
            <w:pPr>
              <w:keepNext w:val="0"/>
              <w:keepLines w:val="0"/>
              <w:pageBreakBefore w:val="0"/>
              <w:widowControl w:val="0"/>
              <w:kinsoku/>
              <w:wordWrap/>
              <w:overflowPunct/>
              <w:topLinePunct w:val="0"/>
              <w:bidi w:val="0"/>
              <w:adjustRightInd/>
              <w:snapToGrid/>
              <w:spacing w:before="93" w:beforeLines="30" w:after="93" w:afterLines="30" w:line="240" w:lineRule="exact"/>
              <w:jc w:val="center"/>
              <w:textAlignment w:val="auto"/>
              <w:outlineLvl w:val="9"/>
              <w:rPr>
                <w:rFonts w:ascii="仿宋" w:hAnsi="仿宋" w:eastAsia="仿宋" w:cs="宋体"/>
                <w:bCs/>
                <w:color w:val="auto"/>
                <w:szCs w:val="21"/>
                <w:highlight w:val="none"/>
              </w:rPr>
            </w:pPr>
            <w:r>
              <w:rPr>
                <w:rFonts w:hint="eastAsia" w:ascii="仿宋" w:hAnsi="仿宋" w:eastAsia="仿宋" w:cs="宋体"/>
                <w:bCs/>
                <w:color w:val="auto"/>
                <w:szCs w:val="21"/>
                <w:highlight w:val="none"/>
              </w:rPr>
              <w:t>项目执行进度计划</w:t>
            </w:r>
          </w:p>
        </w:tc>
        <w:tc>
          <w:tcPr>
            <w:tcW w:w="851" w:type="dxa"/>
            <w:vAlign w:val="center"/>
          </w:tcPr>
          <w:p>
            <w:pPr>
              <w:keepNext w:val="0"/>
              <w:keepLines w:val="0"/>
              <w:pageBreakBefore w:val="0"/>
              <w:widowControl w:val="0"/>
              <w:kinsoku/>
              <w:wordWrap/>
              <w:overflowPunct/>
              <w:topLinePunct w:val="0"/>
              <w:bidi w:val="0"/>
              <w:adjustRightInd/>
              <w:snapToGrid/>
              <w:spacing w:before="93" w:beforeLines="30" w:after="93" w:afterLines="30" w:line="240" w:lineRule="exact"/>
              <w:jc w:val="center"/>
              <w:textAlignment w:val="auto"/>
              <w:outlineLvl w:val="9"/>
              <w:rPr>
                <w:rFonts w:hint="default"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20</w:t>
            </w:r>
          </w:p>
        </w:tc>
        <w:tc>
          <w:tcPr>
            <w:tcW w:w="6135" w:type="dxa"/>
            <w:vAlign w:val="top"/>
          </w:tcPr>
          <w:p>
            <w:pPr>
              <w:keepNext w:val="0"/>
              <w:keepLines w:val="0"/>
              <w:pageBreakBefore w:val="0"/>
              <w:widowControl w:val="0"/>
              <w:kinsoku/>
              <w:wordWrap/>
              <w:overflowPunct/>
              <w:topLinePunct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考察报价供应商针对本项目所编制的详细实施进度安排。实施进度安排应包含人员安排、时间安排、难点重点分析等内容。根据上述内容要点进行综合评分，具体如下：</w:t>
            </w:r>
          </w:p>
          <w:p>
            <w:pPr>
              <w:keepNext w:val="0"/>
              <w:keepLines w:val="0"/>
              <w:pageBreakBefore w:val="0"/>
              <w:widowControl w:val="0"/>
              <w:kinsoku/>
              <w:wordWrap/>
              <w:overflowPunct/>
              <w:topLinePunct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1、计划进度详细、思路清晰，能够覆盖上述所列各要点内容，可行性强，能够满足实际需求，得20分；</w:t>
            </w:r>
          </w:p>
          <w:p>
            <w:pPr>
              <w:keepNext w:val="0"/>
              <w:keepLines w:val="0"/>
              <w:pageBreakBefore w:val="0"/>
              <w:widowControl w:val="0"/>
              <w:kinsoku/>
              <w:wordWrap/>
              <w:overflowPunct/>
              <w:topLinePunct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2、计划进度比较详细，思路也比较清晰，基本能够覆盖上述所列各要点内容，可行性较强，基本能够满足实际需求，得15分；</w:t>
            </w:r>
          </w:p>
          <w:p>
            <w:pPr>
              <w:keepNext w:val="0"/>
              <w:keepLines w:val="0"/>
              <w:pageBreakBefore w:val="0"/>
              <w:widowControl w:val="0"/>
              <w:kinsoku/>
              <w:wordWrap/>
              <w:overflowPunct/>
              <w:topLinePunct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3、计划进度一般，整体内容较为笼统，上述所列的内容要点存在欠缺，可行性一般，得10分；</w:t>
            </w:r>
          </w:p>
          <w:p>
            <w:pPr>
              <w:keepNext w:val="0"/>
              <w:keepLines w:val="0"/>
              <w:pageBreakBefore w:val="0"/>
              <w:widowControl w:val="0"/>
              <w:kinsoku/>
              <w:wordWrap/>
              <w:overflowPunct/>
              <w:topLinePunct w:val="0"/>
              <w:bidi w:val="0"/>
              <w:adjustRightInd/>
              <w:snapToGrid/>
              <w:spacing w:before="93" w:beforeLines="30" w:after="93" w:afterLines="30" w:line="240" w:lineRule="exact"/>
              <w:textAlignment w:val="auto"/>
              <w:outlineLvl w:val="9"/>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4、计划进度较差，无法体现上述所列各要点或存在严重的偏差，可行性较差，得5分；</w:t>
            </w:r>
          </w:p>
          <w:p>
            <w:pPr>
              <w:keepNext w:val="0"/>
              <w:keepLines w:val="0"/>
              <w:pageBreakBefore w:val="0"/>
              <w:widowControl w:val="0"/>
              <w:kinsoku/>
              <w:wordWrap/>
              <w:overflowPunct/>
              <w:topLinePunct w:val="0"/>
              <w:bidi w:val="0"/>
              <w:adjustRightInd/>
              <w:snapToGrid/>
              <w:spacing w:before="93" w:beforeLines="30" w:after="93" w:afterLines="30" w:line="240" w:lineRule="exact"/>
              <w:textAlignment w:val="auto"/>
              <w:outlineLvl w:val="9"/>
              <w:rPr>
                <w:rFonts w:ascii="仿宋" w:hAnsi="仿宋" w:eastAsia="仿宋" w:cs="宋体"/>
                <w:bCs/>
                <w:color w:val="auto"/>
                <w:szCs w:val="21"/>
                <w:highlight w:val="none"/>
              </w:rPr>
            </w:pPr>
            <w:r>
              <w:rPr>
                <w:rFonts w:hint="eastAsia" w:ascii="仿宋" w:hAnsi="仿宋" w:eastAsia="仿宋" w:cs="宋体"/>
                <w:bCs/>
                <w:color w:val="auto"/>
                <w:szCs w:val="21"/>
                <w:highlight w:val="none"/>
              </w:rPr>
              <w:t>5、未提供相关内容则不得分。</w:t>
            </w:r>
          </w:p>
        </w:tc>
      </w:tr>
      <w:bookmarkEnd w:id="16"/>
      <w:bookmarkEnd w:id="17"/>
    </w:tbl>
    <w:p>
      <w:pPr>
        <w:pStyle w:val="2"/>
        <w:numPr>
          <w:ilvl w:val="0"/>
          <w:numId w:val="0"/>
        </w:numPr>
        <w:spacing w:before="91" w:line="223" w:lineRule="auto"/>
        <w:outlineLvl w:val="1"/>
        <w:rPr>
          <w:rFonts w:hint="default"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b w:val="0"/>
          <w:bCs w:val="0"/>
          <w:color w:val="auto"/>
          <w:spacing w:val="-3"/>
          <w:sz w:val="28"/>
          <w:szCs w:val="28"/>
          <w:highlight w:val="none"/>
          <w:lang w:val="en-US" w:eastAsia="zh-CN"/>
          <w14:textOutline w14:w="5103" w14:cap="sq" w14:cmpd="sng">
            <w14:solidFill>
              <w14:srgbClr w14:val="000000"/>
            </w14:solidFill>
            <w14:prstDash w14:val="solid"/>
            <w14:bevel/>
          </w14:textOutline>
        </w:rPr>
        <w:t>（4）价格评分表：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评分项</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价格</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default" w:ascii="仿宋" w:hAnsi="仿宋" w:eastAsia="仿宋" w:cs="宋体"/>
                <w:b/>
                <w:color w:val="auto"/>
                <w:szCs w:val="21"/>
                <w:highlight w:val="none"/>
                <w:lang w:val="en-US" w:eastAsia="zh-CN"/>
              </w:rPr>
            </w:pPr>
            <w:r>
              <w:rPr>
                <w:rFonts w:hint="eastAsia" w:ascii="仿宋" w:hAnsi="仿宋" w:eastAsia="仿宋" w:cs="宋体"/>
                <w:b/>
                <w:color w:val="auto"/>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序号</w:t>
            </w:r>
          </w:p>
        </w:tc>
        <w:tc>
          <w:tcPr>
            <w:tcW w:w="113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内容</w:t>
            </w:r>
          </w:p>
        </w:tc>
        <w:tc>
          <w:tcPr>
            <w:tcW w:w="851"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分值</w:t>
            </w:r>
          </w:p>
        </w:tc>
        <w:tc>
          <w:tcPr>
            <w:tcW w:w="6146"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color w:val="auto"/>
                <w:szCs w:val="21"/>
                <w:highlight w:val="none"/>
              </w:rPr>
            </w:pPr>
            <w:r>
              <w:rPr>
                <w:rFonts w:hint="eastAsia" w:ascii="仿宋" w:hAnsi="仿宋" w:eastAsia="仿宋" w:cs="宋体"/>
                <w:b/>
                <w:color w:val="auto"/>
                <w:szCs w:val="21"/>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1</w:t>
            </w:r>
          </w:p>
        </w:tc>
        <w:tc>
          <w:tcPr>
            <w:tcW w:w="1134" w:type="dxa"/>
            <w:vAlign w:val="center"/>
          </w:tcPr>
          <w:p>
            <w:pPr>
              <w:spacing w:before="93" w:beforeLines="30" w:after="93" w:afterLines="30"/>
              <w:jc w:val="center"/>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价格分</w:t>
            </w:r>
          </w:p>
        </w:tc>
        <w:tc>
          <w:tcPr>
            <w:tcW w:w="851" w:type="dxa"/>
            <w:vAlign w:val="center"/>
          </w:tcPr>
          <w:p>
            <w:pPr>
              <w:spacing w:before="93" w:beforeLines="30" w:after="93" w:afterLines="30"/>
              <w:jc w:val="center"/>
              <w:rPr>
                <w:rFonts w:hint="default" w:ascii="仿宋" w:hAnsi="仿宋" w:eastAsia="仿宋" w:cs="宋体"/>
                <w:bCs/>
                <w:color w:val="auto"/>
                <w:szCs w:val="21"/>
                <w:highlight w:val="none"/>
                <w:lang w:val="en-US" w:eastAsia="zh-CN"/>
              </w:rPr>
            </w:pPr>
            <w:r>
              <w:rPr>
                <w:rFonts w:hint="eastAsia" w:ascii="仿宋" w:hAnsi="仿宋" w:eastAsia="仿宋" w:cs="宋体"/>
                <w:bCs/>
                <w:color w:val="auto"/>
                <w:szCs w:val="21"/>
                <w:highlight w:val="none"/>
                <w:lang w:val="en-US" w:eastAsia="zh-CN"/>
              </w:rPr>
              <w:t>30</w:t>
            </w:r>
          </w:p>
        </w:tc>
        <w:tc>
          <w:tcPr>
            <w:tcW w:w="6146" w:type="dxa"/>
          </w:tcPr>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本项目价格分统一采用</w:t>
            </w:r>
            <w:r>
              <w:rPr>
                <w:rFonts w:hint="eastAsia" w:ascii="仿宋" w:hAnsi="仿宋" w:eastAsia="仿宋" w:cs="宋体"/>
                <w:bCs/>
                <w:color w:val="auto"/>
                <w:szCs w:val="21"/>
                <w:highlight w:val="none"/>
                <w:u w:val="single"/>
              </w:rPr>
              <w:t>低价优先法</w:t>
            </w:r>
            <w:r>
              <w:rPr>
                <w:rFonts w:hint="eastAsia" w:ascii="仿宋" w:hAnsi="仿宋" w:eastAsia="仿宋" w:cs="宋体"/>
                <w:bCs/>
                <w:color w:val="auto"/>
                <w:szCs w:val="21"/>
                <w:highlight w:val="none"/>
              </w:rPr>
              <w:t>计算，即满足</w:t>
            </w:r>
            <w:r>
              <w:rPr>
                <w:rFonts w:hint="eastAsia" w:ascii="仿宋" w:hAnsi="仿宋" w:eastAsia="仿宋" w:cs="宋体"/>
                <w:bCs/>
                <w:color w:val="auto"/>
                <w:szCs w:val="21"/>
                <w:highlight w:val="none"/>
                <w:lang w:val="en-US" w:eastAsia="zh-CN"/>
              </w:rPr>
              <w:t>采购</w:t>
            </w:r>
            <w:r>
              <w:rPr>
                <w:rFonts w:hint="eastAsia" w:ascii="仿宋" w:hAnsi="仿宋" w:eastAsia="仿宋" w:cs="宋体"/>
                <w:bCs/>
                <w:color w:val="auto"/>
                <w:szCs w:val="21"/>
                <w:highlight w:val="none"/>
              </w:rPr>
              <w:t>文件要求且最后</w:t>
            </w:r>
            <w:r>
              <w:rPr>
                <w:rFonts w:hint="eastAsia" w:ascii="仿宋" w:hAnsi="仿宋" w:eastAsia="仿宋" w:cs="宋体"/>
                <w:bCs/>
                <w:color w:val="auto"/>
                <w:szCs w:val="21"/>
                <w:highlight w:val="none"/>
                <w:lang w:val="en-US" w:eastAsia="zh-CN"/>
              </w:rPr>
              <w:t>不</w:t>
            </w:r>
            <w:r>
              <w:rPr>
                <w:rFonts w:hint="eastAsia" w:ascii="仿宋" w:hAnsi="仿宋" w:eastAsia="仿宋" w:cs="宋体"/>
                <w:bCs/>
                <w:color w:val="auto"/>
                <w:szCs w:val="21"/>
                <w:highlight w:val="none"/>
              </w:rPr>
              <w:t>含税总价报价为最低的投标人报价作为基准价，其价格得分为满分，满分为</w:t>
            </w:r>
            <w:r>
              <w:rPr>
                <w:rFonts w:hint="eastAsia" w:ascii="仿宋" w:hAnsi="仿宋" w:eastAsia="仿宋" w:cs="宋体"/>
                <w:bCs/>
                <w:color w:val="auto"/>
                <w:szCs w:val="21"/>
                <w:highlight w:val="none"/>
                <w:lang w:val="en-US" w:eastAsia="zh-CN"/>
              </w:rPr>
              <w:t>3</w:t>
            </w:r>
            <w:r>
              <w:rPr>
                <w:rFonts w:hint="eastAsia" w:ascii="仿宋" w:hAnsi="仿宋" w:eastAsia="仿宋" w:cs="宋体"/>
                <w:bCs/>
                <w:color w:val="auto"/>
                <w:szCs w:val="21"/>
                <w:highlight w:val="none"/>
              </w:rPr>
              <w:t>0分。具体公式如下：</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报价得分=（基准价/有效评审价）×价格分分值。</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说明：本项目有效评审价为通过初步评审的</w:t>
            </w:r>
            <w:r>
              <w:rPr>
                <w:rFonts w:hint="eastAsia" w:ascii="仿宋" w:hAnsi="仿宋" w:eastAsia="仿宋" w:cs="宋体"/>
                <w:bCs/>
                <w:color w:val="auto"/>
                <w:szCs w:val="21"/>
                <w:highlight w:val="none"/>
                <w:lang w:val="en-US" w:eastAsia="zh-CN"/>
              </w:rPr>
              <w:t>报价供应商</w:t>
            </w:r>
            <w:r>
              <w:rPr>
                <w:rFonts w:hint="eastAsia" w:ascii="仿宋" w:hAnsi="仿宋" w:eastAsia="仿宋" w:cs="宋体"/>
                <w:bCs/>
                <w:color w:val="auto"/>
                <w:szCs w:val="21"/>
                <w:highlight w:val="none"/>
              </w:rPr>
              <w:t>项目总价（</w:t>
            </w:r>
            <w:r>
              <w:rPr>
                <w:rFonts w:hint="eastAsia" w:ascii="仿宋" w:hAnsi="仿宋" w:eastAsia="仿宋" w:cs="宋体"/>
                <w:bCs/>
                <w:color w:val="auto"/>
                <w:szCs w:val="21"/>
                <w:highlight w:val="none"/>
                <w:lang w:val="en-US" w:eastAsia="zh-CN"/>
              </w:rPr>
              <w:t>不增值</w:t>
            </w:r>
            <w:r>
              <w:rPr>
                <w:rFonts w:hint="eastAsia" w:ascii="仿宋" w:hAnsi="仿宋" w:eastAsia="仿宋" w:cs="宋体"/>
                <w:bCs/>
                <w:color w:val="auto"/>
                <w:szCs w:val="21"/>
                <w:highlight w:val="none"/>
              </w:rPr>
              <w:t>含税）。如价格有算术性修正，请以修正后的价格为准。</w:t>
            </w:r>
          </w:p>
          <w:p>
            <w:pPr>
              <w:keepNext w:val="0"/>
              <w:keepLines w:val="0"/>
              <w:pageBreakBefore w:val="0"/>
              <w:widowControl w:val="0"/>
              <w:kinsoku/>
              <w:wordWrap/>
              <w:overflowPunct/>
              <w:topLinePunct w:val="0"/>
              <w:autoSpaceDE/>
              <w:autoSpaceDN/>
              <w:bidi w:val="0"/>
              <w:adjustRightInd/>
              <w:snapToGrid/>
              <w:spacing w:before="93" w:beforeLines="30" w:after="93" w:afterLines="30" w:line="240" w:lineRule="exact"/>
              <w:textAlignment w:val="auto"/>
              <w:rPr>
                <w:rFonts w:hint="eastAsia" w:ascii="仿宋" w:hAnsi="仿宋" w:eastAsia="仿宋" w:cs="宋体"/>
                <w:bCs/>
                <w:color w:val="auto"/>
                <w:szCs w:val="21"/>
                <w:highlight w:val="none"/>
              </w:rPr>
            </w:pPr>
            <w:r>
              <w:rPr>
                <w:rFonts w:hint="eastAsia" w:ascii="仿宋" w:hAnsi="仿宋" w:eastAsia="仿宋" w:cs="宋体"/>
                <w:bCs/>
                <w:color w:val="auto"/>
                <w:szCs w:val="21"/>
                <w:highlight w:val="none"/>
              </w:rPr>
              <w:t>备注：价格得分四舍五入，小数点后保留两位有效数。</w:t>
            </w:r>
          </w:p>
        </w:tc>
      </w:tr>
    </w:tbl>
    <w:p>
      <w:pPr>
        <w:pStyle w:val="28"/>
        <w:keepNext/>
        <w:keepLines/>
        <w:pageBreakBefore w:val="0"/>
        <w:widowControl w:val="0"/>
        <w:kinsoku/>
        <w:wordWrap/>
        <w:overflowPunct/>
        <w:topLinePunct w:val="0"/>
        <w:autoSpaceDE/>
        <w:autoSpaceDN/>
        <w:bidi w:val="0"/>
        <w:adjustRightInd/>
        <w:snapToGrid w:val="0"/>
        <w:spacing w:before="0" w:after="0"/>
        <w:jc w:val="both"/>
        <w:textAlignment w:val="auto"/>
        <w:outlineLvl w:val="9"/>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评审程序</w:t>
      </w:r>
      <w:bookmarkEnd w:id="8"/>
      <w:bookmarkEnd w:id="9"/>
      <w:bookmarkEnd w:id="10"/>
      <w:bookmarkEnd w:id="11"/>
      <w:bookmarkEnd w:id="12"/>
      <w:bookmarkEnd w:id="13"/>
      <w:bookmarkEnd w:id="14"/>
    </w:p>
    <w:p>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w:t>
      </w: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.1初步评审</w:t>
      </w:r>
    </w:p>
    <w:p>
      <w:pPr>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3.3.1.1</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根据本章评审办法前附表规定的标准对</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进行初步评审。对全部</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进行初步评审，检查</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是否完全满足采购文件要求。初步评审分为</w:t>
      </w:r>
      <w:r>
        <w:rPr>
          <w:rFonts w:hint="eastAsia" w:ascii="仿宋" w:hAnsi="仿宋" w:eastAsia="仿宋" w:cs="仿宋"/>
          <w:color w:val="auto"/>
          <w:kern w:val="0"/>
          <w:sz w:val="24"/>
          <w:szCs w:val="24"/>
          <w:highlight w:val="none"/>
        </w:rPr>
        <w:t>形式及响应性评审</w:t>
      </w:r>
      <w:r>
        <w:rPr>
          <w:rFonts w:hint="eastAsia" w:ascii="仿宋" w:hAnsi="仿宋" w:eastAsia="仿宋" w:cs="仿宋"/>
          <w:color w:val="auto"/>
          <w:sz w:val="24"/>
          <w:szCs w:val="24"/>
          <w:highlight w:val="none"/>
        </w:rPr>
        <w:t>和资格</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rPr>
        <w:t>。初步评审中有一项不符合评审标准的，将做否决应答处理。</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3.3.1.2</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有以下情形之一的，</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应当否决其应答：</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不按照</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要求澄清、说明或者补正；</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允许联合体应答的，应答联合体没有递交共同应答协议；</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不符合国家或者采购文件规定的资格条件；</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同一</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递交两个以上不同的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或者应答报价，但采购文件要求递交备选应答的除外；</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应答报价低于成本或者高于采购文件设定的最高应答限价；</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没有对采购文件的实质性要求和条件做出响应；</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有串通应答、弄虚作假、行贿等违法行为；</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以他人名义应答；</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没有按照采购文件要求提供应答担保或者所提供的应答担保有瑕疵；</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载明的采购项目完成期限超过采购文件规定的期限；</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明显不符合技术规格、技术标准的要求；</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载明的货物包装方式、检验标准和方法等不符合采购文件的要求；</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附有采购人不能接受的条件；</w:t>
      </w:r>
    </w:p>
    <w:p>
      <w:pPr>
        <w:pStyle w:val="29"/>
        <w:numPr>
          <w:ilvl w:val="0"/>
          <w:numId w:val="2"/>
        </w:numPr>
        <w:spacing w:line="240" w:lineRule="auto"/>
        <w:ind w:left="0"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不符合采购文件中规定的其他实质性要求。</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3.3.1.3评审过程中，</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收到低于成本价应答的书面质疑材料、发现</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的综合报价明显低于其他应答报价或者设有标底时明显低于标底，认为应答报价可能低于其个别成本的，应当书面要求该</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做出书面说明并提供相关证明材料。</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不能合理说明或者不能提供相应证明材料的，由</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认定该</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以低于成本报价应答，</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应当否决其应答。</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3.3.1.4应答报价有算术错误的，</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按照以下原则对应答报价进行修正，修正的价格经</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书面确认后具有约束力。报价不一致的处理原则：</w:t>
      </w:r>
    </w:p>
    <w:p>
      <w:pPr>
        <w:spacing w:line="276"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1）当报价一览表报价信息与分项报价表报价信息不一致时，</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将以分项报价表中的单价报价信息为准，修正其他报价信息。</w:t>
      </w:r>
    </w:p>
    <w:p>
      <w:pPr>
        <w:spacing w:line="276"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总价金额与按单价汇总金额不一致的，以单价金额计算结果为准；但单价金额小数点或者百分比有明显错位的，以总价为准，并修改单价。</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不接受对其错误的更正，其应答无效。</w:t>
      </w:r>
    </w:p>
    <w:p>
      <w:pPr>
        <w:pStyle w:val="29"/>
        <w:spacing w:line="240" w:lineRule="auto"/>
        <w:ind w:firstLine="0" w:firstLineChars="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3.3.2详细评审</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按照本章</w:t>
      </w:r>
      <w:r>
        <w:rPr>
          <w:rFonts w:hint="eastAsia" w:ascii="仿宋" w:hAnsi="仿宋" w:eastAsia="仿宋" w:cs="仿宋"/>
          <w:b/>
          <w:bCs/>
          <w:color w:val="auto"/>
          <w:sz w:val="24"/>
          <w:szCs w:val="24"/>
          <w:highlight w:val="none"/>
          <w:lang w:val="en-US" w:eastAsia="zh-CN"/>
        </w:rPr>
        <w:t>前附的评分标准</w:t>
      </w:r>
      <w:r>
        <w:rPr>
          <w:rFonts w:hint="eastAsia" w:ascii="仿宋" w:hAnsi="仿宋" w:eastAsia="仿宋" w:cs="仿宋"/>
          <w:color w:val="auto"/>
          <w:sz w:val="24"/>
          <w:szCs w:val="24"/>
          <w:highlight w:val="none"/>
        </w:rPr>
        <w:t>进行</w:t>
      </w:r>
      <w:r>
        <w:rPr>
          <w:rFonts w:hint="eastAsia" w:ascii="仿宋" w:hAnsi="仿宋" w:eastAsia="仿宋" w:cs="仿宋"/>
          <w:color w:val="auto"/>
          <w:sz w:val="24"/>
          <w:szCs w:val="24"/>
          <w:highlight w:val="none"/>
          <w:lang w:val="en-US" w:eastAsia="zh-CN"/>
        </w:rPr>
        <w:t>打分</w:t>
      </w:r>
      <w:r>
        <w:rPr>
          <w:rFonts w:hint="eastAsia" w:ascii="仿宋" w:hAnsi="仿宋" w:eastAsia="仿宋" w:cs="仿宋"/>
          <w:color w:val="auto"/>
          <w:sz w:val="24"/>
          <w:szCs w:val="24"/>
          <w:highlight w:val="none"/>
        </w:rPr>
        <w:t>。</w:t>
      </w:r>
    </w:p>
    <w:p>
      <w:pPr>
        <w:pStyle w:val="29"/>
        <w:ind w:firstLine="0" w:firstLineChars="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3.3.3</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的澄清</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3.3.3.1在评审过程中，</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应当以书面形式要求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对所递交的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中不明确的内容进行书面澄清、说明或者对</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中的细微偏差进行补正。</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不接受</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主动提出的澄清、说明或者补正。</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3.3.3.2细微偏差：是指</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在实质上响应采购文件要求，但个别地方存在漏项或者提供了不完整的技术信息和数据等情况，并且补正这些遗漏或者不完整不会对其他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造成不公平的结果。细微偏差不影响</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的有效性。</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3.3.3.3澄清、说明和补正不得改变</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的实质性内容（算术性错误修正的除外）。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的书面澄清、说明和补正属于</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的组成部分。</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3.3.3.4</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递交的澄清、说明或者补正有疑问的，可以要求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进一步澄清、说明或者补正，直至满足</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的要求。</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3.3.3.5</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必要时可以要求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递交有关证明和证件的原件，以便核验。</w:t>
      </w:r>
      <w:bookmarkStart w:id="18" w:name="_Toc478566277"/>
      <w:bookmarkStart w:id="19" w:name="_Toc474148041"/>
      <w:bookmarkStart w:id="20" w:name="_Toc478566085"/>
      <w:bookmarkStart w:id="21" w:name="_Toc478566443"/>
      <w:bookmarkStart w:id="22" w:name="_Toc478565722"/>
    </w:p>
    <w:p>
      <w:pPr>
        <w:pStyle w:val="29"/>
        <w:ind w:firstLine="0" w:firstLineChars="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3.3.4成交候选人推荐原则</w:t>
      </w:r>
      <w:bookmarkEnd w:id="18"/>
      <w:bookmarkEnd w:id="19"/>
      <w:bookmarkEnd w:id="20"/>
      <w:bookmarkEnd w:id="21"/>
      <w:bookmarkEnd w:id="22"/>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成交候选人推荐原则见评审办法前附表。</w:t>
      </w:r>
    </w:p>
    <w:p>
      <w:pPr>
        <w:pStyle w:val="29"/>
        <w:ind w:firstLine="0" w:firstLineChars="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3.3.5评审结果</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3.3.5.1</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完成评审后，应当</w:t>
      </w:r>
      <w:r>
        <w:rPr>
          <w:rFonts w:hint="eastAsia" w:ascii="仿宋" w:hAnsi="仿宋" w:eastAsia="仿宋" w:cs="仿宋"/>
          <w:color w:val="auto"/>
          <w:sz w:val="24"/>
          <w:szCs w:val="24"/>
          <w:highlight w:val="none"/>
          <w:lang w:val="en-US" w:eastAsia="zh-CN"/>
        </w:rPr>
        <w:t>形成统一、完整的</w:t>
      </w:r>
      <w:r>
        <w:rPr>
          <w:rFonts w:hint="eastAsia" w:ascii="仿宋" w:hAnsi="仿宋" w:eastAsia="仿宋" w:cs="仿宋"/>
          <w:color w:val="auto"/>
          <w:sz w:val="24"/>
          <w:szCs w:val="24"/>
          <w:highlight w:val="none"/>
        </w:rPr>
        <w:t>书面评审报告</w:t>
      </w:r>
      <w:r>
        <w:rPr>
          <w:rFonts w:hint="eastAsia" w:ascii="仿宋" w:hAnsi="仿宋" w:eastAsia="仿宋" w:cs="仿宋"/>
          <w:color w:val="auto"/>
          <w:sz w:val="24"/>
          <w:szCs w:val="24"/>
          <w:highlight w:val="none"/>
          <w:lang w:val="en-US" w:eastAsia="zh-CN"/>
        </w:rPr>
        <w:t>或评审纪要</w:t>
      </w:r>
      <w:r>
        <w:rPr>
          <w:rFonts w:hint="eastAsia" w:ascii="仿宋" w:hAnsi="仿宋" w:eastAsia="仿宋" w:cs="仿宋"/>
          <w:color w:val="auto"/>
          <w:sz w:val="24"/>
          <w:szCs w:val="24"/>
          <w:highlight w:val="none"/>
        </w:rPr>
        <w:t>。</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3.3.5.2评审报告</w:t>
      </w:r>
      <w:r>
        <w:rPr>
          <w:rFonts w:hint="eastAsia" w:ascii="仿宋" w:hAnsi="仿宋" w:eastAsia="仿宋" w:cs="仿宋"/>
          <w:color w:val="auto"/>
          <w:sz w:val="24"/>
          <w:szCs w:val="24"/>
          <w:highlight w:val="none"/>
          <w:lang w:val="en-US" w:eastAsia="zh-CN"/>
        </w:rPr>
        <w:t>或评审纪要</w:t>
      </w:r>
      <w:r>
        <w:rPr>
          <w:rFonts w:hint="eastAsia" w:ascii="仿宋" w:hAnsi="仿宋" w:eastAsia="仿宋" w:cs="仿宋"/>
          <w:color w:val="auto"/>
          <w:sz w:val="24"/>
          <w:szCs w:val="24"/>
          <w:highlight w:val="none"/>
        </w:rPr>
        <w:t>应当包括下列内容：</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（1）项目简介；</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（2）采购过程简介；</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项目小组初步评审情况说明（包含</w:t>
      </w:r>
      <w:r>
        <w:rPr>
          <w:rFonts w:hint="eastAsia" w:ascii="仿宋" w:hAnsi="仿宋" w:eastAsia="仿宋" w:cs="仿宋"/>
          <w:color w:val="auto"/>
          <w:sz w:val="24"/>
          <w:szCs w:val="24"/>
          <w:highlight w:val="none"/>
        </w:rPr>
        <w:t>否决应答的情况说明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）推荐的</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候选人名单；</w:t>
      </w:r>
    </w:p>
    <w:p>
      <w:pPr>
        <w:pStyle w:val="29"/>
        <w:spacing w:line="24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）签订合同前要处理的事宜；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w:t>
      </w:r>
      <w:r>
        <w:rPr>
          <w:rFonts w:hint="eastAsia" w:ascii="仿宋" w:hAnsi="仿宋" w:eastAsia="仿宋" w:cs="仿宋"/>
          <w:color w:val="auto"/>
          <w:sz w:val="24"/>
          <w:szCs w:val="24"/>
          <w:highlight w:val="none"/>
          <w:lang w:eastAsia="zh-CN"/>
        </w:rPr>
        <w:t>）</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）澄清、说明、补正事项纪要；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如有</w:t>
      </w:r>
      <w:r>
        <w:rPr>
          <w:rFonts w:hint="eastAsia" w:ascii="仿宋" w:hAnsi="仿宋" w:eastAsia="仿宋" w:cs="仿宋"/>
          <w:color w:val="auto"/>
          <w:sz w:val="24"/>
          <w:szCs w:val="24"/>
          <w:highlight w:val="none"/>
          <w:lang w:eastAsia="zh-CN"/>
        </w:rPr>
        <w:t>）</w:t>
      </w:r>
    </w:p>
    <w:p>
      <w:pPr>
        <w:pStyle w:val="29"/>
        <w:spacing w:line="24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成员名单及本人签字、拒绝在评审报告上签字的</w:t>
      </w:r>
      <w:r>
        <w:rPr>
          <w:rFonts w:hint="eastAsia" w:ascii="仿宋" w:hAnsi="仿宋" w:eastAsia="仿宋" w:cs="仿宋"/>
          <w:color w:val="auto"/>
          <w:sz w:val="24"/>
          <w:szCs w:val="24"/>
          <w:highlight w:val="none"/>
          <w:lang w:eastAsia="zh-CN"/>
        </w:rPr>
        <w:t>项目小组</w:t>
      </w:r>
      <w:r>
        <w:rPr>
          <w:rFonts w:hint="eastAsia" w:ascii="仿宋" w:hAnsi="仿宋" w:eastAsia="仿宋" w:cs="仿宋"/>
          <w:color w:val="auto"/>
          <w:sz w:val="24"/>
          <w:szCs w:val="24"/>
          <w:highlight w:val="none"/>
        </w:rPr>
        <w:t>成员名单及其陈述的不同意见和理由。</w:t>
      </w:r>
    </w:p>
    <w:p>
      <w:pPr>
        <w:rPr>
          <w:rFonts w:hint="eastAsia" w:ascii="方正小标宋简体" w:hAnsi="方正小标宋简体" w:eastAsia="方正小标宋简体" w:cs="方正小标宋简体"/>
          <w:b/>
          <w:color w:val="auto"/>
          <w:sz w:val="36"/>
          <w:szCs w:val="36"/>
          <w:highlight w:val="none"/>
          <w:lang w:val="en-US" w:eastAsia="zh-CN"/>
        </w:rPr>
      </w:pPr>
      <w:bookmarkStart w:id="23" w:name="_Toc4457"/>
      <w:r>
        <w:rPr>
          <w:rFonts w:hint="eastAsia" w:ascii="方正小标宋简体" w:hAnsi="方正小标宋简体" w:eastAsia="方正小标宋简体" w:cs="方正小标宋简体"/>
          <w:b/>
          <w:color w:val="auto"/>
          <w:sz w:val="36"/>
          <w:szCs w:val="36"/>
          <w:highlight w:val="none"/>
          <w:lang w:val="en-US" w:eastAsia="zh-CN"/>
        </w:rPr>
        <w:br w:type="page"/>
      </w:r>
    </w:p>
    <w:p>
      <w:pPr>
        <w:pStyle w:val="2"/>
        <w:jc w:val="center"/>
        <w:outlineLvl w:val="0"/>
        <w:rPr>
          <w:rFonts w:hint="eastAsia" w:ascii="方正小标宋简体" w:hAnsi="方正小标宋简体" w:eastAsia="方正小标宋简体" w:cs="方正小标宋简体"/>
          <w:b/>
          <w:color w:val="auto"/>
          <w:sz w:val="36"/>
          <w:szCs w:val="36"/>
          <w:highlight w:val="none"/>
          <w:lang w:val="en-US" w:eastAsia="zh-CN"/>
        </w:rPr>
      </w:pPr>
      <w:r>
        <w:rPr>
          <w:rFonts w:hint="eastAsia" w:ascii="方正小标宋简体" w:hAnsi="方正小标宋简体" w:eastAsia="方正小标宋简体" w:cs="方正小标宋简体"/>
          <w:b/>
          <w:color w:val="auto"/>
          <w:sz w:val="36"/>
          <w:szCs w:val="36"/>
          <w:highlight w:val="none"/>
          <w:lang w:val="en-US" w:eastAsia="zh-CN"/>
        </w:rPr>
        <w:t>第三章 采购需求书</w:t>
      </w:r>
      <w:bookmarkEnd w:id="23"/>
    </w:p>
    <w:p>
      <w:pPr>
        <w:spacing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总则</w:t>
      </w:r>
    </w:p>
    <w:p>
      <w:pPr>
        <w:spacing w:before="62" w:beforeLines="20" w:after="62" w:afterLines="20" w:line="400" w:lineRule="exact"/>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1.1本节为</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向</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提出的最低要求，作为</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填写</w:t>
      </w:r>
      <w:r>
        <w:rPr>
          <w:rFonts w:hint="eastAsia" w:ascii="宋体" w:hAnsi="宋体" w:cs="宋体"/>
          <w:color w:val="auto"/>
          <w:szCs w:val="21"/>
          <w:highlight w:val="none"/>
          <w:lang w:val="en-US" w:eastAsia="zh-CN"/>
        </w:rPr>
        <w:t>技术商务偏离表</w:t>
      </w:r>
      <w:r>
        <w:rPr>
          <w:rFonts w:hint="eastAsia" w:ascii="宋体" w:hAnsi="宋体" w:cs="宋体"/>
          <w:color w:val="auto"/>
          <w:szCs w:val="21"/>
          <w:highlight w:val="none"/>
        </w:rPr>
        <w:t>的依据，根据</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响应文件</w:t>
      </w:r>
      <w:r>
        <w:rPr>
          <w:rFonts w:hint="eastAsia" w:ascii="宋体" w:hAnsi="宋体" w:cs="宋体"/>
          <w:color w:val="auto"/>
          <w:szCs w:val="21"/>
          <w:highlight w:val="none"/>
        </w:rPr>
        <w:t>完善后，将作为商务合同的附件之一。</w:t>
      </w:r>
    </w:p>
    <w:p>
      <w:pPr>
        <w:spacing w:before="62" w:beforeLines="20" w:after="62" w:afterLines="20" w:line="400" w:lineRule="exact"/>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1.2对于本节提出的有关要求，</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应填写“</w:t>
      </w:r>
      <w:r>
        <w:rPr>
          <w:rFonts w:hint="eastAsia" w:ascii="宋体" w:hAnsi="宋体" w:cs="宋体"/>
          <w:color w:val="auto"/>
          <w:szCs w:val="21"/>
          <w:highlight w:val="none"/>
          <w:lang w:val="en-US" w:eastAsia="zh-CN"/>
        </w:rPr>
        <w:t>技术商务偏离表</w:t>
      </w:r>
      <w:r>
        <w:rPr>
          <w:rFonts w:hint="eastAsia" w:ascii="宋体" w:hAnsi="宋体" w:cs="宋体"/>
          <w:color w:val="auto"/>
          <w:szCs w:val="21"/>
          <w:highlight w:val="none"/>
        </w:rPr>
        <w:t>”。如存在偏离应提出充分理由并加以详尽说明。</w:t>
      </w:r>
    </w:p>
    <w:p>
      <w:pPr>
        <w:spacing w:before="62" w:beforeLines="20" w:after="62" w:afterLines="20" w:line="400" w:lineRule="exact"/>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1.3对于本节中未能提出的指标和不合理的要求等，</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应在建议书中加以补充说明，并提供有关详细资料。 </w:t>
      </w:r>
    </w:p>
    <w:p>
      <w:pPr>
        <w:spacing w:before="62" w:beforeLines="20" w:after="62" w:afterLines="20" w:line="400" w:lineRule="exact"/>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应根据</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项目的要求提出完整的实施方案，如有缺漏，由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免费补足。</w:t>
      </w:r>
    </w:p>
    <w:p>
      <w:pPr>
        <w:spacing w:before="62" w:beforeLines="20" w:after="62" w:afterLines="20" w:line="400" w:lineRule="exact"/>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有权在签订最终合同前，根据需要修改本章内容。技术标准和要求的最终解释权在</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w:t>
      </w:r>
    </w:p>
    <w:p>
      <w:pPr>
        <w:pStyle w:val="28"/>
        <w:numPr>
          <w:ilvl w:val="0"/>
          <w:numId w:val="0"/>
        </w:numPr>
        <w:snapToGrid w:val="0"/>
        <w:spacing w:before="120" w:after="120"/>
        <w:ind w:leftChars="0"/>
        <w:jc w:val="both"/>
        <w:outlineLvl w:val="9"/>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供应商须对《采购需求书》全部内容理解清楚，并填写《技术商务偏离表》（格式见第六章）</w:t>
      </w:r>
    </w:p>
    <w:p>
      <w:pPr>
        <w:rPr>
          <w:rFonts w:hint="eastAsia" w:asciiTheme="minorEastAsia" w:hAnsiTheme="minorEastAsia" w:eastAsiaTheme="minorEastAsia" w:cstheme="minorEastAsia"/>
          <w:b/>
          <w:bCs/>
          <w:color w:val="auto"/>
          <w:sz w:val="32"/>
          <w:szCs w:val="32"/>
          <w:highlight w:val="none"/>
          <w:lang w:val="en-US" w:eastAsia="zh-CN"/>
        </w:rPr>
      </w:pPr>
      <w:r>
        <w:rPr>
          <w:rFonts w:hint="eastAsia" w:asciiTheme="minorEastAsia" w:hAnsiTheme="minorEastAsia" w:eastAsiaTheme="minorEastAsia" w:cstheme="minorEastAsia"/>
          <w:b/>
          <w:bCs/>
          <w:color w:val="auto"/>
          <w:sz w:val="32"/>
          <w:szCs w:val="32"/>
          <w:highlight w:val="none"/>
          <w:lang w:val="en-US" w:eastAsia="zh-CN"/>
        </w:rPr>
        <w:br w:type="page"/>
      </w:r>
    </w:p>
    <w:p>
      <w:pPr>
        <w:pStyle w:val="28"/>
        <w:numPr>
          <w:ilvl w:val="0"/>
          <w:numId w:val="0"/>
        </w:numPr>
        <w:snapToGrid w:val="0"/>
        <w:spacing w:before="120" w:after="120"/>
        <w:ind w:leftChars="0"/>
        <w:jc w:val="center"/>
        <w:outlineLvl w:val="9"/>
        <w:rPr>
          <w:rFonts w:hint="eastAsia" w:asciiTheme="minorEastAsia" w:hAnsiTheme="minorEastAsia" w:eastAsiaTheme="minorEastAsia" w:cstheme="minorEastAsia"/>
          <w:b/>
          <w:bCs/>
          <w:color w:val="auto"/>
          <w:sz w:val="32"/>
          <w:szCs w:val="32"/>
          <w:highlight w:val="none"/>
          <w:lang w:val="en-US" w:eastAsia="zh-CN"/>
        </w:rPr>
      </w:pPr>
      <w:r>
        <w:rPr>
          <w:rFonts w:hint="eastAsia" w:asciiTheme="minorEastAsia" w:hAnsiTheme="minorEastAsia" w:eastAsiaTheme="minorEastAsia" w:cstheme="minorEastAsia"/>
          <w:b/>
          <w:bCs/>
          <w:color w:val="auto"/>
          <w:sz w:val="32"/>
          <w:szCs w:val="32"/>
          <w:highlight w:val="none"/>
          <w:lang w:val="en-US" w:eastAsia="zh-CN"/>
        </w:rPr>
        <w:t>2026年平台存储扩容服务项目采购需求书</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00" w:lineRule="exact"/>
        <w:ind w:firstLine="562" w:firstLineChars="200"/>
        <w:textAlignment w:val="auto"/>
        <w:outlineLvl w:val="9"/>
        <w:rPr>
          <w:rFonts w:hint="eastAsia" w:ascii="仿宋" w:hAnsi="仿宋" w:eastAsia="仿宋" w:cs="仿宋"/>
          <w:b/>
          <w:bCs/>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firstLine="562" w:firstLineChars="200"/>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一、供应商服务内容</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为应对平台数据的快速增长，满足业务性能及容量需求，保障系统稳定高效运行，现采购必要的硬盘扩容服务，具体包括：提供16块全新原装3.84TB SSD SAS硬盘，须适配ARM架构服务器，支持昆仑、神州鲲泰等主流厂商，并于2026年12月前完成安装及迁移服务。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firstLine="562" w:firstLineChars="200"/>
        <w:textAlignment w:val="auto"/>
        <w:outlineLvl w:val="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二、项目服务要求和成果</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val="0"/>
          <w:bCs w:val="0"/>
          <w:color w:val="auto"/>
          <w:sz w:val="28"/>
          <w:szCs w:val="28"/>
          <w:highlight w:val="none"/>
          <w:lang w:val="zh-CN" w:eastAsia="zh-CN"/>
        </w:rPr>
      </w:pPr>
      <w:r>
        <w:rPr>
          <w:rFonts w:hint="eastAsia" w:ascii="仿宋" w:hAnsi="仿宋" w:eastAsia="仿宋" w:cs="仿宋"/>
          <w:b w:val="0"/>
          <w:bCs w:val="0"/>
          <w:color w:val="auto"/>
          <w:sz w:val="28"/>
          <w:szCs w:val="28"/>
          <w:highlight w:val="none"/>
          <w:lang w:val="zh-CN" w:eastAsia="zh-CN"/>
        </w:rPr>
        <w:t>本项目采购内容</w:t>
      </w:r>
      <w:r>
        <w:rPr>
          <w:rFonts w:hint="eastAsia" w:ascii="仿宋" w:hAnsi="仿宋" w:eastAsia="仿宋" w:cs="仿宋"/>
          <w:b w:val="0"/>
          <w:bCs w:val="0"/>
          <w:color w:val="auto"/>
          <w:sz w:val="28"/>
          <w:szCs w:val="28"/>
          <w:highlight w:val="none"/>
          <w:lang w:val="en-US" w:eastAsia="zh-CN"/>
        </w:rPr>
        <w:t>主要是</w:t>
      </w:r>
      <w:r>
        <w:rPr>
          <w:rFonts w:hint="eastAsia" w:ascii="仿宋" w:hAnsi="仿宋" w:eastAsia="仿宋" w:cs="仿宋"/>
          <w:b w:val="0"/>
          <w:bCs w:val="0"/>
          <w:color w:val="auto"/>
          <w:sz w:val="28"/>
          <w:szCs w:val="28"/>
          <w:highlight w:val="none"/>
          <w:lang w:val="zh-CN" w:eastAsia="zh-CN"/>
        </w:rPr>
        <w:t>为平台</w:t>
      </w:r>
      <w:r>
        <w:rPr>
          <w:rFonts w:hint="eastAsia" w:ascii="仿宋" w:hAnsi="仿宋" w:eastAsia="仿宋" w:cs="仿宋"/>
          <w:b w:val="0"/>
          <w:bCs w:val="0"/>
          <w:color w:val="auto"/>
          <w:sz w:val="28"/>
          <w:szCs w:val="28"/>
          <w:highlight w:val="none"/>
          <w:lang w:val="en-US" w:eastAsia="zh-CN"/>
        </w:rPr>
        <w:t>提供存储扩容服务</w:t>
      </w:r>
      <w:r>
        <w:rPr>
          <w:rFonts w:hint="eastAsia" w:ascii="仿宋" w:hAnsi="仿宋" w:eastAsia="仿宋" w:cs="仿宋"/>
          <w:b w:val="0"/>
          <w:bCs w:val="0"/>
          <w:color w:val="auto"/>
          <w:sz w:val="28"/>
          <w:szCs w:val="28"/>
          <w:highlight w:val="none"/>
          <w:lang w:val="zh-CN" w:eastAsia="zh-CN"/>
        </w:rPr>
        <w:t>，</w:t>
      </w:r>
      <w:r>
        <w:rPr>
          <w:rFonts w:hint="eastAsia" w:ascii="仿宋" w:hAnsi="仿宋" w:eastAsia="仿宋" w:cs="仿宋"/>
          <w:b w:val="0"/>
          <w:bCs w:val="0"/>
          <w:color w:val="auto"/>
          <w:sz w:val="28"/>
          <w:szCs w:val="28"/>
          <w:highlight w:val="none"/>
          <w:lang w:val="en-US" w:eastAsia="zh-CN"/>
        </w:rPr>
        <w:t>并提交硬盘签收单、安装迁移后的存储截图及项目总结报告。</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2" w:firstLineChars="200"/>
        <w:textAlignment w:val="auto"/>
        <w:outlineLvl w:val="9"/>
        <w:rPr>
          <w:rFonts w:hint="eastAsia" w:ascii="仿宋" w:hAnsi="仿宋" w:eastAsia="仿宋" w:cs="仿宋"/>
          <w:b/>
          <w:bCs/>
          <w:color w:val="auto"/>
          <w:sz w:val="28"/>
          <w:szCs w:val="28"/>
          <w:highlight w:val="none"/>
          <w:lang w:val="zh-CN" w:eastAsia="zh-CN"/>
        </w:rPr>
      </w:pP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lang w:val="zh-CN" w:eastAsia="zh-CN"/>
        </w:rPr>
        <w:t>服务要求</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val="0"/>
          <w:bCs w:val="0"/>
          <w:color w:val="auto"/>
          <w:sz w:val="28"/>
          <w:szCs w:val="28"/>
          <w:highlight w:val="none"/>
          <w:lang w:val="zh-CN" w:eastAsia="zh-CN"/>
        </w:rPr>
      </w:pPr>
      <w:r>
        <w:rPr>
          <w:rFonts w:hint="eastAsia" w:ascii="仿宋" w:hAnsi="仿宋" w:eastAsia="仿宋" w:cs="仿宋"/>
          <w:b w:val="0"/>
          <w:bCs w:val="0"/>
          <w:color w:val="auto"/>
          <w:sz w:val="28"/>
          <w:szCs w:val="28"/>
          <w:highlight w:val="none"/>
          <w:lang w:val="zh-CN" w:eastAsia="zh-CN"/>
        </w:rPr>
        <w:t>为保障平台数据快速增长，满足业务性能以及容量需求，保障系统稳定高效运行，要求提供网站专用存储必要的硬盘扩容服务，具体要求如下：</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val="0"/>
          <w:bCs w:val="0"/>
          <w:color w:val="auto"/>
          <w:sz w:val="28"/>
          <w:szCs w:val="28"/>
          <w:highlight w:val="none"/>
          <w:lang w:val="zh-CN" w:eastAsia="zh-CN"/>
        </w:rPr>
      </w:pPr>
      <w:r>
        <w:rPr>
          <w:rFonts w:hint="eastAsia" w:ascii="仿宋" w:hAnsi="仿宋" w:eastAsia="仿宋" w:cs="仿宋"/>
          <w:b w:val="0"/>
          <w:bCs w:val="0"/>
          <w:color w:val="auto"/>
          <w:sz w:val="28"/>
          <w:szCs w:val="28"/>
          <w:highlight w:val="none"/>
          <w:lang w:val="zh-CN" w:eastAsia="zh-CN"/>
        </w:rPr>
        <w:t>（</w:t>
      </w:r>
      <w:r>
        <w:rPr>
          <w:rFonts w:hint="eastAsia" w:ascii="仿宋" w:hAnsi="仿宋" w:eastAsia="仿宋" w:cs="仿宋"/>
          <w:b w:val="0"/>
          <w:bCs w:val="0"/>
          <w:color w:val="auto"/>
          <w:sz w:val="28"/>
          <w:szCs w:val="28"/>
          <w:highlight w:val="none"/>
          <w:lang w:val="en-US" w:eastAsia="zh-CN"/>
        </w:rPr>
        <w:t>1</w:t>
      </w:r>
      <w:r>
        <w:rPr>
          <w:rFonts w:hint="eastAsia" w:ascii="仿宋" w:hAnsi="仿宋" w:eastAsia="仿宋" w:cs="仿宋"/>
          <w:b w:val="0"/>
          <w:bCs w:val="0"/>
          <w:color w:val="auto"/>
          <w:sz w:val="28"/>
          <w:szCs w:val="28"/>
          <w:highlight w:val="none"/>
          <w:lang w:val="zh-CN" w:eastAsia="zh-CN"/>
        </w:rPr>
        <w:t>）提供16块全新原装3.84TB SSD SAS硬盘存储服务能力，适配ARM架构服务器，支持昆仑、神州鲲泰等主流厂商。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val="0"/>
          <w:bCs w:val="0"/>
          <w:color w:val="auto"/>
          <w:sz w:val="28"/>
          <w:szCs w:val="28"/>
          <w:highlight w:val="none"/>
          <w:lang w:val="zh-CN" w:eastAsia="zh-CN"/>
        </w:rPr>
      </w:pPr>
      <w:r>
        <w:rPr>
          <w:rFonts w:hint="eastAsia" w:ascii="仿宋" w:hAnsi="仿宋" w:eastAsia="仿宋" w:cs="仿宋"/>
          <w:b w:val="0"/>
          <w:bCs w:val="0"/>
          <w:color w:val="auto"/>
          <w:sz w:val="28"/>
          <w:szCs w:val="28"/>
          <w:highlight w:val="none"/>
          <w:lang w:val="zh-CN" w:eastAsia="zh-CN"/>
        </w:rPr>
        <w:t>（</w:t>
      </w:r>
      <w:r>
        <w:rPr>
          <w:rFonts w:hint="eastAsia" w:ascii="仿宋" w:hAnsi="仿宋" w:eastAsia="仿宋" w:cs="仿宋"/>
          <w:b w:val="0"/>
          <w:bCs w:val="0"/>
          <w:color w:val="auto"/>
          <w:sz w:val="28"/>
          <w:szCs w:val="28"/>
          <w:highlight w:val="none"/>
          <w:lang w:val="en-US" w:eastAsia="zh-CN"/>
        </w:rPr>
        <w:t>2</w:t>
      </w:r>
      <w:r>
        <w:rPr>
          <w:rFonts w:hint="eastAsia" w:ascii="仿宋" w:hAnsi="仿宋" w:eastAsia="仿宋" w:cs="仿宋"/>
          <w:b w:val="0"/>
          <w:bCs w:val="0"/>
          <w:color w:val="auto"/>
          <w:sz w:val="28"/>
          <w:szCs w:val="28"/>
          <w:highlight w:val="none"/>
          <w:lang w:val="zh-CN" w:eastAsia="zh-CN"/>
        </w:rPr>
        <w:t>）硬盘存储服务能力具体参数要求：容量≥3.84TB；尺寸：2.5寸硬盘；支持接口类型：SAS 3.0 12 Gb/s；支持顺序读带宽@128KB≥2200MB/s；支持顺序写带宽@128KB≥2100MB/s。</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val="0"/>
          <w:bCs w:val="0"/>
          <w:color w:val="auto"/>
          <w:sz w:val="28"/>
          <w:szCs w:val="28"/>
          <w:highlight w:val="none"/>
          <w:lang w:val="zh-CN" w:eastAsia="zh-CN"/>
        </w:rPr>
      </w:pPr>
      <w:r>
        <w:rPr>
          <w:rFonts w:hint="eastAsia" w:ascii="仿宋" w:hAnsi="仿宋" w:eastAsia="仿宋" w:cs="仿宋"/>
          <w:b w:val="0"/>
          <w:bCs w:val="0"/>
          <w:color w:val="auto"/>
          <w:sz w:val="28"/>
          <w:szCs w:val="28"/>
          <w:highlight w:val="none"/>
          <w:lang w:val="zh-CN" w:eastAsia="zh-CN"/>
        </w:rPr>
        <w:t>（</w:t>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lang w:val="zh-CN" w:eastAsia="zh-CN"/>
        </w:rPr>
        <w:t>）提供安装扩容服务，扩容完成后，在服务期内每月提供一次硬盘及存储系统巡检，内容包括但不限于硬盘健康状态、读写性能趋势、容量使用率、异常告警记录及优化建议，确保问题早发现、早处理。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2" w:firstLineChars="200"/>
        <w:textAlignment w:val="auto"/>
        <w:outlineLvl w:val="9"/>
        <w:rPr>
          <w:rFonts w:hint="eastAsia" w:ascii="仿宋" w:hAnsi="仿宋" w:eastAsia="仿宋" w:cs="仿宋"/>
          <w:b/>
          <w:bCs/>
          <w:color w:val="auto"/>
          <w:sz w:val="28"/>
          <w:szCs w:val="28"/>
          <w:highlight w:val="none"/>
          <w:lang w:val="zh-CN" w:eastAsia="zh-CN"/>
        </w:rPr>
      </w:pPr>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lang w:val="zh-CN" w:eastAsia="zh-CN"/>
        </w:rPr>
        <w:t>验收要求</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供应商</w:t>
      </w:r>
      <w:r>
        <w:rPr>
          <w:rFonts w:hint="eastAsia" w:ascii="仿宋" w:hAnsi="仿宋" w:eastAsia="仿宋" w:cs="仿宋"/>
          <w:b w:val="0"/>
          <w:bCs w:val="0"/>
          <w:color w:val="auto"/>
          <w:sz w:val="28"/>
          <w:szCs w:val="28"/>
          <w:highlight w:val="none"/>
          <w:lang w:val="zh-CN" w:eastAsia="zh-CN"/>
        </w:rPr>
        <w:t>完成</w:t>
      </w:r>
      <w:r>
        <w:rPr>
          <w:rFonts w:hint="eastAsia" w:ascii="仿宋" w:hAnsi="仿宋" w:eastAsia="仿宋" w:cs="仿宋"/>
          <w:b w:val="0"/>
          <w:bCs w:val="0"/>
          <w:color w:val="auto"/>
          <w:sz w:val="28"/>
          <w:szCs w:val="28"/>
          <w:highlight w:val="none"/>
          <w:lang w:val="en-US" w:eastAsia="zh-CN"/>
        </w:rPr>
        <w:t>服务期内</w:t>
      </w:r>
      <w:r>
        <w:rPr>
          <w:rFonts w:hint="eastAsia" w:ascii="仿宋" w:hAnsi="仿宋" w:eastAsia="仿宋" w:cs="仿宋"/>
          <w:b w:val="0"/>
          <w:bCs w:val="0"/>
          <w:color w:val="auto"/>
          <w:sz w:val="28"/>
          <w:szCs w:val="28"/>
          <w:highlight w:val="none"/>
          <w:lang w:val="zh-CN" w:eastAsia="zh-CN"/>
        </w:rPr>
        <w:t>的全部工作</w:t>
      </w:r>
      <w:r>
        <w:rPr>
          <w:rFonts w:hint="eastAsia" w:ascii="仿宋" w:hAnsi="仿宋" w:eastAsia="仿宋" w:cs="仿宋"/>
          <w:b w:val="0"/>
          <w:bCs w:val="0"/>
          <w:color w:val="auto"/>
          <w:sz w:val="28"/>
          <w:szCs w:val="28"/>
          <w:highlight w:val="none"/>
          <w:lang w:val="en-US" w:eastAsia="zh-CN"/>
        </w:rPr>
        <w:t>后进行验收，验收内容包括硬盘签收单、安装迁移后的存储截图及项目总结报告。</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2" w:firstLineChars="200"/>
        <w:textAlignment w:val="auto"/>
        <w:outlineLvl w:val="9"/>
        <w:rPr>
          <w:rFonts w:hint="eastAsia" w:ascii="仿宋" w:hAnsi="仿宋" w:eastAsia="仿宋" w:cs="仿宋"/>
          <w:b/>
          <w:bCs/>
          <w:color w:val="auto"/>
          <w:sz w:val="28"/>
          <w:szCs w:val="28"/>
          <w:highlight w:val="none"/>
          <w:lang w:val="zh-CN"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lang w:val="zh-CN" w:eastAsia="zh-CN"/>
        </w:rPr>
        <w:t>服务期限</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ind w:left="0" w:leftChars="0" w:firstLine="560" w:firstLineChars="200"/>
        <w:textAlignment w:val="auto"/>
        <w:outlineLvl w:val="9"/>
        <w:rPr>
          <w:rFonts w:hint="eastAsia" w:ascii="仿宋" w:hAnsi="仿宋" w:eastAsia="仿宋" w:cs="仿宋"/>
          <w:b/>
          <w:color w:val="auto"/>
          <w:sz w:val="28"/>
          <w:szCs w:val="28"/>
          <w:highlight w:val="none"/>
          <w:lang w:val="en-US" w:eastAsia="zh-CN"/>
        </w:rPr>
        <w:sectPr>
          <w:footerReference r:id="rId3" w:type="default"/>
          <w:pgSz w:w="11906" w:h="16838"/>
          <w:pgMar w:top="2098" w:right="1587" w:bottom="1984" w:left="1587" w:header="851" w:footer="709" w:gutter="0"/>
          <w:pgNumType w:fmt="decimal"/>
          <w:cols w:space="720" w:num="1"/>
          <w:docGrid w:type="lines" w:linePitch="312" w:charSpace="0"/>
        </w:sectPr>
      </w:pPr>
      <w:r>
        <w:rPr>
          <w:rFonts w:hint="eastAsia" w:ascii="仿宋" w:hAnsi="仿宋" w:eastAsia="仿宋" w:cs="仿宋"/>
          <w:b w:val="0"/>
          <w:bCs w:val="0"/>
          <w:color w:val="auto"/>
          <w:sz w:val="28"/>
          <w:szCs w:val="28"/>
          <w:highlight w:val="none"/>
          <w:lang w:val="zh-CN" w:eastAsia="zh-CN"/>
        </w:rPr>
        <w:t>自合同签订之日起至2027年6月30日。</w:t>
      </w:r>
    </w:p>
    <w:p>
      <w:pPr>
        <w:pStyle w:val="2"/>
        <w:jc w:val="center"/>
        <w:outlineLvl w:val="0"/>
        <w:rPr>
          <w:rFonts w:hint="eastAsia" w:ascii="方正小标宋简体" w:hAnsi="方正小标宋简体" w:eastAsia="方正小标宋简体" w:cs="方正小标宋简体"/>
          <w:b/>
          <w:color w:val="auto"/>
          <w:sz w:val="36"/>
          <w:szCs w:val="36"/>
          <w:highlight w:val="none"/>
          <w:lang w:val="en-US" w:eastAsia="zh-CN"/>
        </w:rPr>
      </w:pPr>
      <w:bookmarkStart w:id="24" w:name="_Toc1917"/>
      <w:r>
        <w:rPr>
          <w:rFonts w:hint="eastAsia" w:ascii="方正小标宋简体" w:hAnsi="方正小标宋简体" w:eastAsia="方正小标宋简体" w:cs="方正小标宋简体"/>
          <w:b/>
          <w:color w:val="auto"/>
          <w:sz w:val="36"/>
          <w:szCs w:val="36"/>
          <w:highlight w:val="none"/>
          <w:lang w:val="en-US" w:eastAsia="zh-CN"/>
        </w:rPr>
        <w:t>第四章 商务合同</w:t>
      </w:r>
      <w:bookmarkEnd w:id="24"/>
    </w:p>
    <w:p>
      <w:pPr>
        <w:spacing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总则</w:t>
      </w:r>
    </w:p>
    <w:p>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1.1本章涉及商务合同条款要求，</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填写</w:t>
      </w:r>
      <w:r>
        <w:rPr>
          <w:rFonts w:hint="eastAsia" w:ascii="宋体" w:hAnsi="宋体" w:eastAsia="宋体" w:cs="宋体"/>
          <w:color w:val="auto"/>
          <w:szCs w:val="21"/>
          <w:highlight w:val="none"/>
        </w:rPr>
        <w:t>技术商务偏离表</w:t>
      </w:r>
      <w:r>
        <w:rPr>
          <w:rFonts w:hint="eastAsia" w:ascii="宋体" w:hAnsi="宋体" w:cs="宋体"/>
          <w:color w:val="auto"/>
          <w:szCs w:val="21"/>
          <w:highlight w:val="none"/>
        </w:rPr>
        <w:t>，并作为</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后</w:t>
      </w:r>
      <w:r>
        <w:rPr>
          <w:rFonts w:hint="eastAsia" w:ascii="宋体" w:hAnsi="宋体" w:cs="宋体"/>
          <w:color w:val="auto"/>
          <w:szCs w:val="21"/>
          <w:highlight w:val="none"/>
          <w:lang w:val="en-US" w:eastAsia="zh-CN"/>
        </w:rPr>
        <w:t>甲乙</w:t>
      </w:r>
      <w:r>
        <w:rPr>
          <w:rFonts w:hint="eastAsia" w:ascii="宋体" w:hAnsi="宋体" w:cs="宋体"/>
          <w:color w:val="auto"/>
          <w:szCs w:val="21"/>
          <w:highlight w:val="none"/>
        </w:rPr>
        <w:t>双方签订合同的基础。</w:t>
      </w:r>
    </w:p>
    <w:p>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1.2针对本章合同条款内容，</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应填写“</w:t>
      </w:r>
      <w:r>
        <w:rPr>
          <w:rFonts w:hint="eastAsia" w:ascii="宋体" w:hAnsi="宋体" w:eastAsia="宋体" w:cs="宋体"/>
          <w:color w:val="auto"/>
          <w:szCs w:val="21"/>
          <w:highlight w:val="none"/>
        </w:rPr>
        <w:t>技术商务偏离表</w:t>
      </w:r>
      <w:r>
        <w:rPr>
          <w:rFonts w:hint="eastAsia" w:ascii="宋体" w:hAnsi="宋体" w:cs="宋体"/>
          <w:color w:val="auto"/>
          <w:szCs w:val="21"/>
          <w:highlight w:val="none"/>
        </w:rPr>
        <w:t>”。如存在偏离应提出充分理由并在“</w:t>
      </w:r>
      <w:r>
        <w:rPr>
          <w:rFonts w:hint="eastAsia" w:ascii="宋体" w:hAnsi="宋体" w:eastAsia="宋体" w:cs="宋体"/>
          <w:color w:val="auto"/>
          <w:szCs w:val="21"/>
          <w:highlight w:val="none"/>
        </w:rPr>
        <w:t>技术商务偏离表</w:t>
      </w:r>
      <w:r>
        <w:rPr>
          <w:rFonts w:hint="eastAsia" w:ascii="宋体" w:hAnsi="宋体" w:cs="宋体"/>
          <w:color w:val="auto"/>
          <w:szCs w:val="21"/>
          <w:highlight w:val="none"/>
        </w:rPr>
        <w:t>”中加以详尽说明。</w:t>
      </w:r>
    </w:p>
    <w:p>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1.3本章内容根据</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情况完善后，将作为</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与</w:t>
      </w:r>
      <w:r>
        <w:rPr>
          <w:rFonts w:hint="eastAsia" w:ascii="宋体" w:hAnsi="宋体" w:cs="宋体"/>
          <w:color w:val="auto"/>
          <w:szCs w:val="21"/>
          <w:highlight w:val="none"/>
          <w:lang w:val="en-US" w:eastAsia="zh-CN"/>
        </w:rPr>
        <w:t>成交人</w:t>
      </w:r>
      <w:r>
        <w:rPr>
          <w:rFonts w:hint="eastAsia" w:ascii="宋体" w:hAnsi="宋体" w:cs="宋体"/>
          <w:color w:val="auto"/>
          <w:szCs w:val="21"/>
          <w:highlight w:val="none"/>
        </w:rPr>
        <w:t>签订合同的基础。</w:t>
      </w:r>
      <w:r>
        <w:rPr>
          <w:rFonts w:hint="eastAsia" w:ascii="宋体" w:hAnsi="宋体" w:cs="宋体"/>
          <w:b/>
          <w:bCs/>
          <w:color w:val="auto"/>
          <w:szCs w:val="21"/>
          <w:highlight w:val="none"/>
          <w:u w:val="single"/>
          <w:lang w:val="en-US" w:eastAsia="zh-CN"/>
        </w:rPr>
        <w:t>广东南方网络信息科技有限公司</w:t>
      </w:r>
      <w:r>
        <w:rPr>
          <w:rFonts w:hint="eastAsia" w:ascii="宋体" w:hAnsi="宋体" w:cs="宋体"/>
          <w:color w:val="auto"/>
          <w:szCs w:val="21"/>
          <w:highlight w:val="none"/>
        </w:rPr>
        <w:t>为合同甲方；</w:t>
      </w:r>
      <w:r>
        <w:rPr>
          <w:rFonts w:hint="eastAsia" w:ascii="宋体" w:hAnsi="宋体" w:cs="宋体"/>
          <w:color w:val="auto"/>
          <w:szCs w:val="21"/>
          <w:highlight w:val="none"/>
          <w:lang w:val="en-US" w:eastAsia="zh-CN"/>
        </w:rPr>
        <w:t>成交人</w:t>
      </w:r>
      <w:r>
        <w:rPr>
          <w:rFonts w:hint="eastAsia" w:ascii="宋体" w:hAnsi="宋体" w:cs="宋体"/>
          <w:color w:val="auto"/>
          <w:szCs w:val="21"/>
          <w:highlight w:val="none"/>
        </w:rPr>
        <w:t>为合同乙方。</w:t>
      </w:r>
    </w:p>
    <w:p>
      <w:pPr>
        <w:spacing w:line="40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供应商须对《商务合同书》全部条款理解清楚，并填写《技术商务偏离表》（格式见第六章）。</w:t>
      </w:r>
    </w:p>
    <w:p>
      <w:pPr>
        <w:spacing w:line="400" w:lineRule="exact"/>
        <w:jc w:val="left"/>
        <w:rPr>
          <w:rFonts w:hint="eastAsia" w:ascii="宋体" w:hAnsi="宋体" w:eastAsia="宋体" w:cs="宋体"/>
          <w:b/>
          <w:bCs w:val="0"/>
          <w:color w:val="auto"/>
          <w:sz w:val="32"/>
          <w:szCs w:val="32"/>
          <w:highlight w:val="none"/>
          <w:lang w:val="en-US" w:eastAsia="zh-CN"/>
        </w:rPr>
      </w:pPr>
      <w:r>
        <w:rPr>
          <w:rFonts w:hint="eastAsia" w:ascii="宋体" w:hAnsi="宋体" w:eastAsia="宋体" w:cs="宋体"/>
          <w:b/>
          <w:bCs/>
          <w:color w:val="auto"/>
          <w:szCs w:val="21"/>
          <w:highlight w:val="none"/>
        </w:rPr>
        <w:t>注：本合同仅为合同草案文本，合同签订双方可根据项目的具体要求进行修订和细化</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当供应商在成交后，应依据本合同的主要条款与采购方签订正式合同；当本合同与</w:t>
      </w:r>
      <w:r>
        <w:rPr>
          <w:rFonts w:hint="eastAsia" w:ascii="宋体" w:hAnsi="宋体" w:eastAsia="宋体" w:cs="宋体"/>
          <w:b/>
          <w:bCs/>
          <w:color w:val="auto"/>
          <w:szCs w:val="21"/>
          <w:highlight w:val="none"/>
          <w:lang w:val="en-US" w:eastAsia="zh-CN"/>
        </w:rPr>
        <w:t>询价采购</w:t>
      </w:r>
      <w:r>
        <w:rPr>
          <w:rFonts w:hint="eastAsia" w:ascii="宋体" w:hAnsi="宋体" w:eastAsia="宋体" w:cs="宋体"/>
          <w:b/>
          <w:bCs/>
          <w:color w:val="auto"/>
          <w:szCs w:val="21"/>
          <w:highlight w:val="none"/>
        </w:rPr>
        <w:t>文件其他部分有冲突，应按</w:t>
      </w:r>
      <w:r>
        <w:rPr>
          <w:rFonts w:hint="eastAsia" w:ascii="宋体" w:hAnsi="宋体" w:eastAsia="宋体" w:cs="宋体"/>
          <w:b/>
          <w:bCs/>
          <w:color w:val="auto"/>
          <w:szCs w:val="21"/>
          <w:highlight w:val="none"/>
          <w:lang w:val="en-US" w:eastAsia="zh-CN"/>
        </w:rPr>
        <w:t>询价采购</w:t>
      </w:r>
      <w:r>
        <w:rPr>
          <w:rFonts w:hint="eastAsia" w:ascii="宋体" w:hAnsi="宋体" w:eastAsia="宋体" w:cs="宋体"/>
          <w:b/>
          <w:bCs/>
          <w:color w:val="auto"/>
          <w:szCs w:val="21"/>
          <w:highlight w:val="none"/>
        </w:rPr>
        <w:t>文件的其他部分为准编制</w:t>
      </w:r>
      <w:r>
        <w:rPr>
          <w:rFonts w:hint="eastAsia" w:ascii="宋体" w:hAnsi="宋体" w:eastAsia="宋体" w:cs="宋体"/>
          <w:b/>
          <w:bCs/>
          <w:color w:val="auto"/>
          <w:szCs w:val="21"/>
          <w:highlight w:val="none"/>
          <w:lang w:val="en-US" w:eastAsia="zh-CN"/>
        </w:rPr>
        <w:t>合同</w:t>
      </w:r>
      <w:r>
        <w:rPr>
          <w:rFonts w:hint="eastAsia" w:ascii="宋体" w:hAnsi="宋体" w:eastAsia="宋体" w:cs="宋体"/>
          <w:b/>
          <w:bCs/>
          <w:color w:val="auto"/>
          <w:szCs w:val="21"/>
          <w:highlight w:val="none"/>
        </w:rPr>
        <w:t>。合同版本与条款以甲方最新合同模板为准。</w:t>
      </w:r>
    </w:p>
    <w:p>
      <w:pPr>
        <w:rPr>
          <w:rFonts w:hint="eastAsia" w:ascii="宋体" w:hAnsi="宋体" w:eastAsia="宋体" w:cs="宋体"/>
          <w:b/>
          <w:bCs w:val="0"/>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center"/>
        <w:textAlignment w:val="auto"/>
        <w:rPr>
          <w:rFonts w:hint="eastAsia" w:ascii="方正小标宋简体" w:hAnsi="方正小标宋简体" w:eastAsia="方正小标宋简体" w:cs="方正小标宋简体"/>
          <w:b/>
          <w:bCs/>
          <w:color w:val="auto"/>
          <w:sz w:val="32"/>
          <w:szCs w:val="32"/>
          <w:highlight w:val="none"/>
          <w:lang w:val="en-US" w:eastAsia="zh-CN"/>
        </w:rPr>
      </w:pPr>
      <w:bookmarkStart w:id="25" w:name="_Toc21956"/>
      <w:r>
        <w:rPr>
          <w:rFonts w:hint="eastAsia" w:ascii="方正小标宋简体" w:hAnsi="方正小标宋简体" w:eastAsia="方正小标宋简体" w:cs="方正小标宋简体"/>
          <w:b/>
          <w:bCs/>
          <w:color w:val="auto"/>
          <w:sz w:val="32"/>
          <w:szCs w:val="32"/>
          <w:highlight w:val="none"/>
          <w:lang w:val="en-US" w:eastAsia="zh-CN"/>
        </w:rPr>
        <w:t>2026年平台存储扩容服务项目合同书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地址：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联系人：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联系方式：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乙方：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地址：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联系人：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联系方式：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甲</w:t>
      </w:r>
      <w:r>
        <w:rPr>
          <w:rFonts w:hint="eastAsia" w:ascii="仿宋" w:hAnsi="仿宋" w:eastAsia="仿宋" w:cs="仿宋"/>
          <w:color w:val="auto"/>
          <w:sz w:val="28"/>
          <w:szCs w:val="28"/>
          <w:highlight w:val="none"/>
        </w:rPr>
        <w:t xml:space="preserve">乙双方经过平等友好协商，依照《中华人民共和国民法典》等相关法律法规，现就双方合作事宜达成如下协议，以资共同遵守。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 xml:space="preserve">服务要求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（一）服务内容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详见《采购需求书》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履行期限</w:t>
      </w:r>
      <w:r>
        <w:rPr>
          <w:rFonts w:hint="eastAsia" w:ascii="仿宋" w:hAnsi="仿宋" w:eastAsia="仿宋" w:cs="仿宋"/>
          <w:color w:val="auto"/>
          <w:sz w:val="28"/>
          <w:szCs w:val="28"/>
          <w:highlight w:val="none"/>
          <w:lang w:eastAsia="zh-CN"/>
        </w:rPr>
        <w:t>：合同签订之日起至2027年6月30日。</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二、合同金额及付款方式</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1.合同金额（含税）为人民币【 】元，上述费用已包含乙方为完成本合同规定的各项内容所需的所有费用。与本合同相关的税费由乙方承担，本合同总价为含税价；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合同签订后，乙方向甲方提供等额增值税专用发票，甲方收到最终客户方对应款项的前提下，于30个工作日内向乙方支付合同总额的50%，即【 】元。</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甲方对本合同第一条所列成果验收无误，乙方向甲方提供等额增值税专用发票，甲方收到最终客户方对应款项的前提下，于30个工作日内向乙方支付合同总额的50%，即【 】元。</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 xml:space="preserve">与本合同相关的税费由乙方承担，本合同总价为含税价；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2.如乙方未按时提供发票或提供的发票不合规，甲方有权延迟付款或拒绝付款且不承担任何违约责任，如因存在任何违反发票合法合规问题导致甲方遭受损失的，乙方应就甲方的损失承担赔偿义务；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3.付款方式：银行转账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银行账号：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乙方保证以上账号信息准确无误，若有变更乙方应至少提前5个工作日以书面方式通知甲方，否则由乙方自行承担所有后果及责任</w:t>
      </w:r>
      <w:r>
        <w:rPr>
          <w:rFonts w:hint="eastAsia" w:ascii="仿宋" w:hAnsi="仿宋" w:eastAsia="仿宋" w:cs="仿宋"/>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乙方未能按照上述付款要求提供付款材料的，或乙方提供的账户的原因（包括但不限于账号书写错误、被注销、被冻结等）导致乙方无法正常收取款项的，甲方有权暂停付款，因此产生的不利后果由乙方自行承担</w:t>
      </w:r>
      <w:r>
        <w:rPr>
          <w:rFonts w:hint="eastAsia" w:ascii="仿宋" w:hAnsi="仿宋" w:eastAsia="仿宋" w:cs="仿宋"/>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若甲方接受最终客户方对本项目验收未达到目标导致费用扣减时，乙方同意将同时在甲方支付的款项中进行同等扣减。</w:t>
      </w:r>
    </w:p>
    <w:p>
      <w:pPr>
        <w:pStyle w:val="15"/>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7.涉及产品或者服务发放的，相关税费由乙方负责代扣代缴。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、知识产权约定</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1.乙方因履行本合同制作的任何工作成果，其全部知识产权</w:t>
      </w:r>
      <w:r>
        <w:rPr>
          <w:rFonts w:hint="eastAsia" w:ascii="仿宋" w:hAnsi="仿宋" w:eastAsia="仿宋" w:cs="仿宋"/>
          <w:color w:val="auto"/>
          <w:sz w:val="28"/>
          <w:szCs w:val="28"/>
          <w:highlight w:val="none"/>
          <w:lang w:val="en-US" w:eastAsia="zh-CN"/>
        </w:rPr>
        <w:t>及所有权</w:t>
      </w:r>
      <w:r>
        <w:rPr>
          <w:rFonts w:hint="eastAsia" w:ascii="仿宋" w:hAnsi="仿宋" w:eastAsia="仿宋" w:cs="仿宋"/>
          <w:color w:val="auto"/>
          <w:sz w:val="28"/>
          <w:szCs w:val="28"/>
          <w:highlight w:val="none"/>
        </w:rPr>
        <w:t>归甲方所有</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2.本合同所提交的工作成果由乙方独立制作，</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不可交由第三方，否则由此产生的纠纷由乙方负责处理并承担责任</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任何一方均应尊重相对方、第三方的知识产权，如有任何第三方就一方侵犯其知识产权等合法权益的原因向另一方提起诉讼、主张索赔的，责任方应当独立处理相关纠纷，赔偿另一方的直接经济损失，并使另一方免责。</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rPr>
        <w:t>、双方的权利和义务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（一）甲方的权利义务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1.甲方指定专人负责与乙方进行工作对接，负责向乙方传达项目要求；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2.甲方对乙方提供的成果内容有最终审定权，</w:t>
      </w:r>
      <w:r>
        <w:rPr>
          <w:rFonts w:hint="eastAsia" w:ascii="仿宋" w:hAnsi="仿宋" w:eastAsia="仿宋" w:cs="仿宋"/>
          <w:color w:val="auto"/>
          <w:sz w:val="28"/>
          <w:szCs w:val="28"/>
          <w:highlight w:val="none"/>
        </w:rPr>
        <w:t>有权提出</w:t>
      </w:r>
      <w:r>
        <w:rPr>
          <w:rFonts w:hint="eastAsia" w:ascii="仿宋" w:hAnsi="仿宋" w:eastAsia="仿宋" w:cs="仿宋"/>
          <w:color w:val="auto"/>
          <w:sz w:val="28"/>
          <w:szCs w:val="28"/>
          <w:highlight w:val="none"/>
          <w:lang w:val="en-US" w:eastAsia="zh-CN"/>
        </w:rPr>
        <w:t>合理的</w:t>
      </w:r>
      <w:r>
        <w:rPr>
          <w:rFonts w:hint="eastAsia" w:ascii="仿宋" w:hAnsi="仿宋" w:eastAsia="仿宋" w:cs="仿宋"/>
          <w:color w:val="auto"/>
          <w:sz w:val="28"/>
          <w:szCs w:val="28"/>
          <w:highlight w:val="none"/>
        </w:rPr>
        <w:t>修改意见</w:t>
      </w:r>
      <w:r>
        <w:rPr>
          <w:rFonts w:hint="eastAsia" w:ascii="仿宋" w:hAnsi="仿宋" w:eastAsia="仿宋" w:cs="仿宋"/>
          <w:color w:val="auto"/>
          <w:sz w:val="28"/>
          <w:szCs w:val="28"/>
          <w:highlight w:val="none"/>
          <w:lang w:eastAsia="zh-CN"/>
        </w:rPr>
        <w:t>，乙方应按甲方要求对成果进行修改，使</w:t>
      </w:r>
      <w:r>
        <w:rPr>
          <w:rFonts w:hint="eastAsia" w:ascii="仿宋" w:hAnsi="仿宋" w:eastAsia="仿宋" w:cs="仿宋"/>
          <w:color w:val="auto"/>
          <w:sz w:val="28"/>
          <w:szCs w:val="28"/>
          <w:highlight w:val="none"/>
          <w:lang w:val="en-US" w:eastAsia="zh-CN"/>
        </w:rPr>
        <w:t>工作内容</w:t>
      </w:r>
      <w:r>
        <w:rPr>
          <w:rFonts w:hint="eastAsia" w:ascii="仿宋" w:hAnsi="仿宋" w:eastAsia="仿宋" w:cs="仿宋"/>
          <w:color w:val="auto"/>
          <w:sz w:val="28"/>
          <w:szCs w:val="28"/>
          <w:highlight w:val="none"/>
          <w:lang w:eastAsia="zh-CN"/>
        </w:rPr>
        <w:t>符合甲方的预期要求；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3.甲方有权根据本合同约定，对乙方提供的各项服务内容进行审查、监督和验收。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（二）乙方</w:t>
      </w:r>
      <w:r>
        <w:rPr>
          <w:rFonts w:hint="eastAsia" w:ascii="仿宋" w:hAnsi="仿宋" w:eastAsia="仿宋" w:cs="仿宋"/>
          <w:color w:val="auto"/>
          <w:sz w:val="28"/>
          <w:szCs w:val="28"/>
          <w:highlight w:val="none"/>
        </w:rPr>
        <w:t>的权利义务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乙方不得自行使用或许可他人使用</w:t>
      </w:r>
      <w:r>
        <w:rPr>
          <w:rFonts w:hint="eastAsia" w:ascii="仿宋" w:hAnsi="仿宋" w:eastAsia="仿宋" w:cs="仿宋"/>
          <w:color w:val="auto"/>
          <w:sz w:val="28"/>
          <w:szCs w:val="28"/>
          <w:highlight w:val="none"/>
          <w:lang w:val="en-US" w:eastAsia="zh-CN"/>
        </w:rPr>
        <w:t>本合同涉及的内容，不得将成果再创作或用于其他商业用途</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2.乙方不得将本合同权利义务转委托第三方处理；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3.乙方应及时与甲方沟通工作进展，就情况进展、存在问题等进行沟通交流，减少风险；</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4.乙方应按照甲方需求定期召开例会，指定专人负责与甲方进行工作对接，保证服务质量。</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项目验收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乙方完成合同所规定的全部工作后向甲方提出验收申请，甲方应及时组织验收，若甲方提出建议，乙方应根据建议完成相应的完善工作后，再向甲方重新提出验收申请，乙方应无条件配合验收工作，提交验收材料</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2.验收材料属于本合同附件材料之一，与本合同具有同等法律效力。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3.双方约定的其他验收规则：【详见《采购需求书》】</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、保密信息</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1.乙方对于因签署或履行本协议而了解或接触到甲方的秘密、其他未公开资料和信息，包括但不限于数据资料、商务资料、技术方案、创意设想、用户信息、人事资料、价格、财务状况等，均应保守秘密</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2.乙方不得向第三方泄露、给予或转让本协议条款、签订及履行情况</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3.乙方不得擅自使用、复制甲方的商标、标志、商业信息、技术及其他资料，也不得将信息内容用作其他商业目的</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.合同终止后本条款仍具法律效力，直至相关信息不再具有保密意义</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、违约责任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1.若乙方不能按时完成本合同第一条所列内容的，需每日按合同总金额的</w:t>
      </w:r>
      <w:r>
        <w:rPr>
          <w:rFonts w:hint="eastAsia" w:ascii="仿宋" w:hAnsi="仿宋" w:eastAsia="仿宋" w:cs="仿宋"/>
          <w:color w:val="auto"/>
          <w:sz w:val="28"/>
          <w:szCs w:val="28"/>
          <w:highlight w:val="none"/>
          <w:lang w:val="en-US" w:eastAsia="zh-CN"/>
        </w:rPr>
        <w:t>千分之三</w:t>
      </w:r>
      <w:r>
        <w:rPr>
          <w:rFonts w:hint="eastAsia" w:ascii="仿宋" w:hAnsi="仿宋" w:eastAsia="仿宋" w:cs="仿宋"/>
          <w:color w:val="auto"/>
          <w:sz w:val="28"/>
          <w:szCs w:val="28"/>
          <w:highlight w:val="none"/>
        </w:rPr>
        <w:t>向甲方支付违约金，逾期超过10日的，甲方有权解除合同，给甲方造成损失的，乙方还需赔偿损失，严重影响甲方利益或名誉的，甲方有权终止本合同，并有权要求乙方赔偿甲方一切损失；</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提供的服务明显不符合本合同规定或甲方要求的，甲方有权拒收，乙方应按甲方要求整改，直至完成项目为止。整改完成后仍不能满足甲方要求的，或者整改已无意义、已无法弥补甲方损失的，甲方有权拒绝支付该费用。因乙方违约造成甲方损失的，乙方还应赔偿损失。 </w:t>
      </w:r>
    </w:p>
    <w:p>
      <w:pPr>
        <w:pStyle w:val="15"/>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乙方未能按照约定处理履行合同过程中发生的问题，或者处理该问题的时间超过必要时间，或者未能及时响应甲方提出的需求的，每发生一次，甲方有权在尾款中扣除相当于合同总金额【1‰】的违约金，若给甲方造成的损失大于上述违约金的，乙方还需赔偿甲方损失。合同期内若累计发生3次该情况的，甲方有权解除本合同，要求乙方退还已支付费用并赔偿甲方损失。</w:t>
      </w:r>
    </w:p>
    <w:p>
      <w:pPr>
        <w:pStyle w:val="15"/>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4.乙方将本项目进行转包或进行分包的，甲方有权追回已支付的全部费用，乙方还应当向甲方支付合同总价款【10】%的违约金；甲方也可同时解除合同，违约金不足以弥补甲方损失的，由乙方继续赔偿。</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八</w:t>
      </w:r>
      <w:r>
        <w:rPr>
          <w:rFonts w:hint="eastAsia" w:ascii="仿宋" w:hAnsi="仿宋" w:eastAsia="仿宋" w:cs="仿宋"/>
          <w:color w:val="auto"/>
          <w:sz w:val="28"/>
          <w:szCs w:val="28"/>
          <w:highlight w:val="none"/>
        </w:rPr>
        <w:t>、法律适用及争议解决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1.若发生争议，双方应首先通过协商解决。协商不成可向甲方所在地人民法院提起诉讼，双方无争议的部分，应当继续履行</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2.本合同的成立、生效、履行、解释及纠纷解决等双方均同意适用中华人民共和国法律</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3.合理的律师费、诉讼费、鉴定费、财产保全费、证据保全费、差旅费等由败诉一方承担。</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九</w:t>
      </w:r>
      <w:r>
        <w:rPr>
          <w:rFonts w:hint="eastAsia" w:ascii="仿宋" w:hAnsi="仿宋" w:eastAsia="仿宋" w:cs="仿宋"/>
          <w:color w:val="auto"/>
          <w:sz w:val="28"/>
          <w:szCs w:val="28"/>
          <w:highlight w:val="none"/>
        </w:rPr>
        <w:t>、不可抗力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十、税费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在中国境内、外发生的与本合同执行有关的一切税费均由乙方负担。</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、其他</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1.本合同一式陆份，甲乙双方各执叁份，具有同等法律效力；其他未尽事宜，由甲乙双方协商确定并签订书面补充协议，作为本合同的补充，补充协议与本合同具有同等法律效力</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2.本合同签订地为广东省广州市越秀区</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3.除非另有说明，本合同中结算货币为人民币</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4.本合同自法定代表人或授权代表签字盖章之日起生效。</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――――――――本页以下为盖章页――――――――――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法定代表人/授权代表：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乙方：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法定代表人/授权代表：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日期：                         </w:t>
      </w:r>
    </w:p>
    <w:p>
      <w:pPr>
        <w:rPr>
          <w:rFonts w:hint="eastAsia" w:ascii="方正小标宋简体" w:hAnsi="方正小标宋简体" w:eastAsia="方正小标宋简体" w:cs="方正小标宋简体"/>
          <w:b/>
          <w:color w:val="auto"/>
          <w:sz w:val="36"/>
          <w:szCs w:val="36"/>
          <w:highlight w:val="none"/>
          <w:lang w:val="en-US" w:eastAsia="zh-CN"/>
        </w:rPr>
      </w:pPr>
      <w:r>
        <w:rPr>
          <w:rFonts w:hint="eastAsia" w:ascii="方正小标宋简体" w:hAnsi="方正小标宋简体" w:eastAsia="方正小标宋简体" w:cs="方正小标宋简体"/>
          <w:b/>
          <w:color w:val="auto"/>
          <w:sz w:val="36"/>
          <w:szCs w:val="36"/>
          <w:highlight w:val="none"/>
          <w:lang w:val="en-US" w:eastAsia="zh-CN"/>
        </w:rPr>
        <w:br w:type="page"/>
      </w:r>
    </w:p>
    <w:p>
      <w:pPr>
        <w:pStyle w:val="2"/>
        <w:jc w:val="center"/>
        <w:outlineLvl w:val="0"/>
        <w:rPr>
          <w:rFonts w:hint="eastAsia" w:ascii="方正小标宋简体" w:hAnsi="方正小标宋简体" w:eastAsia="方正小标宋简体" w:cs="方正小标宋简体"/>
          <w:b/>
          <w:color w:val="auto"/>
          <w:sz w:val="36"/>
          <w:szCs w:val="36"/>
          <w:highlight w:val="none"/>
          <w:lang w:val="en-US" w:eastAsia="zh-CN"/>
        </w:rPr>
      </w:pPr>
      <w:r>
        <w:rPr>
          <w:rFonts w:hint="eastAsia" w:ascii="方正小标宋简体" w:hAnsi="方正小标宋简体" w:eastAsia="方正小标宋简体" w:cs="方正小标宋简体"/>
          <w:b/>
          <w:color w:val="auto"/>
          <w:sz w:val="36"/>
          <w:szCs w:val="36"/>
          <w:highlight w:val="none"/>
          <w:lang w:val="en-US" w:eastAsia="zh-CN"/>
        </w:rPr>
        <w:t>第五</w:t>
      </w:r>
      <w:bookmarkStart w:id="63" w:name="_GoBack"/>
      <w:bookmarkEnd w:id="63"/>
      <w:r>
        <w:rPr>
          <w:rFonts w:hint="eastAsia" w:ascii="方正小标宋简体" w:hAnsi="方正小标宋简体" w:eastAsia="方正小标宋简体" w:cs="方正小标宋简体"/>
          <w:b/>
          <w:color w:val="auto"/>
          <w:sz w:val="36"/>
          <w:szCs w:val="36"/>
          <w:highlight w:val="none"/>
          <w:lang w:val="en-US" w:eastAsia="zh-CN"/>
        </w:rPr>
        <w:t>章 响应文件格式</w:t>
      </w:r>
      <w:bookmarkEnd w:id="25"/>
    </w:p>
    <w:p>
      <w:pPr>
        <w:pStyle w:val="4"/>
        <w:keepNext/>
        <w:keepLines/>
        <w:pageBreakBefore w:val="0"/>
        <w:widowControl w:val="0"/>
        <w:numPr>
          <w:ilvl w:val="1"/>
          <w:numId w:val="3"/>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color w:val="auto"/>
          <w:highlight w:val="none"/>
        </w:rPr>
      </w:pPr>
      <w:bookmarkStart w:id="26" w:name="_Toc1878"/>
      <w:bookmarkStart w:id="27" w:name="_Toc32326"/>
      <w:r>
        <w:rPr>
          <w:rFonts w:hint="eastAsia" w:ascii="宋体" w:hAnsi="宋体" w:eastAsia="宋体" w:cs="宋体"/>
          <w:color w:val="auto"/>
          <w:highlight w:val="none"/>
        </w:rPr>
        <w:t>应答函</w:t>
      </w:r>
      <w:bookmarkEnd w:id="26"/>
      <w:bookmarkEnd w:id="27"/>
    </w:p>
    <w:p>
      <w:pPr>
        <w:pStyle w:val="24"/>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应   答  </w:t>
      </w:r>
      <w:r>
        <w:rPr>
          <w:rFonts w:hint="eastAsia" w:ascii="宋体" w:hAnsi="宋体" w:cs="宋体"/>
          <w:b/>
          <w:color w:val="auto"/>
          <w:sz w:val="24"/>
          <w:highlight w:val="none"/>
          <w:lang w:val="en-US" w:eastAsia="zh-CN"/>
        </w:rPr>
        <w:t xml:space="preserve"> </w:t>
      </w:r>
      <w:r>
        <w:rPr>
          <w:rFonts w:hint="eastAsia" w:ascii="宋体" w:hAnsi="宋体" w:eastAsia="宋体" w:cs="宋体"/>
          <w:b/>
          <w:color w:val="auto"/>
          <w:sz w:val="24"/>
          <w:highlight w:val="none"/>
        </w:rPr>
        <w:t>函</w:t>
      </w:r>
    </w:p>
    <w:p>
      <w:pPr>
        <w:adjustRightInd w:val="0"/>
        <w:snapToGrid w:val="0"/>
        <w:spacing w:line="4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广东南方网络信息科技有限公司 </w:t>
      </w:r>
    </w:p>
    <w:p>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（供应商名称）</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（以下称“我方”）已仔细研究了</w:t>
      </w:r>
      <w:r>
        <w:rPr>
          <w:rFonts w:hint="eastAsia" w:ascii="宋体" w:hAnsi="宋体" w:eastAsia="宋体" w:cs="宋体"/>
          <w:color w:val="auto"/>
          <w:szCs w:val="21"/>
          <w:highlight w:val="none"/>
          <w:u w:val="single"/>
        </w:rPr>
        <w:t xml:space="preserve">  2026年平台存储扩容服务项目  </w:t>
      </w:r>
      <w:r>
        <w:rPr>
          <w:rFonts w:hint="eastAsia" w:ascii="宋体" w:hAnsi="宋体" w:eastAsia="宋体" w:cs="宋体"/>
          <w:color w:val="auto"/>
          <w:szCs w:val="21"/>
          <w:highlight w:val="none"/>
        </w:rPr>
        <w:t>询价文件的全部内容，</w:t>
      </w:r>
      <w:r>
        <w:rPr>
          <w:rFonts w:hint="eastAsia" w:ascii="宋体" w:hAnsi="宋体" w:eastAsia="宋体" w:cs="宋体"/>
          <w:bCs/>
          <w:color w:val="auto"/>
          <w:szCs w:val="21"/>
          <w:highlight w:val="none"/>
        </w:rPr>
        <w:t>包括澄清或者修改文件以及有关附件（如有）</w:t>
      </w:r>
      <w:r>
        <w:rPr>
          <w:rFonts w:hint="eastAsia" w:ascii="宋体" w:hAnsi="宋体" w:eastAsia="宋体" w:cs="宋体"/>
          <w:color w:val="auto"/>
          <w:szCs w:val="21"/>
          <w:highlight w:val="none"/>
        </w:rPr>
        <w:t>，我方将严格按照询价文件要求递交符合要求的全部</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w:t>
      </w:r>
    </w:p>
    <w:p>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我方承诺如下内容：</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我方的</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包含询价文件规定的全部内容。</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我方承诺在询价文件规定的应答有效期内</w:t>
      </w:r>
      <w:r>
        <w:rPr>
          <w:rFonts w:hint="eastAsia" w:ascii="宋体" w:hAnsi="宋体" w:cs="宋体"/>
          <w:color w:val="auto"/>
          <w:szCs w:val="21"/>
          <w:highlight w:val="none"/>
          <w:lang w:eastAsia="zh-CN"/>
        </w:rPr>
        <w:t>（</w:t>
      </w:r>
      <w:r>
        <w:rPr>
          <w:rFonts w:hint="eastAsia" w:ascii="宋体" w:hAnsi="宋体" w:eastAsia="宋体" w:cs="宋体"/>
          <w:b w:val="0"/>
          <w:bCs w:val="0"/>
          <w:color w:val="auto"/>
          <w:szCs w:val="21"/>
          <w:highlight w:val="none"/>
        </w:rPr>
        <w:t>应答有效期</w:t>
      </w:r>
      <w:r>
        <w:rPr>
          <w:rFonts w:hint="eastAsia" w:ascii="宋体" w:hAnsi="宋体" w:eastAsia="宋体" w:cs="宋体"/>
          <w:color w:val="auto"/>
          <w:kern w:val="2"/>
          <w:sz w:val="21"/>
          <w:szCs w:val="24"/>
          <w:highlight w:val="none"/>
        </w:rPr>
        <w:t>：</w:t>
      </w:r>
      <w:r>
        <w:rPr>
          <w:rFonts w:hint="eastAsia" w:ascii="宋体" w:hAnsi="宋体" w:cs="宋体"/>
          <w:color w:val="auto"/>
          <w:kern w:val="2"/>
          <w:sz w:val="21"/>
          <w:szCs w:val="24"/>
          <w:highlight w:val="none"/>
          <w:u w:val="single"/>
          <w:lang w:val="en-US" w:eastAsia="zh-CN"/>
        </w:rPr>
        <w:t>6</w:t>
      </w:r>
      <w:r>
        <w:rPr>
          <w:rFonts w:hint="eastAsia" w:ascii="宋体" w:hAnsi="宋体" w:eastAsia="宋体" w:cs="宋体"/>
          <w:color w:val="auto"/>
          <w:kern w:val="2"/>
          <w:sz w:val="21"/>
          <w:szCs w:val="24"/>
          <w:highlight w:val="none"/>
          <w:u w:val="single"/>
        </w:rPr>
        <w:t>0</w:t>
      </w:r>
      <w:r>
        <w:rPr>
          <w:rFonts w:hint="eastAsia" w:ascii="宋体" w:hAnsi="宋体" w:eastAsia="宋体" w:cs="宋体"/>
          <w:color w:val="auto"/>
          <w:kern w:val="2"/>
          <w:sz w:val="21"/>
          <w:szCs w:val="24"/>
          <w:highlight w:val="none"/>
        </w:rPr>
        <w:t>天</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不修改、撤销</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我方在参与询价过程中根据采购小组要求提供的符合相关规定的澄清文件，构成</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的组成部分。</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我方声明具备如下供应商资格条件：（1）中华人民共和国境内注册的具有独立承担民事责任能力的法人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或其他组织）</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能够</w:t>
      </w:r>
      <w:r>
        <w:rPr>
          <w:rFonts w:hint="eastAsia" w:ascii="宋体" w:hAnsi="宋体" w:eastAsia="宋体" w:cs="宋体"/>
          <w:color w:val="auto"/>
          <w:szCs w:val="21"/>
          <w:highlight w:val="none"/>
        </w:rPr>
        <w:t>开具增值税</w:t>
      </w:r>
      <w:r>
        <w:rPr>
          <w:rFonts w:hint="eastAsia" w:ascii="宋体" w:hAnsi="宋体" w:cs="宋体"/>
          <w:color w:val="auto"/>
          <w:szCs w:val="21"/>
          <w:highlight w:val="none"/>
          <w:lang w:val="en-US" w:eastAsia="zh-CN"/>
        </w:rPr>
        <w:t>专用</w:t>
      </w:r>
      <w:r>
        <w:rPr>
          <w:rFonts w:hint="eastAsia" w:ascii="宋体" w:hAnsi="宋体" w:eastAsia="宋体" w:cs="宋体"/>
          <w:color w:val="auto"/>
          <w:szCs w:val="21"/>
          <w:highlight w:val="none"/>
        </w:rPr>
        <w:t>发票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税法规定不能开具专用发票的除外</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2"/>
          <w:sz w:val="21"/>
          <w:szCs w:val="21"/>
          <w:highlight w:val="none"/>
          <w:lang w:val="en-US" w:eastAsia="zh-CN" w:bidi="ar-SA"/>
        </w:rPr>
        <w:t>具备承担本采购项目的能力</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响应报价为</w:t>
      </w:r>
      <w:r>
        <w:rPr>
          <w:rFonts w:hint="eastAsia" w:ascii="宋体" w:hAnsi="宋体" w:eastAsia="宋体" w:cs="宋体"/>
          <w:color w:val="auto"/>
          <w:sz w:val="21"/>
          <w:szCs w:val="21"/>
          <w:highlight w:val="none"/>
          <w:lang w:eastAsia="zh-CN"/>
        </w:rPr>
        <w:t>对所有的采购内容进行报价</w:t>
      </w:r>
      <w:r>
        <w:rPr>
          <w:rFonts w:hint="eastAsia" w:ascii="宋体" w:hAnsi="宋体" w:cs="宋体"/>
          <w:color w:val="auto"/>
          <w:sz w:val="21"/>
          <w:szCs w:val="21"/>
          <w:highlight w:val="none"/>
          <w:lang w:eastAsia="zh-CN"/>
        </w:rPr>
        <w:t>。</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auto"/>
          <w:sz w:val="21"/>
          <w:szCs w:val="21"/>
          <w:highlight w:val="none"/>
        </w:rPr>
        <w:t>被列入国家企业信用信息公示系统的经营异常名录、严重违法失信企业名单</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仅</w:t>
      </w:r>
      <w:r>
        <w:rPr>
          <w:rFonts w:hint="eastAsia" w:ascii="宋体" w:hAnsi="宋体" w:eastAsia="宋体" w:cs="宋体"/>
          <w:i w:val="0"/>
          <w:iCs w:val="0"/>
          <w:color w:val="auto"/>
          <w:kern w:val="2"/>
          <w:sz w:val="21"/>
          <w:szCs w:val="21"/>
          <w:highlight w:val="none"/>
          <w:lang w:val="en-US" w:eastAsia="zh-CN" w:bidi="ar-SA"/>
        </w:rPr>
        <w:t>对部分内容报价</w:t>
      </w:r>
      <w:r>
        <w:rPr>
          <w:rFonts w:hint="eastAsia" w:ascii="宋体" w:hAnsi="宋体" w:cs="宋体"/>
          <w:i w:val="0"/>
          <w:iCs w:val="0"/>
          <w:color w:val="auto"/>
          <w:kern w:val="2"/>
          <w:sz w:val="21"/>
          <w:szCs w:val="21"/>
          <w:highlight w:val="none"/>
          <w:lang w:val="en-US" w:eastAsia="zh-CN" w:bidi="ar-SA"/>
        </w:rPr>
        <w:t>的情形。</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我方承诺：非联合体参与应答，</w:t>
      </w:r>
      <w:r>
        <w:rPr>
          <w:rFonts w:hint="eastAsia" w:ascii="宋体" w:hAnsi="宋体" w:cs="宋体"/>
          <w:color w:val="auto"/>
          <w:szCs w:val="21"/>
          <w:highlight w:val="none"/>
          <w:lang w:val="en-US" w:eastAsia="zh-CN"/>
        </w:rPr>
        <w:t>若我方最终为成交人，</w:t>
      </w:r>
      <w:r>
        <w:rPr>
          <w:rFonts w:hint="eastAsia" w:ascii="宋体" w:hAnsi="宋体" w:eastAsia="宋体" w:cs="宋体"/>
          <w:color w:val="auto"/>
          <w:szCs w:val="21"/>
          <w:highlight w:val="none"/>
        </w:rPr>
        <w:t>不转包或分包</w:t>
      </w:r>
      <w:r>
        <w:rPr>
          <w:rFonts w:hint="eastAsia" w:ascii="宋体" w:hAnsi="宋体" w:eastAsia="宋体" w:cs="宋体"/>
          <w:color w:val="auto"/>
          <w:szCs w:val="21"/>
          <w:highlight w:val="none"/>
          <w:lang w:eastAsia="zh-CN"/>
        </w:rPr>
        <w:t>。</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我方理解采购单位并无义务必须接受最低报价，完全理解报价不是项目评审的唯一标准。</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如确定我方成交：</w:t>
      </w:r>
    </w:p>
    <w:p>
      <w:pPr>
        <w:pStyle w:val="24"/>
        <w:numPr>
          <w:ilvl w:val="0"/>
          <w:numId w:val="5"/>
        </w:numPr>
        <w:tabs>
          <w:tab w:val="left" w:pos="993"/>
        </w:tabs>
        <w:snapToGrid w:val="0"/>
        <w:spacing w:line="400" w:lineRule="exact"/>
        <w:ind w:left="0" w:firstLine="426"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w:t>
      </w:r>
      <w:r>
        <w:rPr>
          <w:rFonts w:hint="eastAsia" w:ascii="宋体" w:hAnsi="宋体" w:cs="宋体"/>
          <w:color w:val="auto"/>
          <w:szCs w:val="21"/>
          <w:highlight w:val="none"/>
          <w:lang w:val="en-US" w:eastAsia="zh-CN"/>
        </w:rPr>
        <w:t>若我方成为本项目成交供应商</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在你方</w:t>
      </w:r>
      <w:r>
        <w:rPr>
          <w:rFonts w:hint="eastAsia" w:ascii="宋体" w:hAnsi="宋体" w:eastAsia="宋体" w:cs="宋体"/>
          <w:color w:val="auto"/>
          <w:szCs w:val="21"/>
          <w:highlight w:val="none"/>
        </w:rPr>
        <w:t>规定的期限内与你方签订合同。</w:t>
      </w:r>
    </w:p>
    <w:p>
      <w:pPr>
        <w:pStyle w:val="24"/>
        <w:numPr>
          <w:ilvl w:val="0"/>
          <w:numId w:val="5"/>
        </w:numPr>
        <w:tabs>
          <w:tab w:val="left" w:pos="993"/>
        </w:tabs>
        <w:snapToGrid w:val="0"/>
        <w:spacing w:line="400" w:lineRule="exact"/>
        <w:ind w:left="0" w:firstLine="426"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我方承诺按照询价</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rPr>
        <w:t>文件的规定及合同约定履行相关责任和义务。</w:t>
      </w:r>
    </w:p>
    <w:p>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我方在此声明，所递交的</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及有关资料内容完整、真实和准确。如有弄虚作假，将承担相应的法律责任，并赔偿由此造成的一切损失。</w:t>
      </w:r>
    </w:p>
    <w:p>
      <w:pPr>
        <w:pStyle w:val="24"/>
        <w:numPr>
          <w:ilvl w:val="3"/>
          <w:numId w:val="4"/>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我方承诺遵守采购工作纪律，不向第三方透露与本项目报价相关的所有信息，不采取不正当手段谋取成交，随时接受贵方监督检查部门调查并如实说明情况。</w:t>
      </w:r>
    </w:p>
    <w:p>
      <w:pPr>
        <w:snapToGrid w:val="0"/>
        <w:spacing w:line="400" w:lineRule="exact"/>
        <w:ind w:firstLine="2551" w:firstLineChars="1215"/>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（盖单位公章）</w:t>
      </w:r>
    </w:p>
    <w:p>
      <w:pPr>
        <w:snapToGrid w:val="0"/>
        <w:spacing w:line="400" w:lineRule="exact"/>
        <w:ind w:firstLine="2551" w:firstLineChars="1215"/>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法定代表人（负责人）或者其委托代理人：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w:t>
      </w:r>
      <w:r>
        <w:rPr>
          <w:rFonts w:hint="eastAsia" w:ascii="宋体" w:hAnsi="宋体" w:cs="宋体"/>
          <w:color w:val="auto"/>
          <w:szCs w:val="21"/>
          <w:highlight w:val="none"/>
          <w:lang w:val="en-US" w:eastAsia="zh-CN"/>
        </w:rPr>
        <w:t>或盖章</w:t>
      </w:r>
      <w:r>
        <w:rPr>
          <w:rFonts w:hint="eastAsia" w:ascii="宋体" w:hAnsi="宋体" w:eastAsia="宋体" w:cs="宋体"/>
          <w:color w:val="auto"/>
          <w:szCs w:val="21"/>
          <w:highlight w:val="none"/>
        </w:rPr>
        <w:t>）</w:t>
      </w:r>
    </w:p>
    <w:p>
      <w:pPr>
        <w:snapToGrid w:val="0"/>
        <w:spacing w:line="400" w:lineRule="exact"/>
        <w:ind w:firstLine="2551" w:firstLineChars="121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pPr>
        <w:snapToGrid w:val="0"/>
        <w:spacing w:line="400" w:lineRule="exact"/>
        <w:ind w:firstLine="2551" w:firstLineChars="1215"/>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p>
    <w:p>
      <w:pPr>
        <w:snapToGrid w:val="0"/>
        <w:spacing w:line="400" w:lineRule="exact"/>
        <w:ind w:firstLine="2551" w:firstLineChars="1215"/>
        <w:jc w:val="left"/>
        <w:rPr>
          <w:rFonts w:hint="eastAsia" w:ascii="宋体" w:hAnsi="宋体" w:eastAsia="宋体" w:cs="宋体"/>
          <w:color w:val="auto"/>
          <w:sz w:val="24"/>
          <w:highlight w:val="none"/>
        </w:rPr>
      </w:pPr>
      <w:r>
        <w:rPr>
          <w:rFonts w:hint="eastAsia" w:ascii="宋体" w:hAnsi="宋体" w:eastAsia="宋体" w:cs="宋体"/>
          <w:color w:val="auto"/>
          <w:highlight w:val="none"/>
        </w:rPr>
        <w:t xml:space="preserve">日期：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 xml:space="preserve">年    月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日</w:t>
      </w:r>
      <w:r>
        <w:rPr>
          <w:rFonts w:hint="eastAsia" w:ascii="宋体" w:hAnsi="宋体" w:eastAsia="宋体" w:cs="宋体"/>
          <w:b/>
          <w:color w:val="auto"/>
          <w:kern w:val="0"/>
          <w:sz w:val="28"/>
          <w:szCs w:val="28"/>
          <w:highlight w:val="none"/>
        </w:rPr>
        <w:br w:type="page"/>
      </w:r>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28" w:name="_Toc18365"/>
      <w:bookmarkStart w:id="29" w:name="_Toc475472674"/>
      <w:bookmarkStart w:id="30" w:name="_Toc1651899"/>
      <w:bookmarkStart w:id="31" w:name="_Toc17459"/>
      <w:bookmarkStart w:id="32" w:name="_Toc68688804"/>
      <w:bookmarkStart w:id="33" w:name="_Toc56432234"/>
      <w:bookmarkStart w:id="34" w:name="_Toc26153"/>
      <w:bookmarkStart w:id="35" w:name="_Toc476321846"/>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单位负责人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身份证明</w:t>
      </w:r>
      <w:bookmarkEnd w:id="28"/>
      <w:bookmarkEnd w:id="29"/>
      <w:bookmarkEnd w:id="30"/>
      <w:bookmarkEnd w:id="31"/>
      <w:bookmarkEnd w:id="32"/>
      <w:bookmarkEnd w:id="33"/>
      <w:bookmarkEnd w:id="34"/>
    </w:p>
    <w:p>
      <w:pPr>
        <w:jc w:val="center"/>
        <w:rPr>
          <w:rFonts w:hint="eastAsia" w:ascii="宋体" w:hAnsi="宋体" w:eastAsia="宋体" w:cs="宋体"/>
          <w:b/>
          <w:color w:val="auto"/>
          <w:sz w:val="24"/>
          <w:highlight w:val="none"/>
        </w:rPr>
      </w:pPr>
    </w:p>
    <w:p>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法定代表人（单位负责人）身份证明</w:t>
      </w:r>
    </w:p>
    <w:p>
      <w:pPr>
        <w:spacing w:line="440" w:lineRule="exact"/>
        <w:rPr>
          <w:rFonts w:hint="eastAsia" w:ascii="宋体" w:hAnsi="宋体" w:eastAsia="宋体" w:cs="宋体"/>
          <w:color w:val="auto"/>
          <w:szCs w:val="21"/>
          <w:highlight w:val="none"/>
        </w:rPr>
      </w:pPr>
    </w:p>
    <w:p>
      <w:pPr>
        <w:topLinePunct/>
        <w:snapToGrid w:val="0"/>
        <w:spacing w:line="440" w:lineRule="exact"/>
        <w:rPr>
          <w:rFonts w:hint="eastAsia" w:ascii="宋体" w:hAnsi="宋体" w:eastAsia="宋体" w:cs="宋体"/>
          <w:bCs/>
          <w:color w:val="auto"/>
          <w:szCs w:val="21"/>
          <w:highlight w:val="none"/>
          <w:u w:val="single"/>
        </w:rPr>
      </w:pP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名称：</w:t>
      </w:r>
      <w:r>
        <w:rPr>
          <w:rFonts w:hint="eastAsia" w:ascii="宋体" w:hAnsi="宋体" w:eastAsia="宋体" w:cs="宋体"/>
          <w:bCs/>
          <w:color w:val="auto"/>
          <w:szCs w:val="21"/>
          <w:highlight w:val="none"/>
          <w:u w:val="single"/>
        </w:rPr>
        <w:t xml:space="preserve">                         </w:t>
      </w:r>
    </w:p>
    <w:p>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单位性质：</w:t>
      </w:r>
      <w:r>
        <w:rPr>
          <w:rFonts w:hint="eastAsia" w:ascii="宋体" w:hAnsi="宋体" w:eastAsia="宋体" w:cs="宋体"/>
          <w:bCs/>
          <w:color w:val="auto"/>
          <w:szCs w:val="21"/>
          <w:highlight w:val="none"/>
          <w:u w:val="single"/>
        </w:rPr>
        <w:t xml:space="preserve">                           </w:t>
      </w:r>
    </w:p>
    <w:p>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成立时间：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w:t>
      </w:r>
    </w:p>
    <w:p>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经营期限：</w:t>
      </w:r>
      <w:r>
        <w:rPr>
          <w:rFonts w:hint="eastAsia" w:ascii="宋体" w:hAnsi="宋体" w:eastAsia="宋体" w:cs="宋体"/>
          <w:bCs/>
          <w:color w:val="auto"/>
          <w:szCs w:val="21"/>
          <w:highlight w:val="none"/>
          <w:u w:val="single"/>
        </w:rPr>
        <w:t xml:space="preserve">            </w:t>
      </w:r>
    </w:p>
    <w:p>
      <w:pPr>
        <w:topLinePunct/>
        <w:snapToGrid w:val="0"/>
        <w:spacing w:line="440" w:lineRule="exact"/>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姓名：</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性别：</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年龄：</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职务：</w:t>
      </w:r>
      <w:r>
        <w:rPr>
          <w:rFonts w:hint="eastAsia" w:ascii="宋体" w:hAnsi="宋体" w:eastAsia="宋体" w:cs="宋体"/>
          <w:bCs/>
          <w:color w:val="auto"/>
          <w:szCs w:val="21"/>
          <w:highlight w:val="none"/>
          <w:u w:val="single"/>
        </w:rPr>
        <w:t xml:space="preserve">         </w:t>
      </w:r>
    </w:p>
    <w:p>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系</w:t>
      </w:r>
      <w:r>
        <w:rPr>
          <w:rFonts w:hint="eastAsia" w:ascii="宋体" w:hAnsi="宋体" w:eastAsia="宋体" w:cs="宋体"/>
          <w:color w:val="auto"/>
          <w:highlight w:val="none"/>
          <w:u w:val="single"/>
        </w:rPr>
        <w:t>XX公司</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供应商</w:t>
      </w:r>
      <w:r>
        <w:rPr>
          <w:rFonts w:hint="eastAsia" w:ascii="宋体" w:hAnsi="宋体" w:eastAsia="宋体" w:cs="宋体"/>
          <w:color w:val="auto"/>
          <w:szCs w:val="21"/>
          <w:highlight w:val="none"/>
          <w:u w:val="single"/>
        </w:rPr>
        <w:t>单位名称]</w:t>
      </w:r>
      <w:r>
        <w:rPr>
          <w:rFonts w:hint="eastAsia" w:ascii="宋体" w:hAnsi="宋体" w:eastAsia="宋体" w:cs="宋体"/>
          <w:bCs/>
          <w:color w:val="auto"/>
          <w:szCs w:val="21"/>
          <w:highlight w:val="none"/>
        </w:rPr>
        <w:t>的法定代表人（单位负责人）。</w:t>
      </w:r>
    </w:p>
    <w:p>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特此证明。</w:t>
      </w:r>
    </w:p>
    <w:p>
      <w:pPr>
        <w:topLinePunct/>
        <w:snapToGrid w:val="0"/>
        <w:spacing w:line="440" w:lineRule="exact"/>
        <w:ind w:firstLine="420" w:firstLineChars="200"/>
        <w:rPr>
          <w:rFonts w:hint="eastAsia" w:ascii="宋体" w:hAnsi="宋体" w:eastAsia="宋体" w:cs="宋体"/>
          <w:bCs/>
          <w:color w:val="auto"/>
          <w:szCs w:val="21"/>
          <w:highlight w:val="none"/>
        </w:rPr>
      </w:pPr>
    </w:p>
    <w:p>
      <w:pPr>
        <w:topLinePunct/>
        <w:snapToGrid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附：法定代表人</w:t>
      </w:r>
      <w:r>
        <w:rPr>
          <w:rFonts w:hint="eastAsia" w:ascii="宋体" w:hAnsi="宋体" w:eastAsia="宋体" w:cs="宋体"/>
          <w:bCs/>
          <w:color w:val="auto"/>
          <w:szCs w:val="21"/>
          <w:highlight w:val="none"/>
        </w:rPr>
        <w:t>（单位负责人）</w:t>
      </w:r>
      <w:r>
        <w:rPr>
          <w:rFonts w:hint="eastAsia" w:ascii="宋体" w:hAnsi="宋体" w:eastAsia="宋体" w:cs="宋体"/>
          <w:color w:val="auto"/>
          <w:highlight w:val="none"/>
        </w:rPr>
        <w:t>身份证复印件</w:t>
      </w:r>
      <w:r>
        <w:rPr>
          <w:rFonts w:hint="eastAsia" w:ascii="宋体" w:hAnsi="宋体" w:eastAsia="宋体" w:cs="宋体"/>
          <w:bCs/>
          <w:color w:val="auto"/>
          <w:szCs w:val="21"/>
          <w:highlight w:val="none"/>
        </w:rPr>
        <w:t>(需同时提供正面及背面)</w:t>
      </w:r>
    </w:p>
    <w:p>
      <w:pPr>
        <w:spacing w:line="500" w:lineRule="exact"/>
        <w:rPr>
          <w:rFonts w:hint="eastAsia" w:ascii="宋体" w:hAnsi="宋体" w:eastAsia="宋体" w:cs="宋体"/>
          <w:color w:val="auto"/>
          <w:szCs w:val="21"/>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pPr>
        <w:spacing w:line="500" w:lineRule="exact"/>
        <w:rPr>
          <w:rFonts w:hint="eastAsia" w:ascii="宋体" w:hAnsi="宋体" w:eastAsia="宋体" w:cs="宋体"/>
          <w:color w:val="auto"/>
          <w:szCs w:val="21"/>
          <w:highlight w:val="none"/>
        </w:rPr>
      </w:pPr>
    </w:p>
    <w:p>
      <w:pPr>
        <w:spacing w:line="440" w:lineRule="exact"/>
        <w:rPr>
          <w:rFonts w:hint="eastAsia" w:ascii="宋体" w:hAnsi="宋体" w:eastAsia="宋体" w:cs="宋体"/>
          <w:color w:val="auto"/>
          <w:szCs w:val="21"/>
          <w:highlight w:val="none"/>
        </w:rPr>
      </w:pPr>
    </w:p>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pPr>
        <w:spacing w:line="500" w:lineRule="exact"/>
        <w:rPr>
          <w:rFonts w:hint="eastAsia" w:ascii="宋体" w:hAnsi="宋体" w:eastAsia="宋体" w:cs="宋体"/>
          <w:color w:val="auto"/>
          <w:szCs w:val="21"/>
          <w:highlight w:val="none"/>
        </w:rPr>
      </w:pPr>
    </w:p>
    <w:p>
      <w:pPr>
        <w:spacing w:line="440" w:lineRule="exact"/>
        <w:rPr>
          <w:rFonts w:hint="eastAsia" w:ascii="宋体" w:hAnsi="宋体" w:eastAsia="宋体" w:cs="宋体"/>
          <w:color w:val="auto"/>
          <w:szCs w:val="21"/>
          <w:highlight w:val="none"/>
        </w:rPr>
      </w:pPr>
    </w:p>
    <w:p>
      <w:pPr>
        <w:spacing w:line="500" w:lineRule="exact"/>
        <w:rPr>
          <w:rFonts w:hint="eastAsia" w:ascii="宋体" w:hAnsi="宋体" w:eastAsia="宋体" w:cs="宋体"/>
          <w:color w:val="auto"/>
          <w:szCs w:val="21"/>
          <w:highlight w:val="none"/>
        </w:rPr>
      </w:pPr>
    </w:p>
    <w:p>
      <w:pPr>
        <w:spacing w:line="440" w:lineRule="exact"/>
        <w:rPr>
          <w:rFonts w:hint="eastAsia" w:ascii="宋体" w:hAnsi="宋体" w:eastAsia="宋体" w:cs="宋体"/>
          <w:color w:val="auto"/>
          <w:szCs w:val="21"/>
          <w:highlight w:val="none"/>
        </w:rPr>
      </w:pPr>
    </w:p>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pPr>
        <w:spacing w:line="440" w:lineRule="exact"/>
        <w:jc w:val="righ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（盖单位公章）</w:t>
      </w:r>
    </w:p>
    <w:p>
      <w:pPr>
        <w:spacing w:line="440" w:lineRule="exact"/>
        <w:ind w:firstLine="4305" w:firstLineChars="2050"/>
        <w:rPr>
          <w:rFonts w:hint="eastAsia" w:ascii="宋体" w:hAnsi="宋体" w:eastAsia="宋体" w:cs="宋体"/>
          <w:color w:val="auto"/>
          <w:szCs w:val="21"/>
          <w:highlight w:val="none"/>
        </w:rPr>
      </w:pPr>
    </w:p>
    <w:p>
      <w:pPr>
        <w:spacing w:line="44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日期：XX年XX月XX日</w:t>
      </w:r>
    </w:p>
    <w:p>
      <w:pPr>
        <w:topLinePunct/>
        <w:spacing w:line="440" w:lineRule="exact"/>
        <w:ind w:left="422"/>
        <w:jc w:val="left"/>
        <w:rPr>
          <w:rFonts w:hint="eastAsia" w:ascii="宋体" w:hAnsi="宋体" w:eastAsia="宋体" w:cs="宋体"/>
          <w:color w:val="auto"/>
          <w:highlight w:val="none"/>
        </w:rPr>
      </w:pPr>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br w:type="page"/>
      </w:r>
      <w:bookmarkStart w:id="36" w:name="_Toc68688805"/>
      <w:bookmarkStart w:id="37" w:name="_Toc27262"/>
      <w:bookmarkStart w:id="38" w:name="_Toc56432235"/>
      <w:bookmarkStart w:id="39" w:name="_Toc8603"/>
      <w:bookmarkStart w:id="40" w:name="_Toc3806"/>
      <w:bookmarkStart w:id="41" w:name="_Toc1651900"/>
      <w:bookmarkStart w:id="42" w:name="_Toc475472675"/>
      <w:bookmarkStart w:id="43" w:name="_Toc438052122"/>
      <w:r>
        <w:rPr>
          <w:rFonts w:hint="eastAsia" w:ascii="宋体" w:hAnsi="宋体" w:eastAsia="宋体" w:cs="宋体"/>
          <w:color w:val="auto"/>
          <w:highlight w:val="none"/>
        </w:rPr>
        <w:t>法定代表人</w:t>
      </w:r>
      <w:r>
        <w:rPr>
          <w:rFonts w:hint="eastAsia" w:ascii="宋体" w:hAnsi="宋体" w:eastAsia="宋体" w:cs="宋体"/>
          <w:bCs/>
          <w:color w:val="auto"/>
          <w:szCs w:val="21"/>
          <w:highlight w:val="none"/>
        </w:rPr>
        <w:t>（单位负责人）</w:t>
      </w:r>
      <w:r>
        <w:rPr>
          <w:rFonts w:hint="eastAsia" w:ascii="宋体" w:hAnsi="宋体" w:eastAsia="宋体" w:cs="宋体"/>
          <w:color w:val="auto"/>
          <w:highlight w:val="none"/>
        </w:rPr>
        <w:t>授权委托书</w:t>
      </w:r>
      <w:bookmarkEnd w:id="36"/>
      <w:bookmarkEnd w:id="37"/>
      <w:bookmarkEnd w:id="38"/>
      <w:bookmarkEnd w:id="39"/>
      <w:bookmarkEnd w:id="40"/>
      <w:bookmarkEnd w:id="41"/>
      <w:bookmarkEnd w:id="42"/>
      <w:bookmarkEnd w:id="43"/>
    </w:p>
    <w:p>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法定代表人（单位负责人）授权委托书</w:t>
      </w:r>
    </w:p>
    <w:p>
      <w:pPr>
        <w:jc w:val="center"/>
        <w:rPr>
          <w:rFonts w:hint="eastAsia" w:ascii="宋体" w:hAnsi="宋体" w:eastAsia="宋体" w:cs="宋体"/>
          <w:b/>
          <w:color w:val="auto"/>
          <w:sz w:val="24"/>
          <w:highlight w:val="none"/>
        </w:rPr>
      </w:pPr>
    </w:p>
    <w:p>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本人</w:t>
      </w:r>
      <w:r>
        <w:rPr>
          <w:rFonts w:hint="eastAsia" w:ascii="宋体" w:hAnsi="宋体" w:eastAsia="宋体" w:cs="宋体"/>
          <w:color w:val="auto"/>
          <w:highlight w:val="none"/>
          <w:u w:val="single"/>
        </w:rPr>
        <w:t>XX</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供应商</w:t>
      </w:r>
      <w:r>
        <w:rPr>
          <w:rFonts w:hint="eastAsia" w:ascii="宋体" w:hAnsi="宋体" w:eastAsia="宋体" w:cs="宋体"/>
          <w:color w:val="auto"/>
          <w:szCs w:val="21"/>
          <w:highlight w:val="none"/>
          <w:u w:val="single"/>
        </w:rPr>
        <w:t>法定代表人（单位负责人）姓名]</w:t>
      </w:r>
      <w:r>
        <w:rPr>
          <w:rFonts w:hint="eastAsia" w:ascii="宋体" w:hAnsi="宋体" w:eastAsia="宋体" w:cs="宋体"/>
          <w:bCs/>
          <w:color w:val="auto"/>
          <w:szCs w:val="21"/>
          <w:highlight w:val="none"/>
        </w:rPr>
        <w:t xml:space="preserve">系 </w:t>
      </w:r>
      <w:r>
        <w:rPr>
          <w:rFonts w:hint="eastAsia" w:ascii="宋体" w:hAnsi="宋体" w:eastAsia="宋体" w:cs="宋体"/>
          <w:color w:val="auto"/>
          <w:highlight w:val="none"/>
          <w:u w:val="single"/>
        </w:rPr>
        <w:t>XX公司</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供应商</w:t>
      </w:r>
      <w:r>
        <w:rPr>
          <w:rFonts w:hint="eastAsia" w:ascii="宋体" w:hAnsi="宋体" w:eastAsia="宋体" w:cs="宋体"/>
          <w:color w:val="auto"/>
          <w:szCs w:val="21"/>
          <w:highlight w:val="none"/>
          <w:u w:val="single"/>
        </w:rPr>
        <w:t>名称]</w:t>
      </w:r>
      <w:r>
        <w:rPr>
          <w:rFonts w:hint="eastAsia" w:ascii="宋体" w:hAnsi="宋体" w:eastAsia="宋体" w:cs="宋体"/>
          <w:bCs/>
          <w:color w:val="auto"/>
          <w:szCs w:val="21"/>
          <w:highlight w:val="none"/>
        </w:rPr>
        <w:t>的法定代表人（单位负责人），现委托</w:t>
      </w:r>
      <w:r>
        <w:rPr>
          <w:rFonts w:hint="eastAsia" w:ascii="宋体" w:hAnsi="宋体" w:eastAsia="宋体" w:cs="宋体"/>
          <w:color w:val="auto"/>
          <w:highlight w:val="none"/>
          <w:u w:val="single"/>
        </w:rPr>
        <w:t>XX</w:t>
      </w:r>
      <w:r>
        <w:rPr>
          <w:rFonts w:hint="eastAsia" w:ascii="宋体" w:hAnsi="宋体" w:eastAsia="宋体" w:cs="宋体"/>
          <w:color w:val="auto"/>
          <w:szCs w:val="21"/>
          <w:highlight w:val="none"/>
          <w:u w:val="single"/>
        </w:rPr>
        <w:t xml:space="preserve"> [委托代理人姓名]</w:t>
      </w:r>
      <w:r>
        <w:rPr>
          <w:rFonts w:hint="eastAsia" w:ascii="宋体" w:hAnsi="宋体" w:eastAsia="宋体" w:cs="宋体"/>
          <w:bCs/>
          <w:color w:val="auto"/>
          <w:szCs w:val="21"/>
          <w:highlight w:val="none"/>
        </w:rPr>
        <w:t>为我方代理人。代理人根据授权，以我方名义全权处理</w:t>
      </w:r>
      <w:r>
        <w:rPr>
          <w:rFonts w:hint="eastAsia" w:ascii="宋体" w:hAnsi="宋体" w:eastAsia="宋体" w:cs="宋体"/>
          <w:color w:val="auto"/>
          <w:highlight w:val="none"/>
          <w:u w:val="single"/>
        </w:rPr>
        <w:t>XX</w:t>
      </w:r>
      <w:r>
        <w:rPr>
          <w:rFonts w:hint="eastAsia" w:ascii="宋体" w:hAnsi="宋体" w:eastAsia="宋体" w:cs="宋体"/>
          <w:color w:val="auto"/>
          <w:szCs w:val="21"/>
          <w:highlight w:val="none"/>
          <w:u w:val="single"/>
        </w:rPr>
        <w:t>项目[</w:t>
      </w:r>
      <w:r>
        <w:rPr>
          <w:rFonts w:hint="eastAsia" w:ascii="宋体" w:hAnsi="宋体" w:eastAsia="宋体" w:cs="宋体"/>
          <w:bCs/>
          <w:color w:val="auto"/>
          <w:szCs w:val="21"/>
          <w:highlight w:val="none"/>
          <w:u w:val="single"/>
        </w:rPr>
        <w:t>采购项目名称</w:t>
      </w:r>
      <w:r>
        <w:rPr>
          <w:rFonts w:hint="eastAsia" w:ascii="宋体" w:hAnsi="宋体" w:eastAsia="宋体" w:cs="宋体"/>
          <w:color w:val="auto"/>
          <w:szCs w:val="21"/>
          <w:highlight w:val="none"/>
          <w:u w:val="single"/>
        </w:rPr>
        <w:t>]</w:t>
      </w:r>
      <w:r>
        <w:rPr>
          <w:rFonts w:hint="eastAsia" w:ascii="宋体" w:hAnsi="宋体" w:eastAsia="宋体" w:cs="宋体"/>
          <w:bCs/>
          <w:color w:val="auto"/>
          <w:szCs w:val="21"/>
          <w:highlight w:val="none"/>
          <w:u w:val="single"/>
        </w:rPr>
        <w:t>签署、澄清、说明、补正、递交、撤回、修改</w:t>
      </w:r>
      <w:r>
        <w:rPr>
          <w:rFonts w:hint="eastAsia" w:ascii="宋体" w:hAnsi="宋体" w:cs="宋体"/>
          <w:bCs/>
          <w:color w:val="auto"/>
          <w:szCs w:val="21"/>
          <w:highlight w:val="none"/>
          <w:u w:val="single"/>
          <w:lang w:val="en-US" w:eastAsia="zh-CN"/>
        </w:rPr>
        <w:t>响应</w:t>
      </w:r>
      <w:r>
        <w:rPr>
          <w:rFonts w:hint="eastAsia" w:ascii="宋体" w:hAnsi="宋体" w:eastAsia="宋体" w:cs="宋体"/>
          <w:bCs/>
          <w:color w:val="auto"/>
          <w:szCs w:val="21"/>
          <w:highlight w:val="none"/>
          <w:u w:val="single"/>
        </w:rPr>
        <w:t>文件，签订合同和处理一切有关事宜</w:t>
      </w:r>
      <w:r>
        <w:rPr>
          <w:rFonts w:hint="eastAsia" w:ascii="宋体" w:hAnsi="宋体" w:eastAsia="宋体" w:cs="宋体"/>
          <w:bCs/>
          <w:color w:val="auto"/>
          <w:szCs w:val="21"/>
          <w:highlight w:val="none"/>
        </w:rPr>
        <w:t xml:space="preserve">，其法律后果由我方承担。 </w:t>
      </w:r>
    </w:p>
    <w:p>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委托代理人无转委托权。</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附：委托代理人身份证复印件(需同时提供正面及背面)</w:t>
      </w:r>
    </w:p>
    <w:p>
      <w:pPr>
        <w:topLinePunct/>
        <w:snapToGrid w:val="0"/>
        <w:spacing w:line="440" w:lineRule="exact"/>
        <w:ind w:firstLine="420" w:firstLineChars="200"/>
        <w:jc w:val="righ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pPr>
        <w:topLinePunct/>
        <w:snapToGrid w:val="0"/>
        <w:spacing w:line="440" w:lineRule="exact"/>
        <w:ind w:firstLine="420" w:firstLineChars="200"/>
        <w:jc w:val="right"/>
        <w:rPr>
          <w:rFonts w:hint="eastAsia" w:ascii="宋体" w:hAnsi="宋体" w:eastAsia="宋体" w:cs="宋体"/>
          <w:bCs/>
          <w:color w:val="auto"/>
          <w:szCs w:val="21"/>
          <w:highlight w:val="none"/>
        </w:rPr>
      </w:pP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名称：</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（盖单位公章）</w:t>
      </w:r>
    </w:p>
    <w:p>
      <w:pPr>
        <w:pStyle w:val="5"/>
        <w:rPr>
          <w:rFonts w:hint="eastAsia" w:ascii="宋体" w:hAnsi="宋体" w:eastAsia="宋体" w:cs="宋体"/>
          <w:color w:val="auto"/>
          <w:highlight w:val="none"/>
        </w:rPr>
      </w:pPr>
    </w:p>
    <w:p>
      <w:pPr>
        <w:topLinePunct/>
        <w:snapToGrid w:val="0"/>
        <w:spacing w:line="440" w:lineRule="exact"/>
        <w:ind w:firstLine="2310" w:firstLineChars="1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法定代表人（单位负责人）：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（签字</w:t>
      </w:r>
      <w:r>
        <w:rPr>
          <w:rFonts w:hint="eastAsia" w:ascii="宋体" w:hAnsi="宋体" w:cs="宋体"/>
          <w:bCs/>
          <w:color w:val="auto"/>
          <w:szCs w:val="21"/>
          <w:highlight w:val="none"/>
          <w:lang w:val="en-US" w:eastAsia="zh-CN"/>
        </w:rPr>
        <w:t>或盖章</w:t>
      </w:r>
      <w:r>
        <w:rPr>
          <w:rFonts w:hint="eastAsia" w:ascii="宋体" w:hAnsi="宋体" w:eastAsia="宋体" w:cs="宋体"/>
          <w:bCs/>
          <w:color w:val="auto"/>
          <w:szCs w:val="21"/>
          <w:highlight w:val="none"/>
        </w:rPr>
        <w:t>）</w:t>
      </w:r>
    </w:p>
    <w:p>
      <w:pPr>
        <w:pStyle w:val="5"/>
        <w:rPr>
          <w:rFonts w:hint="eastAsia" w:ascii="宋体" w:hAnsi="宋体" w:eastAsia="宋体" w:cs="宋体"/>
          <w:color w:val="auto"/>
          <w:highlight w:val="none"/>
        </w:rPr>
      </w:pPr>
    </w:p>
    <w:p>
      <w:pPr>
        <w:topLinePunct/>
        <w:snapToGrid w:val="0"/>
        <w:spacing w:line="440" w:lineRule="exact"/>
        <w:ind w:firstLine="2310" w:firstLineChars="1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委托代理人：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（签字</w:t>
      </w:r>
      <w:r>
        <w:rPr>
          <w:rFonts w:hint="eastAsia" w:ascii="宋体" w:hAnsi="宋体" w:cs="宋体"/>
          <w:bCs/>
          <w:color w:val="auto"/>
          <w:szCs w:val="21"/>
          <w:highlight w:val="none"/>
          <w:lang w:val="en-US" w:eastAsia="zh-CN"/>
        </w:rPr>
        <w:t>或盖章</w:t>
      </w:r>
      <w:r>
        <w:rPr>
          <w:rFonts w:hint="eastAsia" w:ascii="宋体" w:hAnsi="宋体" w:eastAsia="宋体" w:cs="宋体"/>
          <w:bCs/>
          <w:color w:val="auto"/>
          <w:szCs w:val="21"/>
          <w:highlight w:val="none"/>
        </w:rPr>
        <w:t xml:space="preserve">） </w:t>
      </w:r>
    </w:p>
    <w:p>
      <w:pPr>
        <w:pStyle w:val="5"/>
        <w:rPr>
          <w:rFonts w:hint="eastAsia" w:ascii="宋体" w:hAnsi="宋体" w:eastAsia="宋体" w:cs="宋体"/>
          <w:color w:val="auto"/>
          <w:highlight w:val="none"/>
        </w:rPr>
      </w:pPr>
    </w:p>
    <w:p>
      <w:pPr>
        <w:topLinePunct/>
        <w:snapToGrid w:val="0"/>
        <w:spacing w:line="440" w:lineRule="exact"/>
        <w:ind w:firstLine="2310" w:firstLineChars="1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联系方式（手机）：</w:t>
      </w:r>
      <w:r>
        <w:rPr>
          <w:rFonts w:hint="eastAsia" w:ascii="宋体" w:hAnsi="宋体" w:eastAsia="宋体" w:cs="宋体"/>
          <w:bCs/>
          <w:color w:val="auto"/>
          <w:szCs w:val="21"/>
          <w:highlight w:val="none"/>
          <w:u w:val="single"/>
        </w:rPr>
        <w:t xml:space="preserve">                     </w:t>
      </w:r>
    </w:p>
    <w:p>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pPr>
        <w:topLinePunct/>
        <w:snapToGrid w:val="0"/>
        <w:spacing w:line="440" w:lineRule="exact"/>
        <w:ind w:firstLine="2310" w:firstLineChars="1100"/>
        <w:rPr>
          <w:rFonts w:hint="eastAsia" w:ascii="宋体" w:hAnsi="宋体" w:eastAsia="宋体" w:cs="宋体"/>
          <w:color w:val="auto"/>
          <w:highlight w:val="none"/>
        </w:rPr>
      </w:pPr>
      <w:r>
        <w:rPr>
          <w:rFonts w:hint="eastAsia" w:ascii="宋体" w:hAnsi="宋体" w:eastAsia="宋体" w:cs="宋体"/>
          <w:color w:val="auto"/>
          <w:highlight w:val="none"/>
        </w:rPr>
        <w:t>日期：XX年XX月XX日</w:t>
      </w:r>
    </w:p>
    <w:p>
      <w:pPr>
        <w:spacing w:line="500" w:lineRule="exact"/>
        <w:rPr>
          <w:rFonts w:hint="eastAsia" w:ascii="宋体" w:hAnsi="宋体" w:eastAsia="宋体" w:cs="宋体"/>
          <w:color w:val="auto"/>
          <w:szCs w:val="21"/>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委托代理人身份证正面复印件贴于此处</w:t>
                      </w:r>
                    </w:p>
                    <w:p>
                      <w:pPr>
                        <w:jc w:val="center"/>
                        <w:rPr>
                          <w:szCs w:val="21"/>
                        </w:rPr>
                      </w:pPr>
                    </w:p>
                  </w:txbxContent>
                </v:textbox>
              </v:shape>
            </w:pict>
          </mc:Fallback>
        </mc:AlternateContent>
      </w:r>
    </w:p>
    <w:p>
      <w:pPr>
        <w:spacing w:line="440" w:lineRule="exact"/>
        <w:rPr>
          <w:rFonts w:hint="eastAsia" w:ascii="宋体" w:hAnsi="宋体" w:eastAsia="宋体" w:cs="宋体"/>
          <w:color w:val="auto"/>
          <w:szCs w:val="21"/>
          <w:highlight w:val="none"/>
        </w:rPr>
      </w:pPr>
    </w:p>
    <w:p>
      <w:pPr>
        <w:spacing w:line="500" w:lineRule="exact"/>
        <w:rPr>
          <w:rFonts w:hint="eastAsia" w:ascii="宋体" w:hAnsi="宋体" w:eastAsia="宋体" w:cs="宋体"/>
          <w:color w:val="auto"/>
          <w:szCs w:val="21"/>
          <w:highlight w:val="none"/>
        </w:rPr>
      </w:pPr>
    </w:p>
    <w:p>
      <w:pPr>
        <w:spacing w:line="440" w:lineRule="exact"/>
        <w:rPr>
          <w:rFonts w:hint="eastAsia" w:ascii="宋体" w:hAnsi="宋体" w:eastAsia="宋体" w:cs="宋体"/>
          <w:color w:val="auto"/>
          <w:szCs w:val="21"/>
          <w:highlight w:val="none"/>
        </w:rPr>
      </w:pPr>
    </w:p>
    <w:p>
      <w:pPr>
        <w:topLinePunct/>
        <w:snapToGrid w:val="0"/>
        <w:spacing w:line="440" w:lineRule="exact"/>
        <w:rPr>
          <w:rFonts w:hint="eastAsia" w:ascii="宋体" w:hAnsi="宋体" w:eastAsia="宋体" w:cs="宋体"/>
          <w:color w:val="auto"/>
          <w:highlight w:val="none"/>
        </w:rPr>
      </w:pPr>
    </w:p>
    <w:p>
      <w:pPr>
        <w:topLinePunct/>
        <w:snapToGrid w:val="0"/>
        <w:spacing w:line="440" w:lineRule="exact"/>
        <w:ind w:firstLine="420" w:firstLineChars="200"/>
        <w:rPr>
          <w:rFonts w:hint="eastAsia" w:ascii="宋体" w:hAnsi="宋体" w:eastAsia="宋体" w:cs="宋体"/>
          <w:bCs/>
          <w:color w:val="auto"/>
          <w:szCs w:val="21"/>
          <w:highlight w:val="none"/>
        </w:rPr>
      </w:pPr>
    </w:p>
    <w:p>
      <w:pPr>
        <w:topLinePunct/>
        <w:snapToGrid w:val="0"/>
        <w:spacing w:line="440" w:lineRule="exact"/>
        <w:ind w:firstLine="420" w:firstLineChars="200"/>
        <w:rPr>
          <w:rFonts w:hint="eastAsia" w:ascii="宋体" w:hAnsi="宋体" w:eastAsia="宋体" w:cs="宋体"/>
          <w:bCs/>
          <w:color w:val="auto"/>
          <w:szCs w:val="21"/>
          <w:highlight w:val="none"/>
        </w:rPr>
      </w:pPr>
    </w:p>
    <w:p>
      <w:pPr>
        <w:topLinePunct/>
        <w:snapToGrid w:val="0"/>
        <w:spacing w:line="440" w:lineRule="exact"/>
        <w:ind w:firstLine="420" w:firstLineChars="200"/>
        <w:rPr>
          <w:rFonts w:hint="eastAsia" w:ascii="宋体" w:hAnsi="宋体" w:eastAsia="宋体" w:cs="宋体"/>
          <w:bCs/>
          <w:color w:val="auto"/>
          <w:szCs w:val="21"/>
          <w:highlight w:val="none"/>
        </w:rPr>
      </w:pPr>
    </w:p>
    <w:p>
      <w:pPr>
        <w:widowControl/>
        <w:jc w:val="left"/>
        <w:rPr>
          <w:rFonts w:hint="eastAsia" w:ascii="宋体" w:hAnsi="宋体" w:eastAsia="宋体" w:cs="宋体"/>
          <w:b/>
          <w:bCs/>
          <w:color w:val="auto"/>
          <w:sz w:val="32"/>
          <w:szCs w:val="32"/>
          <w:highlight w:val="none"/>
        </w:rPr>
      </w:pPr>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44" w:name="_Toc18794"/>
      <w:bookmarkStart w:id="45" w:name="_Toc8223"/>
      <w:r>
        <w:rPr>
          <w:rFonts w:hint="eastAsia" w:ascii="宋体" w:hAnsi="宋体" w:eastAsia="宋体" w:cs="宋体"/>
          <w:color w:val="auto"/>
          <w:highlight w:val="none"/>
        </w:rPr>
        <w:t>供应商基本情况</w:t>
      </w:r>
      <w:bookmarkEnd w:id="35"/>
      <w:bookmarkEnd w:id="44"/>
      <w:bookmarkEnd w:id="45"/>
      <w:r>
        <w:rPr>
          <w:rFonts w:hint="eastAsia" w:ascii="宋体" w:hAnsi="宋体" w:eastAsia="宋体" w:cs="宋体"/>
          <w:color w:val="auto"/>
          <w:highlight w:val="none"/>
          <w:lang w:val="en-US" w:eastAsia="zh-CN"/>
        </w:rPr>
        <w:t>和资质证明材料</w:t>
      </w:r>
    </w:p>
    <w:p>
      <w:pPr>
        <w:keepNext w:val="0"/>
        <w:keepLines w:val="0"/>
        <w:pageBreakBefore w:val="0"/>
        <w:widowControl/>
        <w:kinsoku/>
        <w:wordWrap/>
        <w:overflowPunct/>
        <w:topLinePunct w:val="0"/>
        <w:autoSpaceDE/>
        <w:autoSpaceDN/>
        <w:bidi w:val="0"/>
        <w:adjustRightInd/>
        <w:snapToGrid w:val="0"/>
        <w:spacing w:line="4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w:t>
      </w:r>
      <w:r>
        <w:rPr>
          <w:rFonts w:hint="eastAsia" w:ascii="仿宋" w:hAnsi="仿宋" w:eastAsia="仿宋" w:cs="仿宋"/>
          <w:color w:val="auto"/>
          <w:sz w:val="24"/>
          <w:szCs w:val="24"/>
          <w:highlight w:val="none"/>
          <w:lang w:val="en-US" w:eastAsia="zh-CN"/>
        </w:rPr>
        <w:t>供应商须为</w:t>
      </w:r>
      <w:r>
        <w:rPr>
          <w:rFonts w:hint="eastAsia" w:ascii="仿宋" w:hAnsi="仿宋" w:eastAsia="仿宋" w:cs="仿宋"/>
          <w:color w:val="auto"/>
          <w:sz w:val="24"/>
          <w:szCs w:val="24"/>
          <w:highlight w:val="none"/>
        </w:rPr>
        <w:t>中华人民共和国境内注册的具有独立承担民事责任能力的法人</w:t>
      </w:r>
      <w:r>
        <w:rPr>
          <w:rFonts w:hint="eastAsia" w:ascii="仿宋" w:hAnsi="仿宋" w:eastAsia="仿宋" w:cs="仿宋"/>
          <w:color w:val="auto"/>
          <w:sz w:val="24"/>
          <w:szCs w:val="24"/>
          <w:highlight w:val="none"/>
          <w:lang w:val="en-US" w:eastAsia="zh-CN"/>
        </w:rPr>
        <w:t>或其他组织</w:t>
      </w:r>
      <w:r>
        <w:rPr>
          <w:rFonts w:hint="eastAsia" w:ascii="仿宋" w:hAnsi="仿宋" w:eastAsia="仿宋" w:cs="仿宋"/>
          <w:color w:val="auto"/>
          <w:sz w:val="24"/>
          <w:szCs w:val="24"/>
          <w:highlight w:val="none"/>
        </w:rPr>
        <w:t>，提供营业执照或</w:t>
      </w:r>
      <w:r>
        <w:rPr>
          <w:rFonts w:hint="eastAsia" w:ascii="仿宋" w:hAnsi="仿宋" w:eastAsia="仿宋" w:cs="仿宋"/>
          <w:color w:val="auto"/>
          <w:sz w:val="24"/>
          <w:szCs w:val="24"/>
          <w:highlight w:val="none"/>
          <w:lang w:val="en-US" w:eastAsia="zh-CN"/>
        </w:rPr>
        <w:t>事业</w:t>
      </w:r>
      <w:r>
        <w:rPr>
          <w:rFonts w:hint="eastAsia" w:ascii="仿宋" w:hAnsi="仿宋" w:eastAsia="仿宋" w:cs="仿宋"/>
          <w:color w:val="auto"/>
          <w:sz w:val="24"/>
          <w:szCs w:val="24"/>
          <w:highlight w:val="none"/>
        </w:rPr>
        <w:t>法人</w:t>
      </w:r>
      <w:r>
        <w:rPr>
          <w:rFonts w:hint="eastAsia" w:ascii="仿宋" w:hAnsi="仿宋" w:eastAsia="仿宋" w:cs="仿宋"/>
          <w:color w:val="auto"/>
          <w:sz w:val="24"/>
          <w:szCs w:val="24"/>
          <w:highlight w:val="none"/>
          <w:lang w:val="en-US" w:eastAsia="zh-CN"/>
        </w:rPr>
        <w:t>登记</w:t>
      </w:r>
      <w:r>
        <w:rPr>
          <w:rFonts w:hint="eastAsia" w:ascii="仿宋" w:hAnsi="仿宋" w:eastAsia="仿宋" w:cs="仿宋"/>
          <w:color w:val="auto"/>
          <w:sz w:val="24"/>
          <w:szCs w:val="24"/>
          <w:highlight w:val="none"/>
        </w:rPr>
        <w:t>证书</w:t>
      </w:r>
      <w:r>
        <w:rPr>
          <w:rFonts w:hint="eastAsia" w:ascii="仿宋" w:hAnsi="仿宋" w:eastAsia="仿宋" w:cs="仿宋"/>
          <w:color w:val="auto"/>
          <w:sz w:val="24"/>
          <w:szCs w:val="24"/>
          <w:highlight w:val="none"/>
          <w:lang w:val="en-US" w:eastAsia="zh-CN"/>
        </w:rPr>
        <w:t>复印件（分公司投标须得到总公司授权，同时提供总公司营业执照及盖章授权函）</w:t>
      </w:r>
      <w:r>
        <w:rPr>
          <w:rFonts w:hint="eastAsia" w:ascii="仿宋" w:hAnsi="仿宋" w:eastAsia="仿宋" w:cs="仿宋"/>
          <w:color w:val="auto"/>
          <w:sz w:val="24"/>
          <w:szCs w:val="24"/>
          <w:highlight w:val="none"/>
        </w:rPr>
        <w:t>；</w:t>
      </w:r>
    </w:p>
    <w:p>
      <w:pPr>
        <w:keepNext w:val="0"/>
        <w:keepLines w:val="0"/>
        <w:pageBreakBefore w:val="0"/>
        <w:widowControl/>
        <w:kinsoku/>
        <w:wordWrap/>
        <w:overflowPunct/>
        <w:topLinePunct w:val="0"/>
        <w:autoSpaceDE/>
        <w:autoSpaceDN/>
        <w:bidi w:val="0"/>
        <w:adjustRightInd/>
        <w:snapToGrid w:val="0"/>
        <w:spacing w:line="400" w:lineRule="exact"/>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2</w:t>
      </w:r>
      <w:bookmarkStart w:id="46" w:name="_Toc476321847"/>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控股及管理关系情况申报表</w:t>
      </w:r>
      <w:bookmarkEnd w:id="46"/>
      <w:r>
        <w:rPr>
          <w:rFonts w:hint="eastAsia" w:ascii="仿宋" w:hAnsi="仿宋" w:eastAsia="仿宋" w:cs="仿宋"/>
          <w:color w:val="auto"/>
          <w:sz w:val="24"/>
          <w:szCs w:val="24"/>
          <w:highlight w:val="none"/>
          <w:lang w:eastAsia="zh-CN"/>
        </w:rPr>
        <w:t>；</w:t>
      </w:r>
    </w:p>
    <w:p>
      <w:pPr>
        <w:pStyle w:val="14"/>
        <w:keepNext w:val="0"/>
        <w:keepLines w:val="0"/>
        <w:pageBreakBefore w:val="0"/>
        <w:kinsoku/>
        <w:wordWrap/>
        <w:overflowPunct/>
        <w:topLinePunct w:val="0"/>
        <w:autoSpaceDE/>
        <w:autoSpaceDN/>
        <w:bidi w:val="0"/>
        <w:adjustRightIn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仿宋" w:hAnsi="仿宋" w:eastAsia="仿宋" w:cs="仿宋"/>
          <w:b/>
          <w:bCs/>
          <w:color w:val="auto"/>
          <w:sz w:val="24"/>
          <w:szCs w:val="24"/>
          <w:highlight w:val="none"/>
          <w:lang w:val="en-US" w:eastAsia="zh-CN"/>
        </w:rPr>
        <w:t>需要提供近期的信用中国查询报告</w:t>
      </w:r>
      <w:r>
        <w:rPr>
          <w:rFonts w:hint="eastAsia" w:ascii="仿宋" w:hAnsi="仿宋" w:eastAsia="仿宋" w:cs="仿宋"/>
          <w:color w:val="auto"/>
          <w:sz w:val="24"/>
          <w:szCs w:val="24"/>
          <w:highlight w:val="none"/>
          <w:lang w:val="en-US" w:eastAsia="zh-CN"/>
        </w:rPr>
        <w:t>）</w:t>
      </w:r>
    </w:p>
    <w:p>
      <w:pPr>
        <w:pStyle w:val="14"/>
        <w:keepNext w:val="0"/>
        <w:keepLines w:val="0"/>
        <w:pageBreakBefore w:val="0"/>
        <w:kinsoku/>
        <w:wordWrap/>
        <w:overflowPunct/>
        <w:topLinePunct w:val="0"/>
        <w:autoSpaceDE/>
        <w:autoSpaceDN/>
        <w:bidi w:val="0"/>
        <w:adjustRightIn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4.4</w:t>
      </w:r>
      <w:r>
        <w:rPr>
          <w:rFonts w:hint="eastAsia" w:ascii="仿宋" w:hAnsi="仿宋" w:eastAsia="仿宋" w:cs="仿宋"/>
          <w:b/>
          <w:bCs/>
          <w:color w:val="auto"/>
          <w:sz w:val="24"/>
          <w:szCs w:val="24"/>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pPr>
        <w:pStyle w:val="14"/>
        <w:keepNext w:val="0"/>
        <w:keepLines w:val="0"/>
        <w:pageBreakBefore w:val="0"/>
        <w:kinsoku/>
        <w:wordWrap/>
        <w:overflowPunct/>
        <w:topLinePunct w:val="0"/>
        <w:autoSpaceDE/>
        <w:autoSpaceDN/>
        <w:bidi w:val="0"/>
        <w:adjustRightIn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4.5</w:t>
      </w:r>
      <w:r>
        <w:rPr>
          <w:rFonts w:hint="eastAsia" w:ascii="仿宋" w:hAnsi="仿宋" w:eastAsia="仿宋" w:cs="仿宋"/>
          <w:b/>
          <w:bCs/>
          <w:color w:val="auto"/>
          <w:sz w:val="24"/>
          <w:szCs w:val="24"/>
          <w:highlight w:val="none"/>
          <w:lang w:val="en-US" w:eastAsia="zh-CN"/>
        </w:rPr>
        <w:t>本采购项目需求中要求的资质证明材料或者评审办法中要求的资质证明文件复印机等。</w:t>
      </w:r>
    </w:p>
    <w:p>
      <w:pPr>
        <w:pStyle w:val="14"/>
        <w:keepNext w:val="0"/>
        <w:keepLines w:val="0"/>
        <w:pageBreakBefore w:val="0"/>
        <w:kinsoku/>
        <w:wordWrap/>
        <w:overflowPunct/>
        <w:topLinePunct w:val="0"/>
        <w:autoSpaceDE/>
        <w:autoSpaceDN/>
        <w:bidi w:val="0"/>
        <w:adjustRightInd/>
        <w:spacing w:line="400" w:lineRule="exact"/>
        <w:textAlignment w:val="auto"/>
        <w:rPr>
          <w:rFonts w:hint="default" w:ascii="宋体" w:hAnsi="宋体" w:cs="宋体"/>
          <w:color w:val="auto"/>
          <w:highlight w:val="none"/>
          <w:lang w:val="en-US" w:eastAsia="zh-CN"/>
        </w:rPr>
      </w:pPr>
      <w:r>
        <w:rPr>
          <w:rFonts w:hint="eastAsia" w:ascii="仿宋" w:hAnsi="仿宋" w:eastAsia="仿宋" w:cs="仿宋"/>
          <w:color w:val="auto"/>
          <w:sz w:val="24"/>
          <w:szCs w:val="24"/>
          <w:highlight w:val="none"/>
          <w:lang w:val="en-US" w:eastAsia="zh-CN"/>
        </w:rPr>
        <w:t>4.6其他需要提供的证明材料等（如有）。</w:t>
      </w:r>
    </w:p>
    <w:p>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pPr>
        <w:pStyle w:val="24"/>
        <w:spacing w:line="360" w:lineRule="auto"/>
        <w:ind w:left="108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供应商控股</w:t>
      </w:r>
      <w:r>
        <w:rPr>
          <w:rFonts w:hint="eastAsia" w:ascii="宋体" w:hAnsi="宋体" w:cs="宋体"/>
          <w:b/>
          <w:color w:val="auto"/>
          <w:szCs w:val="21"/>
          <w:highlight w:val="none"/>
          <w:lang w:val="en-US" w:eastAsia="zh-CN"/>
        </w:rPr>
        <w:t>和</w:t>
      </w:r>
      <w:r>
        <w:rPr>
          <w:rFonts w:hint="eastAsia" w:ascii="宋体" w:hAnsi="宋体" w:eastAsia="宋体" w:cs="宋体"/>
          <w:b/>
          <w:color w:val="auto"/>
          <w:szCs w:val="21"/>
          <w:highlight w:val="none"/>
        </w:rPr>
        <w:t>管理关系</w:t>
      </w:r>
      <w:r>
        <w:rPr>
          <w:rFonts w:hint="eastAsia" w:ascii="宋体" w:hAnsi="宋体" w:cs="宋体"/>
          <w:b/>
          <w:color w:val="auto"/>
          <w:szCs w:val="21"/>
          <w:highlight w:val="none"/>
          <w:lang w:val="en-US" w:eastAsia="zh-CN"/>
        </w:rPr>
        <w:t>及基本</w:t>
      </w:r>
      <w:r>
        <w:rPr>
          <w:rFonts w:hint="eastAsia" w:ascii="宋体" w:hAnsi="宋体" w:eastAsia="宋体" w:cs="宋体"/>
          <w:b/>
          <w:color w:val="auto"/>
          <w:szCs w:val="21"/>
          <w:highlight w:val="none"/>
        </w:rPr>
        <w:t>情况申报表</w:t>
      </w:r>
    </w:p>
    <w:p>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bCs/>
          <w:color w:val="auto"/>
          <w:szCs w:val="21"/>
          <w:highlight w:val="none"/>
          <w:u w:val="single"/>
        </w:rPr>
        <w:t>【[采购人名称]】</w:t>
      </w:r>
      <w:r>
        <w:rPr>
          <w:rFonts w:hint="eastAsia" w:ascii="宋体" w:hAnsi="宋体" w:eastAsia="宋体" w:cs="宋体"/>
          <w:color w:val="auto"/>
          <w:szCs w:val="21"/>
          <w:highlight w:val="none"/>
        </w:rPr>
        <w:t>：</w:t>
      </w:r>
    </w:p>
    <w:p>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w:t>
      </w:r>
      <w:r>
        <w:rPr>
          <w:rFonts w:hint="eastAsia" w:ascii="宋体" w:hAnsi="宋体" w:cs="宋体"/>
          <w:color w:val="auto"/>
          <w:highlight w:val="none"/>
          <w:lang w:val="en-US" w:eastAsia="zh-CN"/>
        </w:rPr>
        <w:t>自愿</w:t>
      </w:r>
      <w:r>
        <w:rPr>
          <w:rFonts w:hint="eastAsia" w:ascii="宋体" w:hAnsi="宋体" w:eastAsia="宋体" w:cs="宋体"/>
          <w:color w:val="auto"/>
          <w:highlight w:val="none"/>
        </w:rPr>
        <w:t>参</w:t>
      </w:r>
      <w:r>
        <w:rPr>
          <w:rFonts w:hint="eastAsia" w:ascii="宋体" w:hAnsi="宋体" w:cs="宋体"/>
          <w:color w:val="auto"/>
          <w:highlight w:val="none"/>
          <w:lang w:val="en-US" w:eastAsia="zh-CN"/>
        </w:rPr>
        <w:t>选</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，根据法律法规维护采购公正性的相关规定，特就本单位控股及管理关系情况申报如下，并承担申报不实的责任。</w:t>
      </w:r>
    </w:p>
    <w:tbl>
      <w:tblPr>
        <w:tblStyle w:val="16"/>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申报人名称</w:t>
            </w:r>
          </w:p>
        </w:tc>
        <w:tc>
          <w:tcPr>
            <w:tcW w:w="3542" w:type="pct"/>
            <w:gridSpan w:val="2"/>
            <w:vAlign w:val="center"/>
          </w:tcPr>
          <w:p>
            <w:pPr>
              <w:spacing w:line="360" w:lineRule="auto"/>
              <w:rPr>
                <w:rFonts w:hint="eastAsia" w:ascii="宋体" w:hAnsi="宋体" w:eastAsia="宋体" w:cs="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w:t>
            </w:r>
          </w:p>
        </w:tc>
        <w:tc>
          <w:tcPr>
            <w:tcW w:w="1347" w:type="pc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2195" w:type="pct"/>
            <w:vAlign w:val="center"/>
          </w:tcPr>
          <w:p>
            <w:pPr>
              <w:spacing w:line="360" w:lineRule="auto"/>
              <w:rPr>
                <w:rFonts w:hint="eastAsia" w:ascii="宋体" w:hAnsi="宋体" w:eastAsia="宋体" w:cs="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color w:val="auto"/>
                <w:szCs w:val="21"/>
                <w:highlight w:val="none"/>
              </w:rPr>
            </w:pPr>
          </w:p>
        </w:tc>
        <w:tc>
          <w:tcPr>
            <w:tcW w:w="1347" w:type="pc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w:t>
            </w:r>
          </w:p>
        </w:tc>
        <w:tc>
          <w:tcPr>
            <w:tcW w:w="2195" w:type="pct"/>
            <w:vAlign w:val="center"/>
          </w:tcPr>
          <w:p>
            <w:pPr>
              <w:spacing w:line="360" w:lineRule="auto"/>
              <w:rPr>
                <w:rFonts w:hint="eastAsia" w:ascii="宋体" w:hAnsi="宋体" w:eastAsia="宋体" w:cs="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控股股东/投资人名称</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及出资比例</w:t>
            </w:r>
          </w:p>
        </w:tc>
        <w:tc>
          <w:tcPr>
            <w:tcW w:w="3542" w:type="pct"/>
            <w:gridSpan w:val="2"/>
            <w:vAlign w:val="center"/>
          </w:tcPr>
          <w:p>
            <w:pPr>
              <w:spacing w:line="360" w:lineRule="auto"/>
              <w:rPr>
                <w:rFonts w:hint="eastAsia" w:ascii="宋体" w:hAnsi="宋体" w:eastAsia="宋体" w:cs="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非控股股东/投资人名称</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及出资比例</w:t>
            </w:r>
          </w:p>
        </w:tc>
        <w:tc>
          <w:tcPr>
            <w:tcW w:w="3542" w:type="pct"/>
            <w:gridSpan w:val="2"/>
            <w:vAlign w:val="center"/>
          </w:tcPr>
          <w:p>
            <w:pPr>
              <w:spacing w:line="360" w:lineRule="auto"/>
              <w:rPr>
                <w:rFonts w:hint="eastAsia" w:ascii="宋体" w:hAnsi="宋体" w:eastAsia="宋体" w:cs="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管理关系单位名称</w:t>
            </w:r>
          </w:p>
        </w:tc>
        <w:tc>
          <w:tcPr>
            <w:tcW w:w="1347" w:type="pc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管理关系单位名称</w:t>
            </w:r>
          </w:p>
        </w:tc>
        <w:tc>
          <w:tcPr>
            <w:tcW w:w="2195" w:type="pct"/>
            <w:vAlign w:val="center"/>
          </w:tcPr>
          <w:p>
            <w:pPr>
              <w:spacing w:line="360" w:lineRule="auto"/>
              <w:rPr>
                <w:rFonts w:hint="eastAsia" w:ascii="宋体" w:hAnsi="宋体" w:eastAsia="宋体" w:cs="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color w:val="auto"/>
                <w:szCs w:val="21"/>
                <w:highlight w:val="none"/>
              </w:rPr>
            </w:pPr>
          </w:p>
        </w:tc>
        <w:tc>
          <w:tcPr>
            <w:tcW w:w="1347" w:type="pct"/>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被管理关系单位名称</w:t>
            </w:r>
          </w:p>
        </w:tc>
        <w:tc>
          <w:tcPr>
            <w:tcW w:w="2195" w:type="pct"/>
            <w:vAlign w:val="center"/>
          </w:tcPr>
          <w:p>
            <w:pPr>
              <w:spacing w:line="360" w:lineRule="auto"/>
              <w:rPr>
                <w:rFonts w:hint="eastAsia" w:ascii="宋体" w:hAnsi="宋体" w:eastAsia="宋体" w:cs="宋体"/>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bl>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注：1.控股股东/投资人是指出资比例在50%以上，或者出资比例不足50%，但享有公司股东会/董事会控制权的投资方（含单位或者个人）；</w:t>
      </w:r>
    </w:p>
    <w:p>
      <w:pPr>
        <w:spacing w:line="360" w:lineRule="auto"/>
        <w:rPr>
          <w:rFonts w:hint="eastAsia" w:ascii="宋体" w:hAnsi="宋体" w:eastAsia="宋体" w:cs="宋体"/>
          <w:i/>
          <w:color w:val="auto"/>
          <w:highlight w:val="none"/>
        </w:rPr>
      </w:pPr>
      <w:r>
        <w:rPr>
          <w:rFonts w:hint="eastAsia" w:ascii="宋体" w:hAnsi="宋体" w:eastAsia="宋体" w:cs="宋体"/>
          <w:color w:val="auto"/>
          <w:highlight w:val="none"/>
        </w:rPr>
        <w:t xml:space="preserve">    2.管理关系单位是指与不具有出资持股关系的其他单位之间存在管理与被管理关系的单位；</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3.如未有相关情况，请在相应栏填写“无”</w:t>
      </w:r>
      <w:r>
        <w:rPr>
          <w:rFonts w:hint="eastAsia" w:ascii="宋体" w:hAnsi="宋体" w:eastAsia="宋体" w:cs="宋体"/>
          <w:color w:val="auto"/>
          <w:highlight w:val="none"/>
          <w:lang w:eastAsia="zh-CN"/>
        </w:rPr>
        <w:t>或空白不填</w:t>
      </w:r>
      <w:r>
        <w:rPr>
          <w:rFonts w:hint="eastAsia" w:ascii="宋体" w:hAnsi="宋体" w:eastAsia="宋体" w:cs="宋体"/>
          <w:color w:val="auto"/>
          <w:highlight w:val="none"/>
        </w:rPr>
        <w:t>。</w:t>
      </w:r>
    </w:p>
    <w:p>
      <w:pPr>
        <w:spacing w:line="360" w:lineRule="auto"/>
        <w:jc w:val="righ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 ________________________（盖</w:t>
      </w:r>
      <w:r>
        <w:rPr>
          <w:rFonts w:hint="eastAsia" w:ascii="宋体" w:hAnsi="宋体" w:eastAsia="宋体" w:cs="宋体"/>
          <w:bCs/>
          <w:color w:val="auto"/>
          <w:szCs w:val="21"/>
          <w:highlight w:val="none"/>
        </w:rPr>
        <w:t>单位</w:t>
      </w:r>
      <w:r>
        <w:rPr>
          <w:rFonts w:hint="eastAsia" w:ascii="宋体" w:hAnsi="宋体" w:eastAsia="宋体" w:cs="宋体"/>
          <w:color w:val="auto"/>
          <w:szCs w:val="21"/>
          <w:highlight w:val="none"/>
        </w:rPr>
        <w:t>公章）</w:t>
      </w:r>
    </w:p>
    <w:p>
      <w:pPr>
        <w:ind w:left="7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p>
      <w:pPr>
        <w:pStyle w:val="24"/>
        <w:widowControl/>
        <w:numPr>
          <w:ilvl w:val="0"/>
          <w:numId w:val="5"/>
        </w:numPr>
        <w:snapToGrid w:val="0"/>
        <w:spacing w:line="360" w:lineRule="auto"/>
        <w:ind w:firstLineChars="0"/>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7" w:name="_Toc13174"/>
      <w:bookmarkStart w:id="48" w:name="_Toc12072"/>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技术商务偏离表</w:t>
      </w:r>
      <w:bookmarkEnd w:id="47"/>
      <w:bookmarkEnd w:id="48"/>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技术商务偏离表</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供应商名称（盖章）：__________________ </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项目名称：__________________   </w:t>
      </w:r>
      <w:r>
        <w:rPr>
          <w:rFonts w:hint="eastAsia" w:ascii="宋体" w:hAnsi="宋体" w:cs="宋体"/>
          <w:color w:val="auto"/>
          <w:szCs w:val="21"/>
          <w:highlight w:val="none"/>
          <w:lang w:eastAsia="zh-CN"/>
        </w:rPr>
        <w:t>项目编号</w:t>
      </w:r>
      <w:r>
        <w:rPr>
          <w:rFonts w:hint="eastAsia" w:ascii="宋体" w:hAnsi="宋体" w:eastAsia="宋体" w:cs="宋体"/>
          <w:color w:val="auto"/>
          <w:szCs w:val="21"/>
          <w:highlight w:val="none"/>
        </w:rPr>
        <w:t>： __________________</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108" w:type="dxa"/>
            <w:gridSpan w:val="2"/>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询价文件要求</w:t>
            </w:r>
          </w:p>
        </w:tc>
        <w:tc>
          <w:tcPr>
            <w:tcW w:w="3420" w:type="dxa"/>
            <w:gridSpan w:val="2"/>
            <w:vAlign w:val="center"/>
          </w:tcPr>
          <w:p>
            <w:pPr>
              <w:spacing w:after="120" w:line="36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应答</w:t>
            </w:r>
          </w:p>
        </w:tc>
        <w:tc>
          <w:tcPr>
            <w:tcW w:w="900" w:type="dxa"/>
            <w:vMerge w:val="restart"/>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w:t>
            </w:r>
          </w:p>
        </w:tc>
        <w:tc>
          <w:tcPr>
            <w:tcW w:w="1050" w:type="dxa"/>
            <w:vMerge w:val="restart"/>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询价文件条目号</w:t>
            </w:r>
          </w:p>
        </w:tc>
        <w:tc>
          <w:tcPr>
            <w:tcW w:w="1260" w:type="dxa"/>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要求内容</w:t>
            </w:r>
          </w:p>
        </w:tc>
        <w:tc>
          <w:tcPr>
            <w:tcW w:w="1800" w:type="dxa"/>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条目号</w:t>
            </w:r>
          </w:p>
        </w:tc>
        <w:tc>
          <w:tcPr>
            <w:tcW w:w="1620" w:type="dxa"/>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应答内容</w:t>
            </w:r>
          </w:p>
        </w:tc>
        <w:tc>
          <w:tcPr>
            <w:tcW w:w="900" w:type="dxa"/>
            <w:vMerge w:val="continue"/>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050" w:type="dxa"/>
            <w:vMerge w:val="continue"/>
            <w:vAlign w:val="center"/>
          </w:tcPr>
          <w:p>
            <w:pPr>
              <w:spacing w:after="120" w:line="360" w:lineRule="atLeast"/>
              <w:ind w:left="851" w:hanging="851"/>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color w:val="auto"/>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8478" w:type="dxa"/>
            <w:gridSpan w:val="6"/>
            <w:vAlign w:val="center"/>
          </w:tcPr>
          <w:p>
            <w:pPr>
              <w:spacing w:after="120" w:line="360" w:lineRule="atLeast"/>
              <w:ind w:left="851" w:hanging="851"/>
              <w:jc w:val="center"/>
              <w:rPr>
                <w:rFonts w:hint="eastAsia" w:ascii="宋体" w:hAnsi="宋体" w:eastAsia="宋体" w:cs="宋体"/>
                <w:color w:val="auto"/>
                <w:szCs w:val="21"/>
                <w:highlight w:val="none"/>
              </w:rPr>
            </w:pPr>
          </w:p>
        </w:tc>
      </w:tr>
    </w:tbl>
    <w:p>
      <w:pPr>
        <w:widowControl/>
        <w:snapToGrid w:val="0"/>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说明：如供应商的</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与询价采购文件第四章</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第五章</w:t>
      </w:r>
      <w:r>
        <w:rPr>
          <w:rFonts w:hint="eastAsia" w:ascii="宋体" w:hAnsi="宋体" w:eastAsia="宋体" w:cs="宋体"/>
          <w:color w:val="auto"/>
          <w:szCs w:val="21"/>
          <w:highlight w:val="none"/>
        </w:rPr>
        <w:t>有偏离的，应在 “技术商务偏离表”上逐条填写；如全部条款无偏离，则只须在偏离表备注栏填写“全部条款无偏离”</w:t>
      </w:r>
      <w:r>
        <w:rPr>
          <w:rFonts w:hint="eastAsia" w:ascii="宋体" w:hAnsi="宋体" w:eastAsia="宋体" w:cs="宋体"/>
          <w:color w:val="auto"/>
          <w:szCs w:val="21"/>
          <w:highlight w:val="none"/>
          <w:lang w:eastAsia="zh-CN"/>
        </w:rPr>
        <w:t>或提供空白表格</w:t>
      </w:r>
      <w:r>
        <w:rPr>
          <w:rFonts w:hint="eastAsia" w:ascii="宋体" w:hAnsi="宋体" w:eastAsia="宋体" w:cs="宋体"/>
          <w:color w:val="auto"/>
          <w:szCs w:val="21"/>
          <w:highlight w:val="none"/>
        </w:rPr>
        <w:t>，并加盖公章。</w:t>
      </w:r>
    </w:p>
    <w:p>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49" w:name="_Toc10360"/>
      <w:bookmarkStart w:id="50" w:name="_Toc476321849"/>
      <w:bookmarkStart w:id="51" w:name="_Toc11834"/>
      <w:r>
        <w:rPr>
          <w:rFonts w:hint="eastAsia" w:ascii="宋体" w:hAnsi="宋体" w:eastAsia="宋体" w:cs="宋体"/>
          <w:color w:val="auto"/>
          <w:highlight w:val="none"/>
          <w:lang w:val="en-US" w:eastAsia="zh-CN"/>
        </w:rPr>
        <w:t>供应商承接过的</w:t>
      </w:r>
      <w:r>
        <w:rPr>
          <w:rFonts w:hint="eastAsia" w:ascii="宋体" w:hAnsi="宋体" w:eastAsia="宋体" w:cs="宋体"/>
          <w:color w:val="auto"/>
          <w:highlight w:val="none"/>
        </w:rPr>
        <w:t>类似项目情况表</w:t>
      </w:r>
      <w:bookmarkEnd w:id="49"/>
      <w:bookmarkEnd w:id="50"/>
      <w:bookmarkEnd w:id="51"/>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序号</w:t>
            </w:r>
          </w:p>
        </w:tc>
        <w:tc>
          <w:tcPr>
            <w:tcW w:w="1880" w:type="pct"/>
            <w:vAlign w:val="center"/>
          </w:tcPr>
          <w:p>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项目名称</w:t>
            </w:r>
          </w:p>
        </w:tc>
        <w:tc>
          <w:tcPr>
            <w:tcW w:w="984" w:type="pct"/>
            <w:vAlign w:val="center"/>
          </w:tcPr>
          <w:p>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签订合同时间</w:t>
            </w:r>
          </w:p>
        </w:tc>
        <w:tc>
          <w:tcPr>
            <w:tcW w:w="807" w:type="pct"/>
            <w:vAlign w:val="center"/>
          </w:tcPr>
          <w:p>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合同金额(万元)</w:t>
            </w:r>
          </w:p>
        </w:tc>
        <w:tc>
          <w:tcPr>
            <w:tcW w:w="677" w:type="pct"/>
            <w:vAlign w:val="center"/>
          </w:tcPr>
          <w:p>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1880" w:type="pct"/>
            <w:vAlign w:val="center"/>
          </w:tcPr>
          <w:p>
            <w:pPr>
              <w:widowControl/>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984" w:type="pct"/>
          </w:tcPr>
          <w:p>
            <w:pPr>
              <w:jc w:val="center"/>
              <w:rPr>
                <w:rFonts w:hint="eastAsia" w:ascii="宋体" w:hAnsi="宋体" w:eastAsia="宋体" w:cs="宋体"/>
                <w:color w:val="auto"/>
                <w:szCs w:val="21"/>
                <w:highlight w:val="none"/>
              </w:rPr>
            </w:pPr>
          </w:p>
        </w:tc>
        <w:tc>
          <w:tcPr>
            <w:tcW w:w="807" w:type="pct"/>
            <w:vAlign w:val="center"/>
          </w:tcPr>
          <w:p>
            <w:pPr>
              <w:jc w:val="center"/>
              <w:rPr>
                <w:rFonts w:hint="eastAsia" w:ascii="宋体" w:hAnsi="宋体" w:eastAsia="宋体" w:cs="宋体"/>
                <w:color w:val="auto"/>
                <w:szCs w:val="21"/>
                <w:highlight w:val="none"/>
              </w:rPr>
            </w:pPr>
          </w:p>
        </w:tc>
        <w:tc>
          <w:tcPr>
            <w:tcW w:w="677"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1880" w:type="pct"/>
            <w:vAlign w:val="center"/>
          </w:tcPr>
          <w:p>
            <w:pPr>
              <w:widowControl/>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984" w:type="pct"/>
          </w:tcPr>
          <w:p>
            <w:pPr>
              <w:jc w:val="center"/>
              <w:rPr>
                <w:rFonts w:hint="eastAsia" w:ascii="宋体" w:hAnsi="宋体" w:eastAsia="宋体" w:cs="宋体"/>
                <w:color w:val="auto"/>
                <w:szCs w:val="21"/>
                <w:highlight w:val="none"/>
              </w:rPr>
            </w:pPr>
          </w:p>
        </w:tc>
        <w:tc>
          <w:tcPr>
            <w:tcW w:w="807" w:type="pct"/>
            <w:vAlign w:val="center"/>
          </w:tcPr>
          <w:p>
            <w:pPr>
              <w:jc w:val="center"/>
              <w:rPr>
                <w:rFonts w:hint="eastAsia" w:ascii="宋体" w:hAnsi="宋体" w:eastAsia="宋体" w:cs="宋体"/>
                <w:color w:val="auto"/>
                <w:szCs w:val="21"/>
                <w:highlight w:val="none"/>
              </w:rPr>
            </w:pPr>
          </w:p>
        </w:tc>
        <w:tc>
          <w:tcPr>
            <w:tcW w:w="677"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1880" w:type="pct"/>
            <w:vAlign w:val="center"/>
          </w:tcPr>
          <w:p>
            <w:pPr>
              <w:widowControl/>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984" w:type="pct"/>
          </w:tcPr>
          <w:p>
            <w:pPr>
              <w:jc w:val="center"/>
              <w:rPr>
                <w:rFonts w:hint="eastAsia" w:ascii="宋体" w:hAnsi="宋体" w:eastAsia="宋体" w:cs="宋体"/>
                <w:color w:val="auto"/>
                <w:szCs w:val="21"/>
                <w:highlight w:val="none"/>
              </w:rPr>
            </w:pPr>
          </w:p>
        </w:tc>
        <w:tc>
          <w:tcPr>
            <w:tcW w:w="807" w:type="pct"/>
            <w:vAlign w:val="center"/>
          </w:tcPr>
          <w:p>
            <w:pPr>
              <w:jc w:val="center"/>
              <w:rPr>
                <w:rFonts w:hint="eastAsia" w:ascii="宋体" w:hAnsi="宋体" w:eastAsia="宋体" w:cs="宋体"/>
                <w:color w:val="auto"/>
                <w:szCs w:val="21"/>
                <w:highlight w:val="none"/>
              </w:rPr>
            </w:pPr>
          </w:p>
        </w:tc>
        <w:tc>
          <w:tcPr>
            <w:tcW w:w="677"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1880" w:type="pct"/>
            <w:vAlign w:val="center"/>
          </w:tcPr>
          <w:p>
            <w:pPr>
              <w:widowControl/>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984" w:type="pct"/>
          </w:tcPr>
          <w:p>
            <w:pPr>
              <w:jc w:val="center"/>
              <w:rPr>
                <w:rFonts w:hint="eastAsia" w:ascii="宋体" w:hAnsi="宋体" w:eastAsia="宋体" w:cs="宋体"/>
                <w:color w:val="auto"/>
                <w:szCs w:val="21"/>
                <w:highlight w:val="none"/>
              </w:rPr>
            </w:pPr>
          </w:p>
        </w:tc>
        <w:tc>
          <w:tcPr>
            <w:tcW w:w="807" w:type="pct"/>
            <w:vAlign w:val="center"/>
          </w:tcPr>
          <w:p>
            <w:pPr>
              <w:jc w:val="center"/>
              <w:rPr>
                <w:rFonts w:hint="eastAsia" w:ascii="宋体" w:hAnsi="宋体" w:eastAsia="宋体" w:cs="宋体"/>
                <w:color w:val="auto"/>
                <w:szCs w:val="21"/>
                <w:highlight w:val="none"/>
              </w:rPr>
            </w:pPr>
          </w:p>
        </w:tc>
        <w:tc>
          <w:tcPr>
            <w:tcW w:w="677"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1880" w:type="pct"/>
            <w:vAlign w:val="center"/>
          </w:tcPr>
          <w:p>
            <w:pPr>
              <w:widowControl/>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984" w:type="pct"/>
          </w:tcPr>
          <w:p>
            <w:pPr>
              <w:jc w:val="center"/>
              <w:rPr>
                <w:rFonts w:hint="eastAsia" w:ascii="宋体" w:hAnsi="宋体" w:eastAsia="宋体" w:cs="宋体"/>
                <w:color w:val="auto"/>
                <w:szCs w:val="21"/>
                <w:highlight w:val="none"/>
              </w:rPr>
            </w:pPr>
          </w:p>
        </w:tc>
        <w:tc>
          <w:tcPr>
            <w:tcW w:w="807" w:type="pct"/>
            <w:vAlign w:val="center"/>
          </w:tcPr>
          <w:p>
            <w:pPr>
              <w:jc w:val="center"/>
              <w:rPr>
                <w:rFonts w:hint="eastAsia" w:ascii="宋体" w:hAnsi="宋体" w:eastAsia="宋体" w:cs="宋体"/>
                <w:color w:val="auto"/>
                <w:szCs w:val="21"/>
                <w:highlight w:val="none"/>
              </w:rPr>
            </w:pPr>
          </w:p>
        </w:tc>
        <w:tc>
          <w:tcPr>
            <w:tcW w:w="677"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1880" w:type="pct"/>
            <w:vAlign w:val="center"/>
          </w:tcPr>
          <w:p>
            <w:pPr>
              <w:widowControl/>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p>
        </w:tc>
        <w:tc>
          <w:tcPr>
            <w:tcW w:w="984" w:type="pct"/>
          </w:tcPr>
          <w:p>
            <w:pPr>
              <w:jc w:val="center"/>
              <w:rPr>
                <w:rFonts w:hint="eastAsia" w:ascii="宋体" w:hAnsi="宋体" w:eastAsia="宋体" w:cs="宋体"/>
                <w:color w:val="auto"/>
                <w:szCs w:val="21"/>
                <w:highlight w:val="none"/>
              </w:rPr>
            </w:pPr>
          </w:p>
        </w:tc>
        <w:tc>
          <w:tcPr>
            <w:tcW w:w="807" w:type="pct"/>
            <w:vAlign w:val="center"/>
          </w:tcPr>
          <w:p>
            <w:pPr>
              <w:jc w:val="center"/>
              <w:rPr>
                <w:rFonts w:hint="eastAsia" w:ascii="宋体" w:hAnsi="宋体" w:eastAsia="宋体" w:cs="宋体"/>
                <w:color w:val="auto"/>
                <w:szCs w:val="21"/>
                <w:highlight w:val="none"/>
              </w:rPr>
            </w:pPr>
          </w:p>
        </w:tc>
        <w:tc>
          <w:tcPr>
            <w:tcW w:w="677" w:type="pct"/>
            <w:vAlign w:val="center"/>
          </w:tcPr>
          <w:p>
            <w:pPr>
              <w:jc w:val="center"/>
              <w:rPr>
                <w:rFonts w:hint="eastAsia" w:ascii="宋体" w:hAnsi="宋体" w:eastAsia="宋体" w:cs="宋体"/>
                <w:color w:val="auto"/>
                <w:szCs w:val="21"/>
                <w:highlight w:val="none"/>
              </w:rPr>
            </w:pPr>
          </w:p>
        </w:tc>
      </w:tr>
    </w:tbl>
    <w:p>
      <w:pPr>
        <w:adjustRightInd w:val="0"/>
        <w:snapToGrid w:val="0"/>
        <w:spacing w:line="300" w:lineRule="auto"/>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备注：</w:t>
      </w:r>
    </w:p>
    <w:p>
      <w:pPr>
        <w:adjustRightInd w:val="0"/>
        <w:snapToGrid w:val="0"/>
        <w:spacing w:line="300" w:lineRule="auto"/>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1.供应商必须如实填写，并保证内容真实可靠，如有弄虚作假，将取消报价资格。</w:t>
      </w:r>
    </w:p>
    <w:p>
      <w:pPr>
        <w:adjustRightInd w:val="0"/>
        <w:snapToGrid w:val="0"/>
        <w:spacing w:line="300" w:lineRule="auto"/>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2.</w:t>
      </w:r>
      <w:r>
        <w:rPr>
          <w:rFonts w:hint="eastAsia" w:ascii="宋体" w:hAnsi="宋体" w:eastAsia="宋体" w:cs="宋体"/>
          <w:color w:val="auto"/>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pPr>
        <w:widowControl/>
        <w:jc w:val="left"/>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br w:type="page"/>
      </w:r>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52" w:name="_Toc476321850"/>
      <w:bookmarkStart w:id="53" w:name="_Toc26958"/>
      <w:bookmarkStart w:id="54" w:name="_Toc3792"/>
      <w:r>
        <w:rPr>
          <w:rFonts w:hint="eastAsia" w:ascii="宋体" w:hAnsi="宋体" w:eastAsia="宋体" w:cs="宋体"/>
          <w:color w:val="auto"/>
          <w:highlight w:val="none"/>
        </w:rPr>
        <w:t>项目负责人及成员组成情况表</w:t>
      </w:r>
      <w:bookmarkEnd w:id="52"/>
      <w:bookmarkEnd w:id="53"/>
      <w:bookmarkEnd w:id="54"/>
    </w:p>
    <w:p>
      <w:pPr>
        <w:pStyle w:val="2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供应商名称（盖章）：__________________</w:t>
      </w:r>
    </w:p>
    <w:p>
      <w:pPr>
        <w:pStyle w:val="24"/>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项目名称：__________________ </w:t>
      </w:r>
      <w:r>
        <w:rPr>
          <w:rFonts w:hint="eastAsia" w:ascii="宋体" w:hAnsi="宋体" w:cs="宋体"/>
          <w:color w:val="auto"/>
          <w:szCs w:val="21"/>
          <w:highlight w:val="none"/>
          <w:lang w:eastAsia="zh-CN"/>
        </w:rPr>
        <w:t>项目编号</w:t>
      </w:r>
      <w:r>
        <w:rPr>
          <w:rFonts w:hint="eastAsia" w:ascii="宋体" w:hAnsi="宋体" w:eastAsia="宋体" w:cs="宋体"/>
          <w:color w:val="auto"/>
          <w:szCs w:val="21"/>
          <w:highlight w:val="none"/>
        </w:rPr>
        <w:t>：_________________</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7"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项目组中职务</w:t>
            </w: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7"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7"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7"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7"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本专业工作年限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153"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1、主要项目人员1</w:t>
            </w: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2、主要项目人员2</w:t>
            </w: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3、主要项目人员3</w:t>
            </w: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74"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2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766"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c>
          <w:tcPr>
            <w:tcW w:w="1039" w:type="pct"/>
            <w:vAlign w:val="center"/>
          </w:tcPr>
          <w:p>
            <w:pPr>
              <w:keepNext w:val="0"/>
              <w:keepLines w:val="0"/>
              <w:pageBreakBefore w:val="0"/>
              <w:widowControl w:val="0"/>
              <w:kinsoku/>
              <w:wordWrap/>
              <w:overflowPunct/>
              <w:topLinePunct w:val="0"/>
              <w:autoSpaceDE/>
              <w:autoSpaceDN/>
              <w:bidi w:val="0"/>
              <w:adjustRightInd/>
              <w:snapToGrid/>
              <w:spacing w:line="240" w:lineRule="auto"/>
              <w:ind w:right="-55" w:firstLine="0"/>
              <w:jc w:val="center"/>
              <w:textAlignment w:val="auto"/>
              <w:rPr>
                <w:rFonts w:hint="eastAsia" w:ascii="宋体" w:hAnsi="宋体" w:eastAsia="宋体" w:cs="宋体"/>
                <w:color w:val="auto"/>
                <w:szCs w:val="21"/>
                <w:highlight w:val="none"/>
              </w:rPr>
            </w:pPr>
          </w:p>
        </w:tc>
      </w:tr>
    </w:tbl>
    <w:p>
      <w:pPr>
        <w:adjustRightInd w:val="0"/>
        <w:snapToGrid w:val="0"/>
        <w:spacing w:line="300" w:lineRule="auto"/>
        <w:rPr>
          <w:rFonts w:hint="eastAsia" w:ascii="宋体" w:hAnsi="宋体" w:eastAsia="宋体" w:cs="宋体"/>
          <w:color w:val="auto"/>
          <w:highlight w:val="none"/>
        </w:rPr>
      </w:pPr>
      <w:r>
        <w:rPr>
          <w:rFonts w:hint="eastAsia" w:ascii="宋体" w:hAnsi="宋体" w:eastAsia="宋体" w:cs="宋体"/>
          <w:color w:val="auto"/>
          <w:spacing w:val="-2"/>
          <w:szCs w:val="21"/>
          <w:highlight w:val="none"/>
        </w:rPr>
        <w:t>备注：</w:t>
      </w:r>
      <w:r>
        <w:rPr>
          <w:rFonts w:hint="eastAsia" w:ascii="宋体" w:hAnsi="宋体" w:cs="宋体"/>
          <w:color w:val="auto"/>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color w:val="auto"/>
          <w:highlight w:val="none"/>
        </w:rPr>
        <w:br w:type="page"/>
      </w:r>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55" w:name="_Toc104"/>
      <w:bookmarkStart w:id="56" w:name="_Toc18330"/>
      <w:bookmarkStart w:id="57" w:name="_Toc68688822"/>
      <w:bookmarkStart w:id="58" w:name="_Toc56432254"/>
      <w:bookmarkStart w:id="59" w:name="_Toc1651923"/>
      <w:bookmarkStart w:id="60" w:name="_Toc15928"/>
      <w:r>
        <w:rPr>
          <w:rFonts w:hint="eastAsia" w:ascii="宋体" w:hAnsi="宋体" w:eastAsia="宋体" w:cs="宋体"/>
          <w:color w:val="auto"/>
          <w:highlight w:val="none"/>
        </w:rPr>
        <w:t>本项目的实施方案</w:t>
      </w:r>
      <w:bookmarkEnd w:id="55"/>
      <w:bookmarkEnd w:id="56"/>
    </w:p>
    <w:p>
      <w:pPr>
        <w:topLinePunct/>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格式自拟</w:t>
      </w:r>
    </w:p>
    <w:p>
      <w:pPr>
        <w:widowControl/>
        <w:numPr>
          <w:ilvl w:val="0"/>
          <w:numId w:val="0"/>
        </w:numPr>
        <w:jc w:val="left"/>
        <w:rPr>
          <w:rFonts w:hint="eastAsia" w:ascii="宋体" w:hAnsi="宋体" w:cs="宋体"/>
          <w:color w:val="auto"/>
          <w:kern w:val="2"/>
          <w:sz w:val="21"/>
          <w:szCs w:val="24"/>
          <w:highlight w:val="none"/>
          <w:lang w:val="en-US" w:eastAsia="zh-CN" w:bidi="ar-SA"/>
        </w:rPr>
      </w:pPr>
    </w:p>
    <w:p>
      <w:pPr>
        <w:widowControl/>
        <w:numPr>
          <w:ilvl w:val="0"/>
          <w:numId w:val="0"/>
        </w:numPr>
        <w:jc w:val="left"/>
        <w:rPr>
          <w:rFonts w:hint="eastAsia" w:ascii="宋体" w:hAnsi="宋体" w:cs="宋体"/>
          <w:color w:val="auto"/>
          <w:kern w:val="2"/>
          <w:sz w:val="21"/>
          <w:szCs w:val="24"/>
          <w:highlight w:val="none"/>
          <w:lang w:val="en-US" w:eastAsia="zh-CN" w:bidi="ar-SA"/>
        </w:rPr>
      </w:pPr>
    </w:p>
    <w:p>
      <w:pPr>
        <w:widowControl/>
        <w:numPr>
          <w:ilvl w:val="0"/>
          <w:numId w:val="0"/>
        </w:numPr>
        <w:jc w:val="left"/>
        <w:rPr>
          <w:rFonts w:hint="eastAsia" w:ascii="宋体" w:hAnsi="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供应商需根据项目目标和服务内容关键技术指标，拟定具体合理的服务方案。项目服务方案内容自拟，主要内容应包括：</w:t>
      </w:r>
    </w:p>
    <w:p>
      <w:pPr>
        <w:widowControl/>
        <w:numPr>
          <w:ilvl w:val="0"/>
          <w:numId w:val="0"/>
        </w:numPr>
        <w:jc w:val="left"/>
        <w:rPr>
          <w:rFonts w:hint="eastAsia" w:ascii="宋体" w:hAnsi="宋体" w:cs="宋体"/>
          <w:color w:val="auto"/>
          <w:kern w:val="2"/>
          <w:sz w:val="21"/>
          <w:szCs w:val="24"/>
          <w:highlight w:val="none"/>
          <w:lang w:val="en-US" w:eastAsia="zh-CN" w:bidi="ar-SA"/>
        </w:rPr>
      </w:pPr>
    </w:p>
    <w:p>
      <w:pPr>
        <w:widowControl/>
        <w:numPr>
          <w:ilvl w:val="0"/>
          <w:numId w:val="0"/>
        </w:numPr>
        <w:jc w:val="left"/>
        <w:rPr>
          <w:rFonts w:hint="eastAsia" w:ascii="宋体" w:hAnsi="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1、对项目服务要求的理解。</w:t>
      </w:r>
    </w:p>
    <w:p>
      <w:pPr>
        <w:widowControl/>
        <w:numPr>
          <w:ilvl w:val="0"/>
          <w:numId w:val="0"/>
        </w:numPr>
        <w:jc w:val="left"/>
        <w:rPr>
          <w:rFonts w:hint="eastAsia" w:ascii="宋体" w:hAnsi="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2、项目服务要求的具体解决方案，</w:t>
      </w:r>
    </w:p>
    <w:p>
      <w:pPr>
        <w:widowControl/>
        <w:numPr>
          <w:ilvl w:val="0"/>
          <w:numId w:val="0"/>
        </w:numPr>
        <w:jc w:val="left"/>
        <w:rPr>
          <w:rFonts w:hint="eastAsia" w:ascii="宋体" w:hAnsi="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widowControl/>
        <w:numPr>
          <w:ilvl w:val="0"/>
          <w:numId w:val="0"/>
        </w:numPr>
        <w:jc w:val="left"/>
        <w:rPr>
          <w:rFonts w:hint="eastAsia" w:ascii="宋体" w:hAnsi="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4、项目实施进度计划；</w:t>
      </w:r>
    </w:p>
    <w:p>
      <w:pPr>
        <w:widowControl/>
        <w:numPr>
          <w:ilvl w:val="0"/>
          <w:numId w:val="0"/>
        </w:numPr>
        <w:jc w:val="left"/>
        <w:rPr>
          <w:rFonts w:hint="eastAsia" w:ascii="宋体" w:hAnsi="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5、服务质量保证措施；</w:t>
      </w:r>
    </w:p>
    <w:p>
      <w:pPr>
        <w:widowControl/>
        <w:numPr>
          <w:ilvl w:val="0"/>
          <w:numId w:val="0"/>
        </w:numPr>
        <w:jc w:val="left"/>
        <w:rPr>
          <w:rFonts w:hint="eastAsia" w:ascii="宋体" w:hAnsi="宋体" w:eastAsia="宋体" w:cs="宋体"/>
          <w:b/>
          <w:bCs/>
          <w:color w:val="auto"/>
          <w:sz w:val="32"/>
          <w:szCs w:val="32"/>
          <w:highlight w:val="none"/>
        </w:rPr>
      </w:pPr>
      <w:r>
        <w:rPr>
          <w:rFonts w:hint="eastAsia" w:ascii="宋体" w:hAnsi="宋体" w:cs="宋体"/>
          <w:color w:val="auto"/>
          <w:kern w:val="2"/>
          <w:sz w:val="21"/>
          <w:szCs w:val="24"/>
          <w:highlight w:val="none"/>
          <w:lang w:val="en-US" w:eastAsia="zh-CN" w:bidi="ar-SA"/>
        </w:rPr>
        <w:t>6、项目服务团队及技术资质。</w:t>
      </w:r>
      <w:r>
        <w:rPr>
          <w:rFonts w:hint="eastAsia" w:ascii="宋体" w:hAnsi="宋体" w:eastAsia="宋体" w:cs="宋体"/>
          <w:color w:val="auto"/>
          <w:highlight w:val="none"/>
        </w:rPr>
        <w:br w:type="page"/>
      </w:r>
    </w:p>
    <w:p>
      <w:pPr>
        <w:pStyle w:val="4"/>
        <w:keepNext/>
        <w:keepLines/>
        <w:pageBreakBefore w:val="0"/>
        <w:widowControl w:val="0"/>
        <w:numPr>
          <w:ilvl w:val="1"/>
          <w:numId w:val="3"/>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61" w:name="_Toc17083"/>
      <w:bookmarkStart w:id="62" w:name="_Toc29130"/>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报价</w:t>
      </w:r>
      <w:bookmarkEnd w:id="57"/>
      <w:bookmarkEnd w:id="58"/>
      <w:bookmarkEnd w:id="59"/>
      <w:bookmarkEnd w:id="60"/>
      <w:bookmarkEnd w:id="61"/>
      <w:r>
        <w:rPr>
          <w:rFonts w:hint="eastAsia" w:ascii="宋体" w:hAnsi="宋体" w:eastAsia="宋体" w:cs="宋体"/>
          <w:color w:val="auto"/>
          <w:highlight w:val="none"/>
        </w:rPr>
        <w:t>函</w:t>
      </w:r>
      <w:bookmarkEnd w:id="62"/>
    </w:p>
    <w:p>
      <w:pPr>
        <w:spacing w:line="360" w:lineRule="auto"/>
        <w:jc w:val="center"/>
        <w:rPr>
          <w:rFonts w:hint="eastAsia" w:ascii="方正小标宋简体" w:hAnsi="方正小标宋简体" w:eastAsia="方正小标宋简体" w:cs="方正小标宋简体"/>
          <w:b/>
          <w:color w:val="auto"/>
          <w:sz w:val="32"/>
          <w:szCs w:val="32"/>
          <w:highlight w:val="none"/>
          <w:lang w:eastAsia="zh-CN"/>
        </w:rPr>
      </w:pPr>
      <w:r>
        <w:rPr>
          <w:rFonts w:hint="eastAsia" w:ascii="方正小标宋简体" w:hAnsi="方正小标宋简体" w:eastAsia="方正小标宋简体" w:cs="方正小标宋简体"/>
          <w:b/>
          <w:color w:val="auto"/>
          <w:sz w:val="32"/>
          <w:szCs w:val="32"/>
          <w:highlight w:val="none"/>
          <w:lang w:eastAsia="zh-CN"/>
        </w:rPr>
        <w:t>2026年平台存储扩容服务项目</w:t>
      </w:r>
    </w:p>
    <w:p>
      <w:pPr>
        <w:spacing w:line="360" w:lineRule="auto"/>
        <w:jc w:val="center"/>
        <w:rPr>
          <w:rFonts w:hint="eastAsia" w:ascii="仿宋_GB2312" w:hAnsi="仿宋_GB2312" w:eastAsia="仿宋_GB2312" w:cs="仿宋_GB2312"/>
          <w:b/>
          <w:color w:val="auto"/>
          <w:sz w:val="28"/>
          <w:szCs w:val="28"/>
          <w:highlight w:val="none"/>
        </w:rPr>
      </w:pPr>
      <w:r>
        <w:rPr>
          <w:rFonts w:hint="eastAsia" w:ascii="方正小标宋简体" w:hAnsi="方正小标宋简体" w:eastAsia="方正小标宋简体" w:cs="方正小标宋简体"/>
          <w:b/>
          <w:color w:val="auto"/>
          <w:sz w:val="32"/>
          <w:szCs w:val="32"/>
          <w:highlight w:val="none"/>
          <w:lang w:eastAsia="zh-CN"/>
        </w:rPr>
        <w:t>响应</w:t>
      </w:r>
      <w:r>
        <w:rPr>
          <w:rFonts w:hint="eastAsia" w:ascii="方正小标宋简体" w:hAnsi="方正小标宋简体" w:eastAsia="方正小标宋简体" w:cs="方正小标宋简体"/>
          <w:b/>
          <w:color w:val="auto"/>
          <w:sz w:val="32"/>
          <w:szCs w:val="32"/>
          <w:highlight w:val="none"/>
        </w:rPr>
        <w:t>报价</w:t>
      </w:r>
      <w:r>
        <w:rPr>
          <w:rFonts w:hint="eastAsia" w:ascii="方正小标宋简体" w:hAnsi="方正小标宋简体" w:eastAsia="方正小标宋简体" w:cs="方正小标宋简体"/>
          <w:b/>
          <w:color w:val="auto"/>
          <w:sz w:val="32"/>
          <w:szCs w:val="32"/>
          <w:highlight w:val="none"/>
          <w:lang w:eastAsia="zh-CN"/>
        </w:rPr>
        <w:t>函（</w:t>
      </w:r>
      <w:r>
        <w:rPr>
          <w:rFonts w:hint="eastAsia" w:ascii="方正小标宋简体" w:hAnsi="方正小标宋简体" w:eastAsia="方正小标宋简体" w:cs="方正小标宋简体"/>
          <w:b/>
          <w:color w:val="auto"/>
          <w:sz w:val="32"/>
          <w:szCs w:val="32"/>
          <w:highlight w:val="none"/>
          <w:lang w:val="en-US" w:eastAsia="zh-CN"/>
        </w:rPr>
        <w:t>服务类</w:t>
      </w:r>
      <w:r>
        <w:rPr>
          <w:rFonts w:hint="eastAsia" w:ascii="方正小标宋简体" w:hAnsi="方正小标宋简体" w:eastAsia="方正小标宋简体" w:cs="方正小标宋简体"/>
          <w:b/>
          <w:color w:val="auto"/>
          <w:sz w:val="32"/>
          <w:szCs w:val="32"/>
          <w:highlight w:val="none"/>
          <w:lang w:eastAsia="zh-CN"/>
        </w:rPr>
        <w:t>）</w:t>
      </w:r>
    </w:p>
    <w:p>
      <w:pPr>
        <w:spacing w:line="360" w:lineRule="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广东南方网络信息科技有限公司</w:t>
      </w:r>
      <w:r>
        <w:rPr>
          <w:rFonts w:hint="eastAsia" w:ascii="宋体" w:hAnsi="宋体" w:eastAsia="宋体" w:cs="宋体"/>
          <w:b/>
          <w:color w:val="auto"/>
          <w:sz w:val="21"/>
          <w:szCs w:val="21"/>
          <w:highlight w:val="none"/>
        </w:rPr>
        <w:t>：</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根据贵</w:t>
      </w:r>
      <w:r>
        <w:rPr>
          <w:rFonts w:hint="eastAsia" w:ascii="宋体" w:hAnsi="宋体" w:cs="宋体"/>
          <w:color w:val="auto"/>
          <w:sz w:val="21"/>
          <w:szCs w:val="21"/>
          <w:highlight w:val="none"/>
          <w:u w:val="none"/>
          <w:lang w:val="en-US" w:eastAsia="zh-CN"/>
        </w:rPr>
        <w:t>单位</w:t>
      </w:r>
      <w:r>
        <w:rPr>
          <w:rFonts w:hint="eastAsia" w:ascii="宋体" w:hAnsi="宋体" w:cs="宋体"/>
          <w:color w:val="auto"/>
          <w:sz w:val="21"/>
          <w:szCs w:val="21"/>
          <w:highlight w:val="none"/>
          <w:u w:val="single"/>
          <w:lang w:val="en-US" w:eastAsia="zh-CN"/>
        </w:rPr>
        <w:t xml:space="preserve"> 2026年平台存储扩容服务</w:t>
      </w:r>
      <w:r>
        <w:rPr>
          <w:rFonts w:hint="eastAsia" w:ascii="宋体" w:hAnsi="宋体" w:cs="宋体"/>
          <w:color w:val="auto"/>
          <w:sz w:val="21"/>
          <w:szCs w:val="21"/>
          <w:highlight w:val="none"/>
          <w:u w:val="single"/>
          <w:lang w:eastAsia="zh-CN"/>
        </w:rPr>
        <w:t>项目</w:t>
      </w:r>
      <w:r>
        <w:rPr>
          <w:rFonts w:hint="eastAsia" w:ascii="宋体" w:hAnsi="宋体" w:eastAsia="宋体" w:cs="宋体"/>
          <w:color w:val="auto"/>
          <w:sz w:val="21"/>
          <w:szCs w:val="21"/>
          <w:highlight w:val="none"/>
          <w:u w:val="single"/>
          <w:lang w:eastAsia="zh-CN"/>
        </w:rPr>
        <w:t>（</w:t>
      </w:r>
      <w:r>
        <w:rPr>
          <w:rFonts w:hint="eastAsia" w:ascii="宋体" w:hAnsi="宋体" w:eastAsia="宋体" w:cs="宋体"/>
          <w:b w:val="0"/>
          <w:bCs/>
          <w:color w:val="auto"/>
          <w:sz w:val="21"/>
          <w:szCs w:val="21"/>
          <w:highlight w:val="none"/>
          <w:u w:val="single"/>
        </w:rPr>
        <w:t>项目编号：NFWJYCG20260</w:t>
      </w:r>
      <w:r>
        <w:rPr>
          <w:rFonts w:hint="eastAsia" w:ascii="宋体" w:hAnsi="宋体" w:cs="宋体"/>
          <w:b w:val="0"/>
          <w:bCs/>
          <w:color w:val="auto"/>
          <w:sz w:val="21"/>
          <w:szCs w:val="21"/>
          <w:highlight w:val="none"/>
          <w:u w:val="single"/>
          <w:lang w:val="en-US" w:eastAsia="zh-CN"/>
        </w:rPr>
        <w:t>45</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none"/>
          <w:lang w:val="en-US" w:eastAsia="zh-CN"/>
        </w:rPr>
        <w:t>采购</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要求，我司已完全了解相关内容，承诺按要求提供产品和服务，现按人民币报价如下：</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7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val="0"/>
                <w:bCs w:val="0"/>
                <w:color w:val="auto"/>
                <w:kern w:val="0"/>
                <w:sz w:val="21"/>
                <w:szCs w:val="21"/>
                <w:highlight w:val="none"/>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cs="宋体"/>
                <w:color w:val="auto"/>
                <w:sz w:val="21"/>
                <w:szCs w:val="21"/>
                <w:highlight w:val="none"/>
                <w:u w:val="single"/>
                <w:lang w:eastAsia="zh-CN"/>
              </w:rPr>
              <w:t>2026年平台存储扩容服务项目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val="0"/>
                <w:bCs w:val="0"/>
                <w:color w:val="auto"/>
                <w:kern w:val="0"/>
                <w:sz w:val="21"/>
                <w:szCs w:val="21"/>
                <w:highlight w:val="none"/>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auto"/>
                <w:sz w:val="21"/>
                <w:szCs w:val="21"/>
                <w:highlight w:val="none"/>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val="0"/>
                <w:bCs w:val="0"/>
                <w:color w:val="auto"/>
                <w:kern w:val="0"/>
                <w:sz w:val="21"/>
                <w:szCs w:val="21"/>
                <w:highlight w:val="none"/>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pStyle w:val="14"/>
              <w:jc w:val="center"/>
              <w:rPr>
                <w:rFonts w:hint="default"/>
                <w:color w:val="auto"/>
                <w:highlight w:val="none"/>
                <w:lang w:val="en-US" w:eastAsia="zh-CN"/>
              </w:rPr>
            </w:pPr>
            <w:r>
              <w:rPr>
                <w:rFonts w:hint="eastAsia" w:ascii="宋体" w:hAnsi="宋体" w:cs="宋体"/>
                <w:b w:val="0"/>
                <w:bCs w:val="0"/>
                <w:color w:val="auto"/>
                <w:sz w:val="21"/>
                <w:szCs w:val="21"/>
                <w:highlight w:val="none"/>
                <w:u w:val="single"/>
                <w:lang w:val="en-US" w:eastAsia="zh-CN"/>
              </w:rPr>
              <w:t xml:space="preserve">      </w:t>
            </w:r>
            <w:r>
              <w:rPr>
                <w:rFonts w:hint="eastAsia"/>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sz w:val="21"/>
                <w:szCs w:val="21"/>
                <w:highlight w:val="none"/>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单位</w:t>
            </w:r>
            <w:r>
              <w:rPr>
                <w:rFonts w:hint="eastAsia" w:ascii="宋体" w:hAnsi="宋体" w:eastAsia="宋体" w:cs="宋体"/>
                <w:b w:val="0"/>
                <w:bCs w:val="0"/>
                <w:color w:val="auto"/>
                <w:sz w:val="21"/>
                <w:szCs w:val="21"/>
                <w:highlight w:val="none"/>
                <w:lang w:eastAsia="zh-CN"/>
              </w:rPr>
              <w:t>名称</w:t>
            </w:r>
            <w:r>
              <w:rPr>
                <w:rFonts w:hint="eastAsia" w:ascii="宋体" w:hAnsi="宋体" w:eastAsia="宋体" w:cs="宋体"/>
                <w:b w:val="0"/>
                <w:bCs w:val="0"/>
                <w:color w:val="auto"/>
                <w:sz w:val="21"/>
                <w:szCs w:val="21"/>
                <w:highlight w:val="none"/>
              </w:rPr>
              <w:t>（盖章）：</w:t>
            </w:r>
            <w:r>
              <w:rPr>
                <w:rFonts w:hint="eastAsia" w:ascii="宋体" w:hAnsi="宋体" w:eastAsia="宋体" w:cs="宋体"/>
                <w:b w:val="0"/>
                <w:bCs w:val="0"/>
                <w:color w:val="auto"/>
                <w:sz w:val="21"/>
                <w:szCs w:val="21"/>
                <w:highlight w:val="none"/>
                <w:u w:val="single"/>
              </w:rPr>
              <w:t xml:space="preserve">                             </w:t>
            </w:r>
          </w:p>
          <w:p>
            <w:pPr>
              <w:keepNext w:val="0"/>
              <w:keepLines w:val="0"/>
              <w:pageBreakBefore w:val="0"/>
              <w:kinsoku/>
              <w:wordWrap/>
              <w:overflowPunct/>
              <w:topLinePunct w:val="0"/>
              <w:autoSpaceDE/>
              <w:autoSpaceDN/>
              <w:bidi w:val="0"/>
              <w:adjustRightInd w:val="0"/>
              <w:snapToGrid w:val="0"/>
              <w:spacing w:before="313" w:beforeLines="100" w:line="360" w:lineRule="auto"/>
              <w:jc w:val="left"/>
              <w:rPr>
                <w:rFonts w:hint="eastAsia" w:ascii="宋体" w:hAnsi="宋体" w:eastAsia="宋体" w:cs="宋体"/>
                <w:b w:val="0"/>
                <w:bCs w:val="0"/>
                <w:color w:val="auto"/>
                <w:sz w:val="21"/>
                <w:szCs w:val="21"/>
                <w:highlight w:val="none"/>
                <w:u w:val="single"/>
              </w:rPr>
            </w:pPr>
            <w:r>
              <w:rPr>
                <w:rFonts w:hint="eastAsia" w:ascii="宋体" w:hAnsi="宋体" w:cs="宋体"/>
                <w:color w:val="auto"/>
                <w:szCs w:val="21"/>
                <w:highlight w:val="none"/>
              </w:rPr>
              <w:t>法定代表人</w:t>
            </w:r>
            <w:r>
              <w:rPr>
                <w:rFonts w:hint="eastAsia" w:ascii="宋体" w:hAnsi="宋体" w:cs="宋体"/>
                <w:color w:val="auto"/>
                <w:szCs w:val="21"/>
                <w:highlight w:val="none"/>
                <w:lang w:eastAsia="zh-CN"/>
              </w:rPr>
              <w:t>（</w:t>
            </w:r>
            <w:r>
              <w:rPr>
                <w:rFonts w:hint="eastAsia" w:ascii="宋体" w:hAnsi="宋体" w:eastAsia="宋体" w:cs="宋体"/>
                <w:color w:val="auto"/>
                <w:highlight w:val="none"/>
                <w:lang w:val="en-US" w:eastAsia="zh-CN"/>
              </w:rPr>
              <w:t>负责人</w:t>
            </w:r>
            <w:r>
              <w:rPr>
                <w:rFonts w:hint="eastAsia" w:ascii="宋体" w:hAnsi="宋体" w:cs="宋体"/>
                <w:color w:val="auto"/>
                <w:highlight w:val="none"/>
                <w:lang w:val="en-US" w:eastAsia="zh-CN"/>
              </w:rPr>
              <w:t>）</w:t>
            </w:r>
            <w:r>
              <w:rPr>
                <w:rFonts w:hint="eastAsia" w:ascii="宋体" w:hAnsi="宋体" w:cs="宋体"/>
                <w:color w:val="auto"/>
                <w:szCs w:val="21"/>
                <w:highlight w:val="none"/>
              </w:rPr>
              <w:t>或者其委托代理人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签字）</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u w:val="single"/>
              </w:rPr>
              <w:t xml:space="preserve">                    </w:t>
            </w:r>
          </w:p>
          <w:p>
            <w:pPr>
              <w:keepNext w:val="0"/>
              <w:keepLines w:val="0"/>
              <w:pageBreakBefore w:val="0"/>
              <w:kinsoku/>
              <w:wordWrap/>
              <w:overflowPunct/>
              <w:topLinePunct w:val="0"/>
              <w:autoSpaceDE/>
              <w:autoSpaceDN/>
              <w:bidi w:val="0"/>
              <w:adjustRightInd w:val="0"/>
              <w:snapToGrid w:val="0"/>
              <w:spacing w:before="313" w:beforeLines="100" w:line="360" w:lineRule="auto"/>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联系方式：</w:t>
            </w:r>
            <w:r>
              <w:rPr>
                <w:rFonts w:hint="eastAsia" w:ascii="宋体" w:hAnsi="宋体" w:eastAsia="宋体" w:cs="宋体"/>
                <w:b w:val="0"/>
                <w:bCs w:val="0"/>
                <w:color w:val="auto"/>
                <w:sz w:val="21"/>
                <w:szCs w:val="21"/>
                <w:highlight w:val="none"/>
                <w:u w:val="single"/>
              </w:rPr>
              <w:t xml:space="preserve">                             </w:t>
            </w:r>
          </w:p>
          <w:p>
            <w:pPr>
              <w:keepNext w:val="0"/>
              <w:keepLines w:val="0"/>
              <w:pageBreakBefore w:val="0"/>
              <w:widowControl/>
              <w:kinsoku/>
              <w:wordWrap/>
              <w:overflowPunct/>
              <w:topLinePunct w:val="0"/>
              <w:autoSpaceDE/>
              <w:autoSpaceDN/>
              <w:bidi w:val="0"/>
              <w:adjustRightInd w:val="0"/>
              <w:snapToGrid w:val="0"/>
              <w:spacing w:before="313" w:beforeLines="100" w:line="360" w:lineRule="auto"/>
              <w:jc w:val="left"/>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sz w:val="21"/>
                <w:szCs w:val="21"/>
                <w:highlight w:val="none"/>
              </w:rPr>
              <w:t>报价日期：202</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月</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日</w:t>
            </w:r>
          </w:p>
        </w:tc>
      </w:tr>
      <w:bookmarkEnd w:id="0"/>
      <w:bookmarkEnd w:id="1"/>
      <w:bookmarkEnd w:id="2"/>
      <w:bookmarkEnd w:id="3"/>
    </w:tbl>
    <w:p>
      <w:pPr>
        <w:spacing w:line="360" w:lineRule="auto"/>
        <w:jc w:val="both"/>
        <w:rPr>
          <w:rFonts w:hint="eastAsia" w:ascii="方正小标宋简体" w:hAnsi="方正小标宋简体" w:eastAsia="方正小标宋简体" w:cs="方正小标宋简体"/>
          <w:b/>
          <w:color w:val="auto"/>
          <w:sz w:val="32"/>
          <w:szCs w:val="32"/>
          <w:highlight w:val="none"/>
          <w:lang w:val="en-US" w:eastAsia="zh-CN"/>
        </w:rPr>
      </w:pPr>
    </w:p>
    <w:sectPr>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013F59-63DB-4AED-B0EC-576F46396E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BB51AE7E-EF87-49EA-A309-F220E5074ECE}"/>
  </w:font>
  <w:font w:name="ˎ̥">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A54E668B-1D21-483F-B8E8-DF2639873CD4}"/>
  </w:font>
  <w:font w:name="仿宋">
    <w:panose1 w:val="02010609060101010101"/>
    <w:charset w:val="86"/>
    <w:family w:val="modern"/>
    <w:pitch w:val="default"/>
    <w:sig w:usb0="800002BF" w:usb1="38CF7CFA" w:usb2="00000016" w:usb3="00000000" w:csb0="00040001" w:csb1="00000000"/>
    <w:embedRegular r:id="rId4" w:fontKey="{7616B605-7FDB-4D9D-9FA0-6530F98ACE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3"/>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Yzg3OTU2ZDBiNmU1ZjMxOTY1NzAxY2EwZWU5OWIifQ=="/>
  </w:docVars>
  <w:rsids>
    <w:rsidRoot w:val="644E7E4F"/>
    <w:rsid w:val="021B4775"/>
    <w:rsid w:val="021E53CE"/>
    <w:rsid w:val="0271606F"/>
    <w:rsid w:val="06756EC1"/>
    <w:rsid w:val="06B239F1"/>
    <w:rsid w:val="071D47D0"/>
    <w:rsid w:val="07BB0261"/>
    <w:rsid w:val="07D17DB0"/>
    <w:rsid w:val="07E146F4"/>
    <w:rsid w:val="097D5DA0"/>
    <w:rsid w:val="09C8070B"/>
    <w:rsid w:val="09CD27F9"/>
    <w:rsid w:val="0AED3511"/>
    <w:rsid w:val="0B3F14D4"/>
    <w:rsid w:val="0B521208"/>
    <w:rsid w:val="0C832614"/>
    <w:rsid w:val="0E122ED0"/>
    <w:rsid w:val="0FB40797"/>
    <w:rsid w:val="0FFF7484"/>
    <w:rsid w:val="10C24F8A"/>
    <w:rsid w:val="11335637"/>
    <w:rsid w:val="13605ECB"/>
    <w:rsid w:val="13BE7CAD"/>
    <w:rsid w:val="13BF1404"/>
    <w:rsid w:val="15BB3E4D"/>
    <w:rsid w:val="15ED5822"/>
    <w:rsid w:val="163F682C"/>
    <w:rsid w:val="16EA4647"/>
    <w:rsid w:val="174B1BFC"/>
    <w:rsid w:val="19100A21"/>
    <w:rsid w:val="1A635878"/>
    <w:rsid w:val="1BB40130"/>
    <w:rsid w:val="1C26031D"/>
    <w:rsid w:val="1DE32193"/>
    <w:rsid w:val="1EBF675C"/>
    <w:rsid w:val="1EE67E68"/>
    <w:rsid w:val="1F0A4DEF"/>
    <w:rsid w:val="1F301408"/>
    <w:rsid w:val="1FE50D0E"/>
    <w:rsid w:val="20161632"/>
    <w:rsid w:val="21DC56F0"/>
    <w:rsid w:val="239F7A0E"/>
    <w:rsid w:val="24201F5B"/>
    <w:rsid w:val="25222E80"/>
    <w:rsid w:val="25AC3397"/>
    <w:rsid w:val="25C4278D"/>
    <w:rsid w:val="25FF1B34"/>
    <w:rsid w:val="27076EF2"/>
    <w:rsid w:val="27457A1B"/>
    <w:rsid w:val="29F0532B"/>
    <w:rsid w:val="2C2B6BB0"/>
    <w:rsid w:val="2E4647A4"/>
    <w:rsid w:val="2ECE479A"/>
    <w:rsid w:val="2F58700A"/>
    <w:rsid w:val="32F6429E"/>
    <w:rsid w:val="33F407C1"/>
    <w:rsid w:val="352D55A0"/>
    <w:rsid w:val="365668F5"/>
    <w:rsid w:val="375C3BA6"/>
    <w:rsid w:val="39A51C77"/>
    <w:rsid w:val="3B247C1B"/>
    <w:rsid w:val="3BA725FA"/>
    <w:rsid w:val="3BB42AB0"/>
    <w:rsid w:val="3BE63123"/>
    <w:rsid w:val="3CF07E24"/>
    <w:rsid w:val="3E292C44"/>
    <w:rsid w:val="3E79027E"/>
    <w:rsid w:val="3FD15E98"/>
    <w:rsid w:val="40BA62C0"/>
    <w:rsid w:val="412C44B5"/>
    <w:rsid w:val="43657023"/>
    <w:rsid w:val="43CA3870"/>
    <w:rsid w:val="440F39C2"/>
    <w:rsid w:val="44AE4D2A"/>
    <w:rsid w:val="44C8325D"/>
    <w:rsid w:val="463349D0"/>
    <w:rsid w:val="47ED60C3"/>
    <w:rsid w:val="49BE4A66"/>
    <w:rsid w:val="4B3314A5"/>
    <w:rsid w:val="4C5C2F8D"/>
    <w:rsid w:val="4CB95600"/>
    <w:rsid w:val="4D383CE4"/>
    <w:rsid w:val="4D714FF5"/>
    <w:rsid w:val="517234D1"/>
    <w:rsid w:val="51B632A0"/>
    <w:rsid w:val="52791B7D"/>
    <w:rsid w:val="527C7EE5"/>
    <w:rsid w:val="53D47E06"/>
    <w:rsid w:val="543A7A4A"/>
    <w:rsid w:val="545574A0"/>
    <w:rsid w:val="553F10D7"/>
    <w:rsid w:val="565F00F8"/>
    <w:rsid w:val="56D12CF4"/>
    <w:rsid w:val="56D70B89"/>
    <w:rsid w:val="57BC34FD"/>
    <w:rsid w:val="57F135F9"/>
    <w:rsid w:val="5889510A"/>
    <w:rsid w:val="590C6670"/>
    <w:rsid w:val="5926524C"/>
    <w:rsid w:val="597A2D30"/>
    <w:rsid w:val="5A6C6A91"/>
    <w:rsid w:val="5D450E12"/>
    <w:rsid w:val="5FC0226B"/>
    <w:rsid w:val="644E7E4F"/>
    <w:rsid w:val="662D5CE3"/>
    <w:rsid w:val="666D7E19"/>
    <w:rsid w:val="66706E05"/>
    <w:rsid w:val="679E69B6"/>
    <w:rsid w:val="68135E19"/>
    <w:rsid w:val="68A57C30"/>
    <w:rsid w:val="6A2048FC"/>
    <w:rsid w:val="6B071A62"/>
    <w:rsid w:val="6BB107A8"/>
    <w:rsid w:val="6BE538AC"/>
    <w:rsid w:val="6C9162A3"/>
    <w:rsid w:val="6E065A2C"/>
    <w:rsid w:val="70265B0E"/>
    <w:rsid w:val="70A408DB"/>
    <w:rsid w:val="71CE7BD2"/>
    <w:rsid w:val="72B17271"/>
    <w:rsid w:val="7708123E"/>
    <w:rsid w:val="78EC1071"/>
    <w:rsid w:val="79B50780"/>
    <w:rsid w:val="79BD774B"/>
    <w:rsid w:val="7A587493"/>
    <w:rsid w:val="7AE321A8"/>
    <w:rsid w:val="7AE83F01"/>
    <w:rsid w:val="7B184BEC"/>
    <w:rsid w:val="7BD531A4"/>
    <w:rsid w:val="7C41061F"/>
    <w:rsid w:val="7C4C34AE"/>
    <w:rsid w:val="7DB008BF"/>
    <w:rsid w:val="7DF10ED8"/>
    <w:rsid w:val="7DF51779"/>
    <w:rsid w:val="7E2F7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8">
    <w:name w:val="Default Paragraph Font"/>
    <w:link w:val="19"/>
    <w:semiHidden/>
    <w:qFormat/>
    <w:uiPriority w:val="0"/>
    <w:rPr>
      <w:rFonts w:ascii="ˎ̥" w:hAnsi="ˎ̥" w:cs="宋体"/>
      <w:color w:val="51585D"/>
      <w:kern w:val="0"/>
      <w:sz w:val="24"/>
      <w:szCs w:val="18"/>
    </w:rPr>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5">
    <w:name w:val="Normal Indent"/>
    <w:basedOn w:val="1"/>
    <w:next w:val="1"/>
    <w:qFormat/>
    <w:uiPriority w:val="0"/>
    <w:pPr>
      <w:ind w:firstLine="420" w:firstLineChars="200"/>
    </w:pPr>
  </w:style>
  <w:style w:type="paragraph" w:styleId="6">
    <w:name w:val="Body Text Indent"/>
    <w:basedOn w:val="1"/>
    <w:qFormat/>
    <w:uiPriority w:val="0"/>
    <w:pPr>
      <w:ind w:firstLine="570"/>
    </w:pPr>
    <w:rPr>
      <w:sz w:val="28"/>
    </w:rPr>
  </w:style>
  <w:style w:type="paragraph" w:styleId="7">
    <w:name w:val="Plain Text"/>
    <w:basedOn w:val="1"/>
    <w:qFormat/>
    <w:uiPriority w:val="0"/>
    <w:rPr>
      <w:rFonts w:ascii="宋体" w:hAnsi="Courier New" w:eastAsiaTheme="minorEastAsia" w:cstheme="minorBidi"/>
      <w:szCs w:val="22"/>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Body Text Indent 3"/>
    <w:basedOn w:val="1"/>
    <w:qFormat/>
    <w:uiPriority w:val="0"/>
    <w:pPr>
      <w:spacing w:line="240" w:lineRule="exact"/>
      <w:ind w:firstLine="360"/>
    </w:pPr>
  </w:style>
  <w:style w:type="paragraph" w:styleId="12">
    <w:name w:val="toc 2"/>
    <w:basedOn w:val="1"/>
    <w:next w:val="1"/>
    <w:qFormat/>
    <w:uiPriority w:val="39"/>
    <w:pPr>
      <w:tabs>
        <w:tab w:val="left" w:pos="567"/>
        <w:tab w:val="right" w:leader="dot" w:pos="8505"/>
        <w:tab w:val="right" w:leader="dot" w:pos="9628"/>
      </w:tabs>
      <w:spacing w:line="440" w:lineRule="exact"/>
    </w:pPr>
  </w:style>
  <w:style w:type="paragraph" w:styleId="13">
    <w:name w:val="Title"/>
    <w:basedOn w:val="1"/>
    <w:next w:val="1"/>
    <w:qFormat/>
    <w:uiPriority w:val="0"/>
    <w:pPr>
      <w:spacing w:before="120" w:after="60" w:line="440" w:lineRule="exact"/>
      <w:jc w:val="center"/>
    </w:pPr>
    <w:rPr>
      <w:rFonts w:ascii="宋体" w:hAnsi="宋体"/>
      <w:bCs/>
      <w:color w:val="FF0000"/>
    </w:rPr>
  </w:style>
  <w:style w:type="paragraph" w:styleId="14">
    <w:name w:val="Body Text First Indent"/>
    <w:basedOn w:val="2"/>
    <w:qFormat/>
    <w:uiPriority w:val="0"/>
    <w:pPr>
      <w:spacing w:after="120"/>
      <w:ind w:firstLine="420"/>
      <w:jc w:val="both"/>
    </w:pPr>
    <w:rPr>
      <w:sz w:val="21"/>
    </w:rPr>
  </w:style>
  <w:style w:type="paragraph" w:styleId="15">
    <w:name w:val="Body Text First Indent 2"/>
    <w:basedOn w:val="6"/>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Char Char"/>
    <w:basedOn w:val="1"/>
    <w:link w:val="18"/>
    <w:qFormat/>
    <w:uiPriority w:val="0"/>
    <w:pPr>
      <w:widowControl/>
      <w:spacing w:before="100" w:beforeAutospacing="1" w:after="100" w:afterAutospacing="1" w:line="330" w:lineRule="atLeast"/>
      <w:ind w:left="360"/>
      <w:jc w:val="left"/>
    </w:pPr>
    <w:rPr>
      <w:rFonts w:ascii="ˎ̥" w:hAnsi="ˎ̥" w:cs="宋体"/>
      <w:color w:val="51585D"/>
      <w:kern w:val="0"/>
      <w:sz w:val="24"/>
      <w:szCs w:val="18"/>
    </w:rPr>
  </w:style>
  <w:style w:type="character" w:styleId="20">
    <w:name w:val="page number"/>
    <w:basedOn w:val="18"/>
    <w:qFormat/>
    <w:uiPriority w:val="0"/>
  </w:style>
  <w:style w:type="paragraph" w:customStyle="1" w:styleId="21">
    <w:name w:val="_Style 3"/>
    <w:basedOn w:val="1"/>
    <w:next w:val="22"/>
    <w:qFormat/>
    <w:uiPriority w:val="0"/>
    <w:pPr>
      <w:ind w:firstLine="420" w:firstLineChars="200"/>
    </w:pPr>
    <w:rPr>
      <w:rFonts w:ascii="等线" w:hAnsi="等线" w:eastAsia="等线" w:cs="Times New Roman"/>
      <w:sz w:val="20"/>
    </w:rPr>
  </w:style>
  <w:style w:type="paragraph" w:customStyle="1" w:styleId="22">
    <w:name w:val="List Paragraph1"/>
    <w:basedOn w:val="1"/>
    <w:qFormat/>
    <w:uiPriority w:val="99"/>
    <w:pPr>
      <w:ind w:firstLine="420" w:firstLineChars="200"/>
    </w:pPr>
  </w:style>
  <w:style w:type="paragraph" w:customStyle="1" w:styleId="23">
    <w:name w:val="WPSOffice手动目录 1"/>
    <w:qFormat/>
    <w:uiPriority w:val="0"/>
    <w:pPr>
      <w:ind w:leftChars="0"/>
    </w:pPr>
    <w:rPr>
      <w:rFonts w:asciiTheme="minorHAnsi" w:hAnsiTheme="minorHAnsi" w:eastAsiaTheme="minorEastAsia" w:cstheme="minorBidi"/>
      <w:sz w:val="20"/>
      <w:szCs w:val="20"/>
    </w:rPr>
  </w:style>
  <w:style w:type="paragraph" w:styleId="24">
    <w:name w:val="List Paragraph"/>
    <w:basedOn w:val="1"/>
    <w:qFormat/>
    <w:uiPriority w:val="34"/>
    <w:pPr>
      <w:ind w:firstLine="420" w:firstLineChars="200"/>
    </w:pPr>
  </w:style>
  <w:style w:type="character" w:customStyle="1" w:styleId="25">
    <w:name w:val="标题 1 Char"/>
    <w:qFormat/>
    <w:uiPriority w:val="0"/>
    <w:rPr>
      <w:rFonts w:ascii="Arial" w:hAnsi="Arial" w:eastAsia="宋体"/>
      <w:bCs/>
      <w:kern w:val="44"/>
      <w:sz w:val="36"/>
      <w:szCs w:val="36"/>
      <w:lang w:val="en-US" w:eastAsia="zh-CN" w:bidi="ar-SA"/>
    </w:rPr>
  </w:style>
  <w:style w:type="paragraph" w:customStyle="1" w:styleId="26">
    <w:name w:val="Table Text"/>
    <w:basedOn w:val="1"/>
    <w:semiHidden/>
    <w:qFormat/>
    <w:uiPriority w:val="0"/>
    <w:rPr>
      <w:rFonts w:ascii="宋体" w:hAnsi="宋体" w:eastAsia="宋体" w:cs="宋体"/>
      <w:sz w:val="22"/>
      <w:szCs w:val="22"/>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bt1bt1"/>
    <w:basedOn w:val="3"/>
    <w:qFormat/>
    <w:uiPriority w:val="0"/>
    <w:pPr>
      <w:spacing w:line="240" w:lineRule="auto"/>
      <w:jc w:val="center"/>
    </w:pPr>
    <w:rPr>
      <w:rFonts w:ascii="黑体" w:eastAsia="黑体"/>
      <w:sz w:val="36"/>
      <w:szCs w:val="36"/>
    </w:rPr>
  </w:style>
  <w:style w:type="paragraph" w:customStyle="1" w:styleId="29">
    <w:name w:val="正文00"/>
    <w:basedOn w:val="1"/>
    <w:qFormat/>
    <w:uiPriority w:val="0"/>
    <w:pPr>
      <w:topLinePunct/>
      <w:spacing w:line="360" w:lineRule="auto"/>
      <w:ind w:firstLine="200" w:firstLineChars="200"/>
    </w:pPr>
    <w:rPr>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2446</Words>
  <Characters>2568</Characters>
  <Lines>0</Lines>
  <Paragraphs>0</Paragraphs>
  <TotalTime>2</TotalTime>
  <ScaleCrop>false</ScaleCrop>
  <LinksUpToDate>false</LinksUpToDate>
  <CharactersWithSpaces>2598</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2023-03-07T01:25:00Z</dcterms:created>
  <dc:creator>zhangsquan</dc:creator>
  <cp:lastModifiedBy>刘斯维</cp:lastModifiedBy>
  <cp:lastPrinted>2026-08-21T07:57:00Z</cp:lastPrinted>
  <dcterms:modified xsi:type="dcterms:W3CDTF">2026-08-28T07:15:27Z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3EFF370924C44FDB9A70CEC04E18716D_13</vt:lpwstr>
  </property>
  <property fmtid="{D5CDD505-2E9C-101B-9397-08002B2CF9AE}" pid="4" name="KSOTemplateDocerSaveRecord">
    <vt:lpwstr>eyJoZGlkIjoiZWYzNzBlY2FlMmY1Y2Q4NDFhMDY5ZGEwNzMyZjcxNzIiLCJ1c2VySWQiOiIyNDQ4ODExMzEifQ==</vt:lpwstr>
  </property>
</Properties>
</file>