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numPr>
          <w:numId w:val="0"/>
        </w:numPr>
        <w:jc w:val="center"/>
        <w:rPr>
          <w:rFonts w:hint="eastAsia" w:ascii="方正小标宋简体" w:hAnsi="方正小标宋简体" w:eastAsia="方正小标宋简体" w:cs="方正小标宋简体"/>
          <w:b/>
          <w:sz w:val="36"/>
          <w:szCs w:val="36"/>
          <w:lang w:val="en-US" w:eastAsia="zh-CN"/>
        </w:rPr>
      </w:pPr>
      <w:bookmarkStart w:id="0" w:name="_Toc20396_WPSOffice_Level1"/>
      <w:bookmarkStart w:id="1" w:name="_Toc28241_WPSOffice_Level1"/>
      <w:bookmarkStart w:id="2" w:name="_Toc19720_WPSOffice_Level1"/>
      <w:bookmarkStart w:id="3" w:name="_Toc11357_WPSOffice_Level1"/>
      <w:r>
        <w:rPr>
          <w:rFonts w:hint="eastAsia" w:ascii="方正小标宋简体" w:hAnsi="方正小标宋简体" w:eastAsia="方正小标宋简体" w:cs="方正小标宋简体"/>
          <w:b/>
          <w:sz w:val="36"/>
          <w:szCs w:val="36"/>
          <w:lang w:val="en-US" w:eastAsia="zh-CN"/>
        </w:rPr>
        <w:t>第一章 供应商须知</w:t>
      </w:r>
    </w:p>
    <w:tbl>
      <w:tblPr>
        <w:tblStyle w:val="17"/>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468"/>
        <w:gridCol w:w="640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pPr>
              <w:autoSpaceDE w:val="0"/>
              <w:autoSpaceDN w:val="0"/>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条款号</w:t>
            </w:r>
          </w:p>
        </w:tc>
        <w:tc>
          <w:tcPr>
            <w:tcW w:w="1468" w:type="dxa"/>
            <w:vAlign w:val="center"/>
          </w:tcPr>
          <w:p>
            <w:pPr>
              <w:autoSpaceDE w:val="0"/>
              <w:autoSpaceDN w:val="0"/>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条款名称</w:t>
            </w:r>
          </w:p>
        </w:tc>
        <w:tc>
          <w:tcPr>
            <w:tcW w:w="6408" w:type="dxa"/>
            <w:vAlign w:val="center"/>
          </w:tcPr>
          <w:p>
            <w:pPr>
              <w:autoSpaceDE w:val="0"/>
              <w:autoSpaceDN w:val="0"/>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96"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468"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6408"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468"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6408" w:type="dxa"/>
            <w:vAlign w:val="center"/>
          </w:tcPr>
          <w:p>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468"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6408" w:type="dxa"/>
            <w:vAlign w:val="center"/>
          </w:tcPr>
          <w:p>
            <w:pPr>
              <w:rPr>
                <w:rFonts w:hint="eastAsia" w:ascii="宋体" w:hAnsi="宋体" w:eastAsia="宋体" w:cs="宋体"/>
                <w:highlight w:val="none"/>
              </w:rPr>
            </w:pPr>
            <w:r>
              <w:rPr>
                <w:rFonts w:hint="eastAsia" w:ascii="宋体" w:hAnsi="宋体" w:eastAsia="宋体" w:cs="宋体"/>
                <w:highlight w:val="none"/>
              </w:rPr>
              <w:t>1、报价具体要求</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pPr>
              <w:numPr>
                <w:ilvl w:val="0"/>
                <w:numId w:val="1"/>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pPr>
              <w:pStyle w:val="6"/>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46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6408" w:type="dxa"/>
            <w:vAlign w:val="center"/>
          </w:tcPr>
          <w:p>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pPr>
              <w:pStyle w:val="6"/>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468"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6408" w:type="dxa"/>
            <w:vAlign w:val="center"/>
          </w:tcPr>
          <w:p>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pPr>
        <w:pStyle w:val="7"/>
        <w:numPr>
          <w:numId w:val="0"/>
        </w:numPr>
        <w:jc w:val="both"/>
        <w:rPr>
          <w:rFonts w:hint="eastAsia" w:ascii="方正小标宋简体" w:hAnsi="方正小标宋简体" w:eastAsia="方正小标宋简体" w:cs="方正小标宋简体"/>
          <w:b/>
          <w:sz w:val="36"/>
          <w:szCs w:val="36"/>
          <w:lang w:val="en-US" w:eastAsia="zh-CN"/>
        </w:rPr>
      </w:pPr>
      <w:bookmarkStart w:id="4" w:name="_Toc26678"/>
      <w:bookmarkStart w:id="5" w:name="_Toc447265271"/>
      <w:bookmarkStart w:id="6" w:name="_Toc447265557"/>
    </w:p>
    <w:p>
      <w:pPr>
        <w:pStyle w:val="7"/>
        <w:numPr>
          <w:numId w:val="0"/>
        </w:numPr>
        <w:jc w:val="both"/>
        <w:rPr>
          <w:rFonts w:hint="eastAsia" w:ascii="方正小标宋简体" w:hAnsi="方正小标宋简体" w:eastAsia="方正小标宋简体" w:cs="方正小标宋简体"/>
          <w:b/>
          <w:sz w:val="36"/>
          <w:szCs w:val="36"/>
          <w:lang w:val="en-US" w:eastAsia="zh-CN"/>
        </w:rPr>
      </w:pPr>
    </w:p>
    <w:p>
      <w:pPr>
        <w:pStyle w:val="7"/>
        <w:numPr>
          <w:numId w:val="0"/>
        </w:numPr>
        <w:jc w:val="center"/>
        <w:rPr>
          <w:rFonts w:hint="eastAsia" w:ascii="方正小标宋简体" w:hAnsi="方正小标宋简体" w:eastAsia="方正小标宋简体" w:cs="方正小标宋简体"/>
          <w:b/>
          <w:sz w:val="36"/>
          <w:szCs w:val="36"/>
          <w:lang w:val="en-US" w:eastAsia="zh-CN"/>
        </w:rPr>
      </w:pPr>
      <w:r>
        <w:rPr>
          <w:rFonts w:hint="eastAsia" w:ascii="方正小标宋简体" w:hAnsi="方正小标宋简体" w:eastAsia="方正小标宋简体" w:cs="方正小标宋简体"/>
          <w:b/>
          <w:sz w:val="36"/>
          <w:szCs w:val="36"/>
          <w:lang w:val="en-US" w:eastAsia="zh-CN"/>
        </w:rPr>
        <w:t>第二章 评审办法</w:t>
      </w:r>
      <w:bookmarkEnd w:id="4"/>
      <w:bookmarkEnd w:id="5"/>
      <w:bookmarkEnd w:id="6"/>
    </w:p>
    <w:p>
      <w:pPr>
        <w:pStyle w:val="3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7" w:name="_Toc24289"/>
      <w:r>
        <w:rPr>
          <w:rFonts w:hint="eastAsia" w:ascii="宋体" w:hAnsi="宋体" w:eastAsia="宋体" w:cs="宋体"/>
          <w:b/>
          <w:bCs w:val="0"/>
          <w:kern w:val="0"/>
          <w:sz w:val="28"/>
          <w:szCs w:val="28"/>
          <w:highlight w:val="none"/>
        </w:rPr>
        <w:t>评审办法前附表</w:t>
      </w:r>
      <w:bookmarkEnd w:id="7"/>
    </w:p>
    <w:tbl>
      <w:tblPr>
        <w:tblStyle w:val="17"/>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843"/>
        <w:gridCol w:w="1840"/>
        <w:gridCol w:w="5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pPr>
              <w:snapToGrid w:val="0"/>
              <w:jc w:val="center"/>
              <w:rPr>
                <w:rFonts w:hint="eastAsia" w:ascii="黑体" w:hAnsi="黑体" w:eastAsia="黑体" w:cs="黑体"/>
                <w:kern w:val="0"/>
                <w:sz w:val="21"/>
                <w:szCs w:val="21"/>
                <w:highlight w:val="none"/>
              </w:rPr>
            </w:pPr>
            <w:r>
              <w:rPr>
                <w:rFonts w:hint="eastAsia" w:ascii="黑体" w:hAnsi="黑体" w:eastAsia="黑体" w:cs="黑体"/>
                <w:sz w:val="21"/>
                <w:szCs w:val="21"/>
                <w:highlight w:val="none"/>
              </w:rPr>
              <w:t>条款号</w:t>
            </w:r>
          </w:p>
        </w:tc>
        <w:tc>
          <w:tcPr>
            <w:tcW w:w="1017" w:type="pct"/>
            <w:vAlign w:val="center"/>
          </w:tcPr>
          <w:p>
            <w:pPr>
              <w:snapToGrid w:val="0"/>
              <w:jc w:val="center"/>
              <w:rPr>
                <w:rFonts w:hint="eastAsia" w:ascii="黑体" w:hAnsi="黑体" w:eastAsia="黑体" w:cs="黑体"/>
                <w:sz w:val="21"/>
                <w:szCs w:val="21"/>
                <w:highlight w:val="none"/>
              </w:rPr>
            </w:pPr>
            <w:r>
              <w:rPr>
                <w:rFonts w:hint="eastAsia" w:ascii="黑体" w:hAnsi="黑体" w:eastAsia="黑体" w:cs="黑体"/>
                <w:kern w:val="0"/>
                <w:sz w:val="21"/>
                <w:szCs w:val="21"/>
                <w:highlight w:val="none"/>
              </w:rPr>
              <w:t>评审因素</w:t>
            </w:r>
          </w:p>
        </w:tc>
        <w:tc>
          <w:tcPr>
            <w:tcW w:w="2872" w:type="pct"/>
            <w:vAlign w:val="center"/>
          </w:tcPr>
          <w:p>
            <w:pPr>
              <w:snapToGrid w:val="0"/>
              <w:jc w:val="center"/>
              <w:rPr>
                <w:rFonts w:hint="eastAsia" w:ascii="黑体" w:hAnsi="黑体" w:eastAsia="黑体" w:cs="黑体"/>
                <w:sz w:val="21"/>
                <w:szCs w:val="21"/>
                <w:highlight w:val="none"/>
              </w:rPr>
            </w:pPr>
            <w:r>
              <w:rPr>
                <w:rFonts w:hint="eastAsia" w:ascii="黑体" w:hAnsi="黑体" w:eastAsia="黑体" w:cs="黑体"/>
                <w:kern w:val="0"/>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644" w:type="pct"/>
            <w:vMerge w:val="restart"/>
            <w:vAlign w:val="center"/>
          </w:tcPr>
          <w:p>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466" w:type="pct"/>
            <w:vMerge w:val="restart"/>
            <w:vAlign w:val="center"/>
          </w:tcPr>
          <w:p>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017"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872"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jc w:val="center"/>
              <w:rPr>
                <w:rFonts w:hint="eastAsia" w:ascii="宋体" w:hAnsi="宋体" w:eastAsia="宋体" w:cs="宋体"/>
                <w:sz w:val="21"/>
                <w:szCs w:val="21"/>
                <w:highlight w:val="none"/>
              </w:rPr>
            </w:pPr>
          </w:p>
        </w:tc>
        <w:tc>
          <w:tcPr>
            <w:tcW w:w="466" w:type="pct"/>
            <w:vMerge w:val="continue"/>
          </w:tcPr>
          <w:p>
            <w:pPr>
              <w:snapToGrid w:val="0"/>
              <w:jc w:val="center"/>
              <w:rPr>
                <w:rFonts w:hint="eastAsia" w:ascii="宋体" w:hAnsi="宋体" w:eastAsia="宋体" w:cs="宋体"/>
                <w:sz w:val="21"/>
                <w:szCs w:val="21"/>
                <w:highlight w:val="none"/>
              </w:rPr>
            </w:pPr>
          </w:p>
        </w:tc>
        <w:tc>
          <w:tcPr>
            <w:tcW w:w="1017"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872"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tcPr>
          <w:p>
            <w:pPr>
              <w:snapToGrid w:val="0"/>
              <w:jc w:val="center"/>
              <w:rPr>
                <w:rFonts w:hint="eastAsia" w:ascii="宋体" w:hAnsi="宋体" w:eastAsia="宋体" w:cs="宋体"/>
                <w:sz w:val="21"/>
                <w:szCs w:val="21"/>
                <w:highlight w:val="none"/>
              </w:rPr>
            </w:pPr>
          </w:p>
        </w:tc>
        <w:tc>
          <w:tcPr>
            <w:tcW w:w="1017"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872"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tcPr>
          <w:p>
            <w:pPr>
              <w:snapToGrid w:val="0"/>
              <w:jc w:val="center"/>
              <w:rPr>
                <w:rFonts w:hint="eastAsia" w:ascii="宋体" w:hAnsi="宋体" w:eastAsia="宋体" w:cs="宋体"/>
                <w:sz w:val="21"/>
                <w:szCs w:val="21"/>
                <w:highlight w:val="none"/>
              </w:rPr>
            </w:pPr>
          </w:p>
        </w:tc>
        <w:tc>
          <w:tcPr>
            <w:tcW w:w="1017" w:type="pct"/>
            <w:vAlign w:val="center"/>
          </w:tcPr>
          <w:p>
            <w:pPr>
              <w:snapToGrid w:val="0"/>
              <w:jc w:val="center"/>
              <w:rPr>
                <w:rFonts w:hint="eastAsia" w:ascii="宋体" w:hAnsi="宋体" w:eastAsia="宋体" w:cs="宋体"/>
                <w:color w:val="333333"/>
                <w:sz w:val="21"/>
                <w:szCs w:val="21"/>
                <w:highlight w:val="none"/>
              </w:rPr>
            </w:pPr>
            <w:r>
              <w:rPr>
                <w:rFonts w:hint="eastAsia" w:ascii="宋体" w:hAnsi="宋体" w:eastAsia="宋体" w:cs="宋体"/>
                <w:color w:val="333333"/>
                <w:sz w:val="21"/>
                <w:szCs w:val="21"/>
                <w:highlight w:val="none"/>
              </w:rPr>
              <w:t>实质性条款偏离情况</w:t>
            </w:r>
          </w:p>
        </w:tc>
        <w:tc>
          <w:tcPr>
            <w:tcW w:w="2872" w:type="pct"/>
            <w:vAlign w:val="center"/>
          </w:tcPr>
          <w:p>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tcPr>
          <w:p>
            <w:pPr>
              <w:snapToGrid w:val="0"/>
              <w:jc w:val="center"/>
              <w:rPr>
                <w:rFonts w:hint="eastAsia" w:ascii="宋体" w:hAnsi="宋体" w:eastAsia="宋体" w:cs="宋体"/>
                <w:sz w:val="21"/>
                <w:szCs w:val="21"/>
                <w:highlight w:val="none"/>
              </w:rPr>
            </w:pPr>
          </w:p>
        </w:tc>
        <w:tc>
          <w:tcPr>
            <w:tcW w:w="1017" w:type="pct"/>
            <w:vAlign w:val="center"/>
          </w:tcPr>
          <w:p>
            <w:pPr>
              <w:snapToGrid w:val="0"/>
              <w:jc w:val="center"/>
              <w:rPr>
                <w:rFonts w:hint="eastAsia" w:ascii="宋体" w:hAnsi="宋体" w:eastAsia="宋体" w:cs="宋体"/>
                <w:color w:val="333333"/>
                <w:sz w:val="21"/>
                <w:szCs w:val="21"/>
                <w:highlight w:val="none"/>
              </w:rPr>
            </w:pPr>
            <w:r>
              <w:rPr>
                <w:rFonts w:hint="eastAsia" w:ascii="宋体" w:hAnsi="宋体" w:eastAsia="宋体" w:cs="宋体"/>
                <w:color w:val="333333"/>
                <w:sz w:val="21"/>
                <w:szCs w:val="21"/>
                <w:highlight w:val="none"/>
                <w:lang w:eastAsia="zh-CN"/>
              </w:rPr>
              <w:t>响应文件</w:t>
            </w:r>
            <w:r>
              <w:rPr>
                <w:rFonts w:hint="eastAsia" w:ascii="宋体" w:hAnsi="宋体" w:eastAsia="宋体" w:cs="宋体"/>
                <w:color w:val="333333"/>
                <w:sz w:val="21"/>
                <w:szCs w:val="21"/>
                <w:highlight w:val="none"/>
              </w:rPr>
              <w:t>的签署和盖章</w:t>
            </w:r>
          </w:p>
        </w:tc>
        <w:tc>
          <w:tcPr>
            <w:tcW w:w="2872" w:type="pct"/>
            <w:vAlign w:val="center"/>
          </w:tcPr>
          <w:p>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restar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017"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872" w:type="pct"/>
            <w:vAlign w:val="center"/>
          </w:tcPr>
          <w:p>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vAlign w:val="center"/>
          </w:tcPr>
          <w:p>
            <w:pPr>
              <w:snapToGrid w:val="0"/>
              <w:jc w:val="center"/>
              <w:rPr>
                <w:rFonts w:hint="eastAsia" w:ascii="宋体" w:hAnsi="宋体" w:eastAsia="宋体" w:cs="宋体"/>
                <w:sz w:val="21"/>
                <w:szCs w:val="21"/>
                <w:highlight w:val="none"/>
              </w:rPr>
            </w:pPr>
          </w:p>
        </w:tc>
        <w:tc>
          <w:tcPr>
            <w:tcW w:w="1017" w:type="pct"/>
            <w:vAlign w:val="center"/>
          </w:tcPr>
          <w:p>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872" w:type="pct"/>
            <w:vAlign w:val="center"/>
          </w:tcPr>
          <w:p>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vAlign w:val="center"/>
          </w:tcPr>
          <w:p>
            <w:pPr>
              <w:snapToGrid w:val="0"/>
              <w:jc w:val="center"/>
              <w:rPr>
                <w:rFonts w:hint="eastAsia" w:ascii="宋体" w:hAnsi="宋体" w:eastAsia="宋体" w:cs="宋体"/>
                <w:sz w:val="21"/>
                <w:szCs w:val="21"/>
                <w:highlight w:val="none"/>
              </w:rPr>
            </w:pPr>
          </w:p>
        </w:tc>
        <w:tc>
          <w:tcPr>
            <w:tcW w:w="1017"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872" w:type="pct"/>
            <w:vAlign w:val="center"/>
          </w:tcPr>
          <w:p>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vAlign w:val="center"/>
          </w:tcPr>
          <w:p>
            <w:pPr>
              <w:snapToGrid w:val="0"/>
              <w:jc w:val="center"/>
              <w:rPr>
                <w:rFonts w:hint="eastAsia" w:ascii="宋体" w:hAnsi="宋体" w:eastAsia="宋体" w:cs="宋体"/>
                <w:sz w:val="21"/>
                <w:szCs w:val="21"/>
                <w:highlight w:val="none"/>
              </w:rPr>
            </w:pPr>
          </w:p>
        </w:tc>
        <w:tc>
          <w:tcPr>
            <w:tcW w:w="1017"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872" w:type="pct"/>
            <w:vAlign w:val="center"/>
          </w:tcPr>
          <w:p>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466" w:type="pct"/>
            <w:vMerge w:val="continue"/>
            <w:vAlign w:val="center"/>
          </w:tcPr>
          <w:p>
            <w:pPr>
              <w:snapToGrid w:val="0"/>
              <w:jc w:val="center"/>
              <w:rPr>
                <w:rFonts w:hint="eastAsia" w:ascii="宋体" w:hAnsi="宋体" w:eastAsia="宋体" w:cs="宋体"/>
                <w:sz w:val="21"/>
                <w:szCs w:val="21"/>
                <w:highlight w:val="none"/>
              </w:rPr>
            </w:pPr>
          </w:p>
        </w:tc>
        <w:tc>
          <w:tcPr>
            <w:tcW w:w="1017"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872" w:type="pct"/>
            <w:vAlign w:val="center"/>
          </w:tcPr>
          <w:p>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644" w:type="pct"/>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355" w:type="pct"/>
            <w:gridSpan w:val="3"/>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pPr>
        <w:pStyle w:val="3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bookmarkStart w:id="8" w:name="_Toc478566081"/>
      <w:bookmarkStart w:id="9" w:name="_Toc20635"/>
      <w:bookmarkStart w:id="10" w:name="_Toc478566439"/>
      <w:bookmarkStart w:id="11" w:name="_Toc474148037"/>
      <w:bookmarkStart w:id="12" w:name="_Toc68859970"/>
      <w:bookmarkStart w:id="13" w:name="_Toc478565718"/>
      <w:bookmarkStart w:id="14" w:name="_Toc478566273"/>
    </w:p>
    <w:p>
      <w:pPr>
        <w:pStyle w:val="3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r>
        <w:rPr>
          <w:rFonts w:hint="default" w:ascii="宋体" w:hAnsi="宋体" w:eastAsia="宋体" w:cs="宋体"/>
          <w:b/>
          <w:bCs w:val="0"/>
          <w:kern w:val="0"/>
          <w:sz w:val="28"/>
          <w:szCs w:val="28"/>
          <w:highlight w:val="none"/>
          <w:lang w:val="en-US" w:eastAsia="zh-CN"/>
        </w:rPr>
        <w:t>评分标准</w:t>
      </w:r>
      <w:r>
        <w:rPr>
          <w:rFonts w:hint="eastAsia" w:ascii="宋体" w:hAnsi="宋体" w:eastAsia="宋体" w:cs="宋体"/>
          <w:b/>
          <w:bCs w:val="0"/>
          <w:kern w:val="0"/>
          <w:sz w:val="28"/>
          <w:szCs w:val="28"/>
          <w:highlight w:val="none"/>
          <w:lang w:val="en-US" w:eastAsia="zh-CN"/>
        </w:rPr>
        <w:t>表</w:t>
      </w:r>
    </w:p>
    <w:p>
      <w:pPr>
        <w:pStyle w:val="7"/>
        <w:numPr>
          <w:ilvl w:val="0"/>
          <w:numId w:val="2"/>
        </w:numPr>
        <w:spacing w:before="91" w:line="223" w:lineRule="auto"/>
        <w:outlineLvl w:val="1"/>
        <w:rPr>
          <w:rFonts w:hint="default" w:ascii="Times New Roman" w:hAnsi="Times New Roman" w:eastAsia="仿宋_GB2312" w:cs="Times New Roman"/>
          <w:spacing w:val="-5"/>
          <w:sz w:val="28"/>
          <w:szCs w:val="28"/>
        </w:rPr>
      </w:pPr>
      <w:r>
        <w:rPr>
          <w:rFonts w:hint="default" w:ascii="Times New Roman" w:hAnsi="Times New Roman" w:eastAsia="仿宋_GB2312" w:cs="Times New Roman"/>
          <w:b w:val="0"/>
          <w:bCs w:val="0"/>
          <w:spacing w:val="-3"/>
          <w:sz w:val="28"/>
          <w:szCs w:val="28"/>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spacing w:val="-3"/>
          <w:sz w:val="28"/>
          <w:szCs w:val="28"/>
          <w:lang w:eastAsia="zh-CN"/>
          <w14:textOutline w14:w="5103" w14:cap="sq" w14:cmpd="sng">
            <w14:solidFill>
              <w14:srgbClr w14:val="000000"/>
            </w14:solidFill>
            <w14:prstDash w14:val="solid"/>
            <w14:bevel/>
          </w14:textOutline>
        </w:rPr>
        <w:t>：</w:t>
      </w:r>
      <w:r>
        <w:rPr>
          <w:rFonts w:hint="eastAsia" w:ascii="仿宋" w:hAnsi="仿宋" w:eastAsia="仿宋" w:cs="仿宋"/>
          <w:b w:val="0"/>
          <w:bCs w:val="0"/>
          <w:spacing w:val="-5"/>
          <w:sz w:val="28"/>
          <w:szCs w:val="28"/>
        </w:rPr>
        <w:t>总分为</w:t>
      </w:r>
      <w:r>
        <w:rPr>
          <w:rFonts w:hint="eastAsia" w:ascii="仿宋" w:hAnsi="仿宋" w:eastAsia="仿宋" w:cs="仿宋"/>
          <w:b w:val="0"/>
          <w:bCs w:val="0"/>
          <w:spacing w:val="-37"/>
          <w:sz w:val="28"/>
          <w:szCs w:val="28"/>
        </w:rPr>
        <w:t xml:space="preserve"> </w:t>
      </w:r>
      <w:r>
        <w:rPr>
          <w:rFonts w:hint="eastAsia" w:ascii="仿宋" w:hAnsi="仿宋" w:eastAsia="仿宋" w:cs="仿宋"/>
          <w:b w:val="0"/>
          <w:bCs w:val="0"/>
          <w:spacing w:val="-5"/>
          <w:sz w:val="28"/>
          <w:szCs w:val="28"/>
        </w:rPr>
        <w:t>100</w:t>
      </w:r>
      <w:r>
        <w:rPr>
          <w:rFonts w:hint="eastAsia" w:ascii="仿宋" w:hAnsi="仿宋" w:eastAsia="仿宋" w:cs="仿宋"/>
          <w:b w:val="0"/>
          <w:bCs w:val="0"/>
          <w:spacing w:val="-48"/>
          <w:sz w:val="28"/>
          <w:szCs w:val="28"/>
        </w:rPr>
        <w:t xml:space="preserve"> </w:t>
      </w:r>
      <w:r>
        <w:rPr>
          <w:rFonts w:hint="eastAsia" w:ascii="仿宋" w:hAnsi="仿宋" w:eastAsia="仿宋" w:cs="仿宋"/>
          <w:b w:val="0"/>
          <w:bCs w:val="0"/>
          <w:spacing w:val="-5"/>
          <w:sz w:val="28"/>
          <w:szCs w:val="28"/>
        </w:rPr>
        <w:t>分，</w:t>
      </w:r>
      <w:r>
        <w:rPr>
          <w:rFonts w:hint="eastAsia" w:ascii="仿宋" w:hAnsi="仿宋" w:eastAsia="仿宋" w:cs="仿宋"/>
          <w:spacing w:val="-5"/>
          <w:sz w:val="28"/>
          <w:szCs w:val="28"/>
        </w:rPr>
        <w:t>评分分值分配如下：</w:t>
      </w:r>
    </w:p>
    <w:tbl>
      <w:tblPr>
        <w:tblStyle w:val="18"/>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091"/>
        <w:gridCol w:w="3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评审项</w:t>
            </w:r>
          </w:p>
        </w:tc>
        <w:tc>
          <w:tcPr>
            <w:tcW w:w="309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各部分分值</w:t>
            </w:r>
          </w:p>
        </w:tc>
        <w:tc>
          <w:tcPr>
            <w:tcW w:w="309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lang w:val="en-US" w:eastAsia="zh-CN"/>
              </w:rPr>
            </w:pPr>
            <w:r>
              <w:rPr>
                <w:rFonts w:hint="eastAsia" w:ascii="仿宋" w:hAnsi="仿宋" w:eastAsia="仿宋" w:cs="宋体"/>
                <w:b/>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商务审查</w:t>
            </w:r>
          </w:p>
        </w:tc>
        <w:tc>
          <w:tcPr>
            <w:tcW w:w="3091" w:type="dxa"/>
            <w:vAlign w:val="center"/>
          </w:tcPr>
          <w:p>
            <w:pPr>
              <w:autoSpaceDE w:val="0"/>
              <w:autoSpaceDN w:val="0"/>
              <w:spacing w:before="93" w:beforeLines="30" w:after="93" w:afterLines="30"/>
              <w:jc w:val="center"/>
              <w:rPr>
                <w:rFonts w:hint="default" w:ascii="仿宋" w:hAnsi="仿宋" w:eastAsia="仿宋" w:cs="宋体"/>
                <w:b/>
                <w:color w:val="FF0000"/>
                <w:szCs w:val="21"/>
                <w:lang w:val="en-US" w:eastAsia="zh-CN"/>
              </w:rPr>
            </w:pPr>
            <w:r>
              <w:rPr>
                <w:rFonts w:hint="eastAsia" w:ascii="仿宋" w:hAnsi="仿宋" w:eastAsia="仿宋" w:cs="宋体"/>
                <w:b/>
                <w:color w:val="auto"/>
                <w:szCs w:val="21"/>
                <w:lang w:val="en-US" w:eastAsia="zh-CN"/>
              </w:rPr>
              <w:t>30</w:t>
            </w:r>
          </w:p>
        </w:tc>
        <w:tc>
          <w:tcPr>
            <w:tcW w:w="3091" w:type="dxa"/>
            <w:vMerge w:val="restart"/>
          </w:tcPr>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本项目商务部分设置评分基准线。若投标人的商务评分低于基准线，其投标应答将被视为存在重大商务技术偏差，则</w:t>
            </w:r>
            <w:r>
              <w:rPr>
                <w:rFonts w:hint="eastAsia" w:ascii="仿宋" w:hAnsi="仿宋" w:eastAsia="仿宋" w:cs="宋体"/>
                <w:b/>
                <w:color w:val="auto"/>
                <w:szCs w:val="21"/>
                <w:lang w:val="en-US" w:eastAsia="zh-CN"/>
              </w:rPr>
              <w:t>报价</w:t>
            </w:r>
            <w:r>
              <w:rPr>
                <w:rFonts w:hint="eastAsia" w:ascii="仿宋" w:hAnsi="仿宋" w:eastAsia="仿宋" w:cs="宋体"/>
                <w:b/>
                <w:color w:val="auto"/>
                <w:szCs w:val="21"/>
              </w:rPr>
              <w:t>无效，不进入技术部分评审。</w:t>
            </w:r>
          </w:p>
          <w:p>
            <w:pPr>
              <w:autoSpaceDE w:val="0"/>
              <w:autoSpaceDN w:val="0"/>
              <w:spacing w:before="93" w:beforeLines="30" w:after="93" w:afterLines="30"/>
              <w:jc w:val="center"/>
              <w:rPr>
                <w:rFonts w:hint="eastAsia" w:ascii="仿宋" w:hAnsi="仿宋" w:eastAsia="仿宋" w:cs="宋体"/>
                <w:b/>
                <w:color w:val="FF0000"/>
                <w:szCs w:val="21"/>
                <w:lang w:eastAsia="zh-CN"/>
              </w:rPr>
            </w:pPr>
            <w:r>
              <w:rPr>
                <w:rFonts w:hint="eastAsia" w:ascii="仿宋" w:hAnsi="仿宋" w:eastAsia="仿宋" w:cs="宋体"/>
                <w:b/>
                <w:color w:val="auto"/>
                <w:szCs w:val="21"/>
                <w:lang w:eastAsia="zh-CN"/>
              </w:rPr>
              <w:t>商务评分基准线=本项目商务部分分值X60%(即30X60%=18分)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技术审查</w:t>
            </w:r>
          </w:p>
        </w:tc>
        <w:tc>
          <w:tcPr>
            <w:tcW w:w="3091" w:type="dxa"/>
            <w:vAlign w:val="center"/>
          </w:tcPr>
          <w:p>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50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价格评审</w:t>
            </w:r>
          </w:p>
        </w:tc>
        <w:tc>
          <w:tcPr>
            <w:tcW w:w="3091" w:type="dxa"/>
            <w:vAlign w:val="center"/>
          </w:tcPr>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20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总和</w:t>
            </w:r>
          </w:p>
        </w:tc>
        <w:tc>
          <w:tcPr>
            <w:tcW w:w="309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100</w:t>
            </w:r>
          </w:p>
        </w:tc>
        <w:tc>
          <w:tcPr>
            <w:tcW w:w="3091" w:type="dxa"/>
            <w:vMerge w:val="continue"/>
          </w:tcPr>
          <w:p>
            <w:pPr>
              <w:autoSpaceDE w:val="0"/>
              <w:autoSpaceDN w:val="0"/>
              <w:spacing w:before="93" w:beforeLines="30" w:after="93" w:afterLines="30"/>
              <w:jc w:val="center"/>
              <w:rPr>
                <w:rFonts w:hint="eastAsia" w:ascii="仿宋" w:hAnsi="仿宋" w:eastAsia="仿宋" w:cs="宋体"/>
                <w:b/>
                <w:szCs w:val="21"/>
              </w:rPr>
            </w:pPr>
          </w:p>
        </w:tc>
      </w:tr>
    </w:tbl>
    <w:p>
      <w:pPr>
        <w:pStyle w:val="7"/>
        <w:numPr>
          <w:ilvl w:val="0"/>
          <w:numId w:val="2"/>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商务评分表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8"/>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6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bookmarkStart w:id="15" w:name="_Hlk164269056"/>
            <w:r>
              <w:rPr>
                <w:rFonts w:hint="eastAsia" w:ascii="仿宋" w:hAnsi="仿宋" w:eastAsia="仿宋" w:cs="宋体"/>
                <w:b/>
                <w:szCs w:val="21"/>
              </w:rPr>
              <w:t>评分项</w:t>
            </w:r>
          </w:p>
        </w:tc>
        <w:tc>
          <w:tcPr>
            <w:tcW w:w="618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商务</w:t>
            </w:r>
          </w:p>
        </w:tc>
        <w:tc>
          <w:tcPr>
            <w:tcW w:w="6184"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szCs w:val="21"/>
                <w:lang w:val="en-US" w:eastAsia="zh-CN"/>
              </w:rPr>
            </w:pPr>
            <w:r>
              <w:rPr>
                <w:rFonts w:hint="eastAsia" w:ascii="仿宋" w:hAnsi="仿宋" w:eastAsia="仿宋" w:cs="宋体"/>
                <w:b/>
                <w:color w:val="auto"/>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068"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928"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84"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1</w:t>
            </w:r>
          </w:p>
        </w:tc>
        <w:tc>
          <w:tcPr>
            <w:tcW w:w="1068" w:type="dxa"/>
            <w:vAlign w:val="center"/>
          </w:tcPr>
          <w:p>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szCs w:val="21"/>
              </w:rPr>
              <w:t>同类项目经验</w:t>
            </w:r>
          </w:p>
        </w:tc>
        <w:tc>
          <w:tcPr>
            <w:tcW w:w="928" w:type="dxa"/>
            <w:vAlign w:val="center"/>
          </w:tcPr>
          <w:p>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20</w:t>
            </w:r>
          </w:p>
        </w:tc>
        <w:tc>
          <w:tcPr>
            <w:tcW w:w="6184" w:type="dxa"/>
          </w:tcPr>
          <w:p>
            <w:pPr>
              <w:spacing w:before="93" w:beforeLines="30" w:after="93" w:afterLines="30"/>
              <w:jc w:val="left"/>
              <w:rPr>
                <w:rFonts w:hint="default" w:ascii="仿宋" w:hAnsi="仿宋" w:eastAsia="仿宋" w:cs="宋体"/>
                <w:bCs/>
                <w:szCs w:val="21"/>
                <w:lang w:val="en-US" w:eastAsia="zh-CN"/>
              </w:rPr>
            </w:pPr>
            <w:r>
              <w:rPr>
                <w:rFonts w:hint="default" w:ascii="仿宋" w:hAnsi="仿宋" w:eastAsia="仿宋" w:cs="宋体"/>
                <w:bCs/>
                <w:szCs w:val="21"/>
                <w:lang w:val="en-US"/>
              </w:rPr>
              <w:t>考察</w:t>
            </w:r>
            <w:r>
              <w:rPr>
                <w:rFonts w:hint="eastAsia" w:ascii="仿宋" w:hAnsi="仿宋" w:eastAsia="仿宋" w:cs="宋体"/>
                <w:bCs/>
                <w:szCs w:val="21"/>
              </w:rPr>
              <w:t>投标人202</w:t>
            </w:r>
            <w:r>
              <w:rPr>
                <w:rFonts w:hint="eastAsia" w:ascii="仿宋" w:hAnsi="仿宋" w:eastAsia="仿宋" w:cs="宋体"/>
                <w:bCs/>
                <w:szCs w:val="21"/>
                <w:lang w:val="en-US" w:eastAsia="zh-CN"/>
              </w:rPr>
              <w:t>2</w:t>
            </w:r>
            <w:r>
              <w:rPr>
                <w:rFonts w:hint="eastAsia" w:ascii="仿宋" w:hAnsi="仿宋" w:eastAsia="仿宋" w:cs="宋体"/>
                <w:bCs/>
                <w:szCs w:val="21"/>
              </w:rPr>
              <w:t>年1月1日（以合同签订时间为准）至</w:t>
            </w:r>
            <w:r>
              <w:rPr>
                <w:rFonts w:hint="eastAsia" w:ascii="仿宋" w:hAnsi="仿宋" w:eastAsia="仿宋" w:cs="宋体"/>
                <w:bCs/>
                <w:szCs w:val="21"/>
                <w:lang w:val="en-US" w:eastAsia="zh-CN"/>
              </w:rPr>
              <w:t>投标截止日：1、</w:t>
            </w:r>
            <w:r>
              <w:rPr>
                <w:rFonts w:hint="eastAsia" w:ascii="仿宋" w:hAnsi="仿宋" w:eastAsia="仿宋" w:cs="宋体"/>
                <w:bCs/>
                <w:szCs w:val="21"/>
              </w:rPr>
              <w:t>承接过</w:t>
            </w:r>
            <w:bookmarkStart w:id="16" w:name="OLE_LINK7"/>
            <w:r>
              <w:rPr>
                <w:rFonts w:hint="eastAsia" w:ascii="仿宋" w:hAnsi="仿宋" w:eastAsia="仿宋" w:cs="宋体"/>
                <w:bCs/>
                <w:szCs w:val="21"/>
              </w:rPr>
              <w:t>活动策划</w:t>
            </w:r>
            <w:r>
              <w:rPr>
                <w:rFonts w:hint="eastAsia" w:ascii="仿宋" w:hAnsi="仿宋" w:eastAsia="仿宋" w:cs="宋体"/>
                <w:bCs/>
                <w:szCs w:val="21"/>
                <w:lang w:val="en-US" w:eastAsia="zh-CN"/>
              </w:rPr>
              <w:t>与执行</w:t>
            </w:r>
            <w:r>
              <w:rPr>
                <w:rFonts w:hint="eastAsia" w:ascii="仿宋" w:hAnsi="仿宋" w:eastAsia="仿宋" w:cs="宋体"/>
                <w:bCs/>
                <w:szCs w:val="21"/>
              </w:rPr>
              <w:t>类</w:t>
            </w:r>
            <w:r>
              <w:rPr>
                <w:rFonts w:hint="eastAsia" w:ascii="仿宋" w:hAnsi="仿宋" w:eastAsia="仿宋" w:cs="宋体"/>
                <w:bCs/>
                <w:szCs w:val="21"/>
                <w:lang w:val="en-US" w:eastAsia="zh-CN"/>
              </w:rPr>
              <w:t>或</w:t>
            </w:r>
            <w:r>
              <w:rPr>
                <w:rFonts w:hint="eastAsia" w:ascii="仿宋" w:hAnsi="仿宋" w:eastAsia="仿宋" w:cs="宋体"/>
                <w:bCs/>
                <w:szCs w:val="21"/>
              </w:rPr>
              <w:t>物料制作与搭建类</w:t>
            </w:r>
            <w:bookmarkEnd w:id="16"/>
            <w:r>
              <w:rPr>
                <w:rFonts w:hint="eastAsia" w:ascii="仿宋" w:hAnsi="仿宋" w:eastAsia="仿宋" w:cs="宋体"/>
                <w:bCs/>
                <w:szCs w:val="21"/>
                <w:lang w:val="en-US" w:eastAsia="zh-CN"/>
              </w:rPr>
              <w:t>或视频拍摄与剪辑类</w:t>
            </w:r>
            <w:r>
              <w:rPr>
                <w:rFonts w:hint="eastAsia" w:ascii="仿宋" w:hAnsi="仿宋" w:eastAsia="仿宋" w:cs="宋体"/>
                <w:bCs/>
                <w:szCs w:val="21"/>
              </w:rPr>
              <w:t>相关的项目业绩</w:t>
            </w:r>
            <w:r>
              <w:rPr>
                <w:rFonts w:hint="eastAsia" w:ascii="仿宋" w:hAnsi="仿宋" w:eastAsia="仿宋" w:cs="宋体"/>
                <w:bCs/>
                <w:szCs w:val="21"/>
                <w:lang w:val="en-US" w:eastAsia="zh-CN"/>
              </w:rPr>
              <w:t>，</w:t>
            </w:r>
            <w:r>
              <w:rPr>
                <w:rFonts w:hint="eastAsia" w:ascii="仿宋" w:hAnsi="仿宋" w:eastAsia="仿宋" w:cs="宋体"/>
                <w:bCs/>
                <w:szCs w:val="21"/>
              </w:rPr>
              <w:t>每提供一份相关的有效项目业绩，得</w:t>
            </w:r>
            <w:r>
              <w:rPr>
                <w:rFonts w:hint="eastAsia" w:ascii="仿宋" w:hAnsi="仿宋" w:eastAsia="仿宋" w:cs="宋体"/>
                <w:bCs/>
                <w:szCs w:val="21"/>
                <w:lang w:val="en-US" w:eastAsia="zh-CN"/>
              </w:rPr>
              <w:t>3</w:t>
            </w:r>
            <w:r>
              <w:rPr>
                <w:rFonts w:hint="eastAsia" w:ascii="仿宋" w:hAnsi="仿宋" w:eastAsia="仿宋" w:cs="宋体"/>
                <w:bCs/>
                <w:szCs w:val="21"/>
              </w:rPr>
              <w:t>分；</w:t>
            </w:r>
            <w:r>
              <w:rPr>
                <w:rFonts w:hint="eastAsia" w:ascii="仿宋" w:hAnsi="仿宋" w:eastAsia="仿宋" w:cs="宋体"/>
                <w:bCs/>
                <w:szCs w:val="21"/>
                <w:lang w:val="en-US" w:eastAsia="zh-CN"/>
              </w:rPr>
              <w:t>2、承接过新疆地区</w:t>
            </w:r>
            <w:r>
              <w:rPr>
                <w:rFonts w:hint="eastAsia" w:ascii="仿宋" w:hAnsi="仿宋" w:eastAsia="仿宋" w:cs="宋体"/>
                <w:bCs/>
                <w:szCs w:val="21"/>
              </w:rPr>
              <w:t>活动策划</w:t>
            </w:r>
            <w:r>
              <w:rPr>
                <w:rFonts w:hint="eastAsia" w:ascii="仿宋" w:hAnsi="仿宋" w:eastAsia="仿宋" w:cs="宋体"/>
                <w:bCs/>
                <w:szCs w:val="21"/>
                <w:lang w:val="en-US" w:eastAsia="zh-CN"/>
              </w:rPr>
              <w:t>与执行</w:t>
            </w:r>
            <w:r>
              <w:rPr>
                <w:rFonts w:hint="eastAsia" w:ascii="仿宋" w:hAnsi="仿宋" w:eastAsia="仿宋" w:cs="宋体"/>
                <w:bCs/>
                <w:szCs w:val="21"/>
              </w:rPr>
              <w:t>类</w:t>
            </w:r>
            <w:r>
              <w:rPr>
                <w:rFonts w:hint="eastAsia" w:ascii="仿宋" w:hAnsi="仿宋" w:eastAsia="仿宋" w:cs="宋体"/>
                <w:bCs/>
                <w:szCs w:val="21"/>
                <w:lang w:val="en-US" w:eastAsia="zh-CN"/>
              </w:rPr>
              <w:t>或</w:t>
            </w:r>
            <w:r>
              <w:rPr>
                <w:rFonts w:hint="eastAsia" w:ascii="仿宋" w:hAnsi="仿宋" w:eastAsia="仿宋" w:cs="宋体"/>
                <w:bCs/>
                <w:szCs w:val="21"/>
              </w:rPr>
              <w:t>物料制作与搭建类</w:t>
            </w:r>
            <w:r>
              <w:rPr>
                <w:rFonts w:hint="eastAsia" w:ascii="仿宋" w:hAnsi="仿宋" w:eastAsia="仿宋" w:cs="宋体"/>
                <w:bCs/>
                <w:szCs w:val="21"/>
                <w:lang w:val="en-US" w:eastAsia="zh-CN"/>
              </w:rPr>
              <w:t>的项目业绩，得2分（可与1重复计分）。</w:t>
            </w:r>
            <w:r>
              <w:rPr>
                <w:rFonts w:hint="eastAsia" w:ascii="仿宋" w:hAnsi="仿宋" w:eastAsia="仿宋" w:cs="宋体"/>
                <w:bCs/>
                <w:szCs w:val="21"/>
              </w:rPr>
              <w:t>本项累计最高得</w:t>
            </w:r>
            <w:r>
              <w:rPr>
                <w:rFonts w:hint="eastAsia" w:ascii="仿宋" w:hAnsi="仿宋" w:eastAsia="仿宋" w:cs="宋体"/>
                <w:bCs/>
                <w:szCs w:val="21"/>
                <w:lang w:val="en-US" w:eastAsia="zh-CN"/>
              </w:rPr>
              <w:t>20</w:t>
            </w:r>
            <w:r>
              <w:rPr>
                <w:rFonts w:hint="eastAsia" w:ascii="仿宋" w:hAnsi="仿宋" w:eastAsia="仿宋" w:cs="宋体"/>
                <w:bCs/>
                <w:szCs w:val="21"/>
              </w:rPr>
              <w:t>分</w:t>
            </w:r>
            <w:r>
              <w:rPr>
                <w:rFonts w:hint="eastAsia" w:ascii="仿宋" w:hAnsi="仿宋" w:eastAsia="仿宋" w:cs="宋体"/>
                <w:bCs/>
                <w:szCs w:val="21"/>
                <w:lang w:val="en-US" w:eastAsia="zh-CN"/>
              </w:rPr>
              <w:t>。</w:t>
            </w:r>
          </w:p>
          <w:p>
            <w:pPr>
              <w:spacing w:before="93" w:beforeLines="30" w:after="93" w:afterLines="30"/>
              <w:jc w:val="left"/>
              <w:rPr>
                <w:rFonts w:hint="eastAsia" w:ascii="仿宋" w:hAnsi="仿宋" w:eastAsia="仿宋" w:cs="宋体"/>
                <w:bCs/>
                <w:szCs w:val="21"/>
              </w:rPr>
            </w:pPr>
            <w:r>
              <w:rPr>
                <w:rFonts w:hint="eastAsia" w:ascii="仿宋" w:hAnsi="仿宋" w:eastAsia="仿宋" w:cs="宋体"/>
                <w:bCs/>
                <w:szCs w:val="21"/>
              </w:rPr>
              <w:t>注：①须提供合同关键页（不限于签订合同双方的单位名称、合同名称、合同标的内容、合同签订页等）复印件作为证明材料，不提供不得分。②若合同无法说明项目内容符合上述同类项目经验范围，可提供</w:t>
            </w:r>
            <w:r>
              <w:rPr>
                <w:rFonts w:hint="eastAsia" w:ascii="仿宋" w:hAnsi="仿宋" w:eastAsia="仿宋" w:cs="宋体"/>
                <w:bCs/>
                <w:szCs w:val="21"/>
                <w:lang w:val="en-US" w:eastAsia="zh-CN"/>
              </w:rPr>
              <w:t>合同</w:t>
            </w:r>
            <w:r>
              <w:rPr>
                <w:rFonts w:hint="eastAsia" w:ascii="仿宋" w:hAnsi="仿宋" w:eastAsia="仿宋" w:cs="宋体"/>
                <w:bCs/>
                <w:szCs w:val="21"/>
              </w:rPr>
              <w:t>甲方出具的相应证明文件作依据（证明文件须加盖合同甲方公司章或合同章，或甲方项目使用部门章）。③若合同无相关签订时间，则以合同中能够体现的服务起始时间进行认定。④上述每一个有效的同类项目业绩，存在多个类型服务内容时，仅在单个类型得分，不可多个类型重复得分。⑤证明材料不完整、不清晰、</w:t>
            </w:r>
            <w:r>
              <w:rPr>
                <w:rFonts w:hint="eastAsia" w:ascii="仿宋" w:hAnsi="仿宋" w:eastAsia="仿宋" w:cs="宋体"/>
                <w:bCs/>
                <w:szCs w:val="21"/>
                <w:lang w:val="en-US" w:eastAsia="zh-CN"/>
              </w:rPr>
              <w:t>评委</w:t>
            </w:r>
            <w:r>
              <w:rPr>
                <w:rFonts w:hint="eastAsia" w:ascii="仿宋" w:hAnsi="仿宋" w:eastAsia="仿宋" w:cs="宋体"/>
                <w:bCs/>
                <w:szCs w:val="21"/>
              </w:rPr>
              <w:t>无法确定业绩关键信息的将不予认可。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left"/>
              <w:rPr>
                <w:rFonts w:hint="eastAsia" w:ascii="仿宋" w:hAnsi="仿宋" w:eastAsia="仿宋" w:cs="宋体"/>
                <w:bCs/>
                <w:szCs w:val="21"/>
              </w:rPr>
            </w:pPr>
            <w:r>
              <w:rPr>
                <w:rFonts w:hint="eastAsia" w:ascii="仿宋" w:hAnsi="仿宋" w:eastAsia="仿宋" w:cs="宋体"/>
                <w:bCs/>
                <w:szCs w:val="21"/>
              </w:rPr>
              <w:t>2</w:t>
            </w:r>
          </w:p>
        </w:tc>
        <w:tc>
          <w:tcPr>
            <w:tcW w:w="1068" w:type="dxa"/>
            <w:vAlign w:val="center"/>
          </w:tcPr>
          <w:p>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rPr>
              <w:t>拟派服务团队的技术服务能力</w:t>
            </w:r>
          </w:p>
        </w:tc>
        <w:tc>
          <w:tcPr>
            <w:tcW w:w="928" w:type="dxa"/>
            <w:vAlign w:val="center"/>
          </w:tcPr>
          <w:p>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rPr>
              <w:t>10</w:t>
            </w:r>
          </w:p>
        </w:tc>
        <w:tc>
          <w:tcPr>
            <w:tcW w:w="6184" w:type="dxa"/>
            <w:vAlign w:val="top"/>
          </w:tcPr>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default" w:ascii="仿宋" w:hAnsi="仿宋" w:eastAsia="仿宋" w:cs="宋体"/>
                <w:bCs/>
                <w:szCs w:val="21"/>
                <w:lang w:val="en-US"/>
              </w:rPr>
              <w:t>考察</w:t>
            </w:r>
            <w:r>
              <w:rPr>
                <w:rFonts w:hint="eastAsia" w:ascii="仿宋" w:hAnsi="仿宋" w:eastAsia="仿宋" w:cs="宋体"/>
                <w:bCs/>
                <w:szCs w:val="21"/>
              </w:rPr>
              <w:t>投标人拟投入到本项目的服务人员情况，具体如下：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1、团队架构（</w:t>
            </w:r>
            <w:r>
              <w:rPr>
                <w:rFonts w:hint="eastAsia" w:ascii="仿宋" w:hAnsi="仿宋" w:eastAsia="仿宋" w:cs="宋体"/>
                <w:bCs/>
                <w:szCs w:val="21"/>
                <w:lang w:val="en-US" w:eastAsia="zh-CN"/>
              </w:rPr>
              <w:t>2</w:t>
            </w:r>
            <w:r>
              <w:rPr>
                <w:rFonts w:hint="eastAsia" w:ascii="仿宋" w:hAnsi="仿宋" w:eastAsia="仿宋" w:cs="宋体"/>
                <w:bCs/>
                <w:szCs w:val="21"/>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所配置的服务团队成员数量满足</w:t>
            </w:r>
            <w:r>
              <w:rPr>
                <w:rFonts w:hint="eastAsia" w:ascii="仿宋" w:hAnsi="仿宋" w:eastAsia="仿宋" w:cs="宋体"/>
                <w:bCs/>
                <w:szCs w:val="21"/>
                <w:lang w:val="en-US" w:eastAsia="zh-CN"/>
              </w:rPr>
              <w:t>4</w:t>
            </w:r>
            <w:r>
              <w:rPr>
                <w:rFonts w:hint="eastAsia" w:ascii="仿宋" w:hAnsi="仿宋" w:eastAsia="仿宋" w:cs="宋体"/>
                <w:bCs/>
                <w:szCs w:val="21"/>
              </w:rPr>
              <w:t>人且架构满足项目需求（包含但不限于项目管理、活动策划、平面设计、摄影摄像、物料制作等岗位人员</w:t>
            </w:r>
            <w:r>
              <w:rPr>
                <w:rFonts w:hint="eastAsia" w:ascii="仿宋" w:hAnsi="仿宋" w:eastAsia="仿宋" w:cs="宋体"/>
                <w:bCs/>
                <w:szCs w:val="21"/>
                <w:lang w:eastAsia="zh-CN"/>
              </w:rPr>
              <w:t>，</w:t>
            </w:r>
            <w:r>
              <w:rPr>
                <w:rFonts w:hint="eastAsia" w:ascii="仿宋" w:hAnsi="仿宋" w:eastAsia="仿宋" w:cs="宋体"/>
                <w:bCs/>
                <w:szCs w:val="21"/>
                <w:lang w:val="en-US" w:eastAsia="zh-CN"/>
              </w:rPr>
              <w:t>可一人任职多个岗位</w:t>
            </w:r>
            <w:r>
              <w:rPr>
                <w:rFonts w:hint="eastAsia" w:ascii="仿宋" w:hAnsi="仿宋" w:eastAsia="仿宋" w:cs="宋体"/>
                <w:bCs/>
                <w:szCs w:val="21"/>
              </w:rPr>
              <w:t>），得2分；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2、团队成员专业情况（</w:t>
            </w:r>
            <w:r>
              <w:rPr>
                <w:rFonts w:hint="eastAsia" w:ascii="仿宋" w:hAnsi="仿宋" w:eastAsia="仿宋" w:cs="宋体"/>
                <w:bCs/>
                <w:szCs w:val="21"/>
                <w:lang w:val="en-US" w:eastAsia="zh-CN"/>
              </w:rPr>
              <w:t>6</w:t>
            </w:r>
            <w:r>
              <w:rPr>
                <w:rFonts w:hint="eastAsia" w:ascii="仿宋" w:hAnsi="仿宋" w:eastAsia="仿宋" w:cs="宋体"/>
                <w:bCs/>
                <w:szCs w:val="21"/>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服务团队中配置有设计类、</w:t>
            </w:r>
            <w:r>
              <w:rPr>
                <w:rFonts w:hint="eastAsia" w:ascii="仿宋" w:hAnsi="仿宋" w:eastAsia="仿宋" w:cs="宋体"/>
                <w:bCs/>
                <w:szCs w:val="21"/>
                <w:lang w:val="en-US" w:eastAsia="zh-CN"/>
              </w:rPr>
              <w:t>编导类、</w:t>
            </w:r>
            <w:r>
              <w:rPr>
                <w:rFonts w:hint="eastAsia" w:ascii="仿宋" w:hAnsi="仿宋" w:eastAsia="仿宋" w:cs="宋体"/>
                <w:bCs/>
                <w:szCs w:val="21"/>
              </w:rPr>
              <w:t>广告传媒类、艺术类、计算机类、</w:t>
            </w:r>
            <w:r>
              <w:rPr>
                <w:rFonts w:hint="eastAsia" w:ascii="仿宋" w:hAnsi="仿宋" w:eastAsia="仿宋" w:cs="宋体"/>
                <w:bCs/>
                <w:szCs w:val="21"/>
                <w:lang w:val="en-US" w:eastAsia="zh-CN"/>
              </w:rPr>
              <w:t>新闻学</w:t>
            </w:r>
            <w:r>
              <w:rPr>
                <w:rFonts w:hint="eastAsia" w:ascii="仿宋" w:hAnsi="仿宋" w:eastAsia="仿宋" w:cs="宋体"/>
                <w:bCs/>
                <w:szCs w:val="21"/>
              </w:rPr>
              <w:t>等专业的专科（含）及以上学历人员，</w:t>
            </w:r>
            <w:r>
              <w:rPr>
                <w:rFonts w:hint="eastAsia" w:ascii="仿宋" w:hAnsi="仿宋" w:eastAsia="仿宋" w:cs="宋体"/>
                <w:bCs/>
                <w:szCs w:val="21"/>
                <w:lang w:val="en-US" w:eastAsia="zh-CN"/>
              </w:rPr>
              <w:t>或相关资格证书，</w:t>
            </w:r>
            <w:r>
              <w:rPr>
                <w:rFonts w:hint="eastAsia" w:ascii="仿宋" w:hAnsi="仿宋" w:eastAsia="仿宋" w:cs="宋体"/>
                <w:bCs/>
                <w:szCs w:val="21"/>
              </w:rPr>
              <w:t>每具备1名符合上述要求且提供有对应证明材料的人员，得</w:t>
            </w:r>
            <w:r>
              <w:rPr>
                <w:rFonts w:hint="eastAsia" w:ascii="仿宋" w:hAnsi="仿宋" w:eastAsia="仿宋" w:cs="宋体"/>
                <w:bCs/>
                <w:szCs w:val="21"/>
                <w:lang w:val="en-US" w:eastAsia="zh-CN"/>
              </w:rPr>
              <w:t>3</w:t>
            </w:r>
            <w:r>
              <w:rPr>
                <w:rFonts w:hint="eastAsia" w:ascii="仿宋" w:hAnsi="仿宋" w:eastAsia="仿宋" w:cs="宋体"/>
                <w:bCs/>
                <w:szCs w:val="21"/>
              </w:rPr>
              <w:t>分；本小项累计最高得</w:t>
            </w:r>
            <w:r>
              <w:rPr>
                <w:rFonts w:hint="eastAsia" w:ascii="仿宋" w:hAnsi="仿宋" w:eastAsia="仿宋" w:cs="宋体"/>
                <w:bCs/>
                <w:szCs w:val="21"/>
                <w:lang w:val="en-US" w:eastAsia="zh-CN"/>
              </w:rPr>
              <w:t>6</w:t>
            </w:r>
            <w:r>
              <w:rPr>
                <w:rFonts w:hint="eastAsia" w:ascii="仿宋" w:hAnsi="仿宋" w:eastAsia="仿宋" w:cs="宋体"/>
                <w:bCs/>
                <w:szCs w:val="21"/>
              </w:rPr>
              <w:t>分。本小项每位团队成员只计入一次得分。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3、项目负责人情况（2分）：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项目负责人具有</w:t>
            </w:r>
            <w:r>
              <w:rPr>
                <w:rFonts w:hint="eastAsia" w:ascii="仿宋" w:hAnsi="仿宋" w:eastAsia="仿宋" w:cs="宋体"/>
                <w:bCs/>
                <w:szCs w:val="21"/>
                <w:lang w:val="en-US" w:eastAsia="zh-CN"/>
              </w:rPr>
              <w:t>本</w:t>
            </w:r>
            <w:r>
              <w:rPr>
                <w:rFonts w:hint="eastAsia" w:ascii="仿宋" w:hAnsi="仿宋" w:eastAsia="仿宋" w:cs="宋体"/>
                <w:bCs/>
                <w:szCs w:val="21"/>
              </w:rPr>
              <w:t>科（含）及以上学历且从业年限</w:t>
            </w:r>
            <w:r>
              <w:rPr>
                <w:rFonts w:hint="eastAsia" w:ascii="仿宋" w:hAnsi="仿宋" w:eastAsia="仿宋" w:cs="宋体"/>
                <w:bCs/>
                <w:szCs w:val="21"/>
                <w:lang w:val="en-US" w:eastAsia="zh-CN"/>
              </w:rPr>
              <w:t>3</w:t>
            </w:r>
            <w:r>
              <w:rPr>
                <w:rFonts w:hint="eastAsia" w:ascii="仿宋" w:hAnsi="仿宋" w:eastAsia="仿宋" w:cs="宋体"/>
                <w:bCs/>
                <w:szCs w:val="21"/>
              </w:rPr>
              <w:t>年以上（从业年限以</w:t>
            </w:r>
            <w:r>
              <w:rPr>
                <w:rFonts w:hint="eastAsia" w:ascii="仿宋" w:hAnsi="仿宋" w:eastAsia="仿宋" w:cs="宋体"/>
                <w:bCs/>
                <w:szCs w:val="21"/>
                <w:lang w:val="en-US" w:eastAsia="zh-CN"/>
              </w:rPr>
              <w:t>最高</w:t>
            </w:r>
            <w:r>
              <w:rPr>
                <w:rFonts w:hint="eastAsia" w:ascii="仿宋" w:hAnsi="仿宋" w:eastAsia="仿宋" w:cs="宋体"/>
                <w:bCs/>
                <w:szCs w:val="21"/>
              </w:rPr>
              <w:t>学历证书毕业时间至今计算），提供有效证明材料的，得2分。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jc w:val="left"/>
              <w:textAlignment w:val="auto"/>
              <w:rPr>
                <w:rFonts w:hint="eastAsia" w:ascii="仿宋" w:hAnsi="仿宋" w:eastAsia="仿宋" w:cs="宋体"/>
                <w:bCs/>
                <w:szCs w:val="21"/>
              </w:rPr>
            </w:pPr>
            <w:r>
              <w:rPr>
                <w:rFonts w:hint="eastAsia" w:ascii="仿宋" w:hAnsi="仿宋" w:eastAsia="仿宋" w:cs="宋体"/>
                <w:bCs/>
                <w:szCs w:val="21"/>
              </w:rPr>
              <w:t>注：①需提供团队人员清单。②需提供各团队成员的学历证书复印件或学信网查询截图或国外学历认证书</w:t>
            </w:r>
            <w:r>
              <w:rPr>
                <w:rFonts w:hint="eastAsia" w:ascii="仿宋" w:hAnsi="仿宋" w:eastAsia="仿宋" w:cs="宋体"/>
                <w:bCs/>
                <w:szCs w:val="21"/>
                <w:lang w:val="en-US" w:eastAsia="zh-CN"/>
              </w:rPr>
              <w:t>或相关资格证书</w:t>
            </w:r>
            <w:r>
              <w:rPr>
                <w:rFonts w:hint="eastAsia" w:ascii="仿宋" w:hAnsi="仿宋" w:eastAsia="仿宋" w:cs="宋体"/>
                <w:bCs/>
                <w:szCs w:val="21"/>
              </w:rPr>
              <w:t>作为证明材料，未提供则不得分。</w:t>
            </w:r>
            <w:r>
              <w:rPr>
                <w:rFonts w:hint="eastAsia" w:ascii="仿宋" w:hAnsi="仿宋" w:eastAsia="仿宋" w:cs="宋体"/>
                <w:bCs/>
                <w:szCs w:val="21"/>
                <w:lang w:val="en-US" w:eastAsia="zh-CN"/>
              </w:rPr>
              <w:t>③</w:t>
            </w:r>
            <w:r>
              <w:rPr>
                <w:rFonts w:hint="eastAsia" w:ascii="仿宋" w:hAnsi="仿宋" w:eastAsia="仿宋" w:cs="宋体"/>
                <w:bCs/>
                <w:szCs w:val="21"/>
              </w:rPr>
              <w:t>提供202</w:t>
            </w:r>
            <w:r>
              <w:rPr>
                <w:rFonts w:hint="eastAsia" w:ascii="仿宋" w:hAnsi="仿宋" w:eastAsia="仿宋" w:cs="宋体"/>
                <w:bCs/>
                <w:szCs w:val="21"/>
                <w:lang w:val="en-US" w:eastAsia="zh-CN"/>
              </w:rPr>
              <w:t>6</w:t>
            </w:r>
            <w:r>
              <w:rPr>
                <w:rFonts w:hint="eastAsia" w:ascii="仿宋" w:hAnsi="仿宋" w:eastAsia="仿宋" w:cs="宋体"/>
                <w:bCs/>
                <w:szCs w:val="21"/>
              </w:rPr>
              <w:t>年2月份至</w:t>
            </w:r>
            <w:r>
              <w:rPr>
                <w:rFonts w:hint="eastAsia" w:ascii="仿宋" w:hAnsi="仿宋" w:eastAsia="仿宋" w:cs="宋体"/>
                <w:bCs/>
                <w:szCs w:val="21"/>
                <w:lang w:val="en-US" w:eastAsia="zh-CN"/>
              </w:rPr>
              <w:t>投标截止日</w:t>
            </w:r>
            <w:r>
              <w:rPr>
                <w:rFonts w:hint="eastAsia" w:ascii="仿宋" w:hAnsi="仿宋" w:eastAsia="仿宋" w:cs="宋体"/>
                <w:bCs/>
                <w:szCs w:val="21"/>
              </w:rPr>
              <w:t>任意一个月</w:t>
            </w:r>
            <w:r>
              <w:rPr>
                <w:rFonts w:hint="eastAsia" w:ascii="仿宋" w:hAnsi="仿宋" w:eastAsia="仿宋" w:cs="宋体"/>
                <w:bCs/>
                <w:szCs w:val="21"/>
                <w:lang w:val="en-US" w:eastAsia="zh-CN"/>
              </w:rPr>
              <w:t>由投标人单位缴纳</w:t>
            </w:r>
            <w:r>
              <w:rPr>
                <w:rFonts w:hint="eastAsia" w:ascii="仿宋" w:hAnsi="仿宋" w:eastAsia="仿宋" w:cs="宋体"/>
                <w:bCs/>
                <w:szCs w:val="21"/>
              </w:rPr>
              <w:t>的有效社保的证明复印件，或</w:t>
            </w:r>
            <w:r>
              <w:rPr>
                <w:rFonts w:hint="eastAsia" w:ascii="仿宋" w:hAnsi="仿宋" w:eastAsia="仿宋" w:cs="宋体"/>
                <w:bCs/>
                <w:szCs w:val="21"/>
                <w:lang w:val="en-US" w:eastAsia="zh-CN"/>
              </w:rPr>
              <w:t>与投标人签订的</w:t>
            </w:r>
            <w:r>
              <w:rPr>
                <w:rFonts w:hint="eastAsia" w:ascii="仿宋" w:hAnsi="仿宋" w:eastAsia="仿宋" w:cs="宋体"/>
                <w:bCs/>
                <w:szCs w:val="21"/>
              </w:rPr>
              <w:t>劳务合同复印件等，未提供则不得分。</w:t>
            </w:r>
          </w:p>
        </w:tc>
      </w:tr>
      <w:bookmarkEnd w:id="15"/>
    </w:tbl>
    <w:p>
      <w:pPr>
        <w:pStyle w:val="7"/>
        <w:numPr>
          <w:ilvl w:val="0"/>
          <w:numId w:val="2"/>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技术评分表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评分项</w:t>
            </w:r>
          </w:p>
        </w:tc>
        <w:tc>
          <w:tcPr>
            <w:tcW w:w="6135"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技术</w:t>
            </w:r>
          </w:p>
        </w:tc>
        <w:tc>
          <w:tcPr>
            <w:tcW w:w="6135"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szCs w:val="21"/>
                <w:lang w:val="en-US" w:eastAsia="zh-CN"/>
              </w:rPr>
            </w:pPr>
            <w:r>
              <w:rPr>
                <w:rFonts w:hint="eastAsia" w:ascii="仿宋" w:hAnsi="仿宋" w:eastAsia="仿宋" w:cs="宋体"/>
                <w:b/>
                <w:szCs w:val="21"/>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分值</w:t>
            </w:r>
          </w:p>
        </w:tc>
        <w:tc>
          <w:tcPr>
            <w:tcW w:w="6135" w:type="dxa"/>
            <w:shd w:val="clear" w:color="auto" w:fill="F1F1F1" w:themeFill="background1" w:themeFillShade="F2"/>
          </w:tcPr>
          <w:p>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shd w:val="clear" w:color="auto" w:fill="auto"/>
            <w:vAlign w:val="center"/>
          </w:tcPr>
          <w:p>
            <w:pPr>
              <w:autoSpaceDE w:val="0"/>
              <w:autoSpaceDN w:val="0"/>
              <w:spacing w:before="93" w:beforeLines="30" w:after="93" w:afterLines="30"/>
              <w:jc w:val="center"/>
              <w:rPr>
                <w:rFonts w:ascii="仿宋" w:hAnsi="仿宋" w:eastAsia="仿宋" w:cs="宋体"/>
                <w:bCs/>
                <w:szCs w:val="21"/>
              </w:rPr>
            </w:pPr>
            <w:bookmarkStart w:id="17" w:name="_Hlk164272136"/>
            <w:r>
              <w:rPr>
                <w:rFonts w:ascii="仿宋" w:hAnsi="仿宋" w:eastAsia="仿宋" w:cs="宋体"/>
                <w:bCs/>
                <w:szCs w:val="21"/>
              </w:rPr>
              <w:t>1</w:t>
            </w:r>
          </w:p>
        </w:tc>
        <w:tc>
          <w:tcPr>
            <w:tcW w:w="1134" w:type="dxa"/>
            <w:shd w:val="clear" w:color="auto" w:fill="auto"/>
            <w:vAlign w:val="center"/>
          </w:tcPr>
          <w:p>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项目实施方案</w:t>
            </w:r>
          </w:p>
        </w:tc>
        <w:tc>
          <w:tcPr>
            <w:tcW w:w="851" w:type="dxa"/>
            <w:shd w:val="clear" w:color="auto" w:fill="auto"/>
            <w:vAlign w:val="center"/>
          </w:tcPr>
          <w:p>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20</w:t>
            </w:r>
          </w:p>
        </w:tc>
        <w:tc>
          <w:tcPr>
            <w:tcW w:w="613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w:t>
            </w:r>
            <w:r>
              <w:rPr>
                <w:rFonts w:hint="eastAsia" w:ascii="仿宋" w:hAnsi="仿宋" w:eastAsia="仿宋" w:cs="宋体"/>
                <w:bCs/>
                <w:szCs w:val="21"/>
                <w:lang w:val="en-US" w:eastAsia="zh-CN"/>
              </w:rPr>
              <w:t>需求</w:t>
            </w:r>
            <w:r>
              <w:rPr>
                <w:rFonts w:hint="eastAsia" w:ascii="仿宋" w:hAnsi="仿宋" w:eastAsia="仿宋" w:cs="宋体"/>
                <w:bCs/>
                <w:szCs w:val="21"/>
              </w:rPr>
              <w:t>所编写的技术实施方案情况。技术实施方案包括但不限于</w:t>
            </w:r>
            <w:r>
              <w:rPr>
                <w:rFonts w:hint="eastAsia" w:ascii="仿宋" w:hAnsi="仿宋" w:eastAsia="仿宋" w:cs="宋体"/>
                <w:bCs/>
                <w:szCs w:val="21"/>
                <w:lang w:val="en-US" w:eastAsia="zh-CN"/>
              </w:rPr>
              <w:t>线下搭建</w:t>
            </w:r>
            <w:r>
              <w:rPr>
                <w:rFonts w:hint="eastAsia" w:ascii="仿宋" w:hAnsi="仿宋" w:eastAsia="仿宋" w:cs="宋体"/>
                <w:bCs/>
                <w:szCs w:val="21"/>
              </w:rPr>
              <w:t>等内容。根据上述内容要点进行综合评分，具体如下：</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1、实施方案规划详细、科学合理、契合实际情况，符合项目进度要求，项目管理架构清晰，可行性较高，得</w:t>
            </w:r>
            <w:r>
              <w:rPr>
                <w:rFonts w:hint="eastAsia" w:ascii="仿宋" w:hAnsi="仿宋" w:eastAsia="仿宋" w:cs="宋体"/>
                <w:bCs/>
                <w:szCs w:val="21"/>
                <w:lang w:val="en-US" w:eastAsia="zh-CN"/>
              </w:rPr>
              <w:t>20</w:t>
            </w:r>
            <w:r>
              <w:rPr>
                <w:rFonts w:hint="eastAsia" w:ascii="仿宋" w:hAnsi="仿宋" w:eastAsia="仿宋" w:cs="宋体"/>
                <w:bCs/>
                <w:szCs w:val="21"/>
              </w:rPr>
              <w:t>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2、实施方案规划较详细、合理，基本契合实际情况，符合项目进度要求，项目管理架构较为清晰，具有一定可行性，得</w:t>
            </w:r>
            <w:r>
              <w:rPr>
                <w:rFonts w:hint="eastAsia" w:ascii="仿宋" w:hAnsi="仿宋" w:eastAsia="仿宋" w:cs="宋体"/>
                <w:bCs/>
                <w:szCs w:val="21"/>
                <w:lang w:val="en-US" w:eastAsia="zh-CN"/>
              </w:rPr>
              <w:t>15</w:t>
            </w:r>
            <w:r>
              <w:rPr>
                <w:rFonts w:hint="eastAsia" w:ascii="仿宋" w:hAnsi="仿宋" w:eastAsia="仿宋" w:cs="宋体"/>
                <w:bCs/>
                <w:szCs w:val="21"/>
              </w:rPr>
              <w:t>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3、实施方案规划一般，内容较为笼统，上述所列的内容要点存在欠缺，需进一步细化才能满足实际需求，可行性一般，得</w:t>
            </w:r>
            <w:r>
              <w:rPr>
                <w:rFonts w:hint="eastAsia" w:ascii="仿宋" w:hAnsi="仿宋" w:eastAsia="仿宋" w:cs="宋体"/>
                <w:bCs/>
                <w:szCs w:val="21"/>
                <w:lang w:val="en-US" w:eastAsia="zh-CN"/>
              </w:rPr>
              <w:t>10</w:t>
            </w:r>
            <w:r>
              <w:rPr>
                <w:rFonts w:hint="eastAsia" w:ascii="仿宋" w:hAnsi="仿宋" w:eastAsia="仿宋" w:cs="宋体"/>
                <w:bCs/>
                <w:szCs w:val="21"/>
              </w:rPr>
              <w:t>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4、实施方案内容不完善，无法有效体现上述所列各要点或存在严重的偏差，与项目要求关联性差，可操作性较差，得</w:t>
            </w:r>
            <w:r>
              <w:rPr>
                <w:rFonts w:hint="eastAsia" w:ascii="仿宋" w:hAnsi="仿宋" w:eastAsia="仿宋" w:cs="宋体"/>
                <w:bCs/>
                <w:szCs w:val="21"/>
                <w:lang w:val="en-US" w:eastAsia="zh-CN"/>
              </w:rPr>
              <w:t>5分</w:t>
            </w:r>
            <w:r>
              <w:rPr>
                <w:rFonts w:hint="eastAsia" w:ascii="仿宋" w:hAnsi="仿宋" w:eastAsia="仿宋" w:cs="宋体"/>
                <w:bCs/>
                <w:szCs w:val="21"/>
              </w:rPr>
              <w:t>；</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5、</w:t>
            </w:r>
            <w:bookmarkStart w:id="18" w:name="OLE_LINK9"/>
            <w:r>
              <w:rPr>
                <w:rFonts w:hint="eastAsia" w:ascii="仿宋" w:hAnsi="仿宋" w:eastAsia="仿宋" w:cs="宋体"/>
                <w:bCs/>
                <w:szCs w:val="21"/>
              </w:rPr>
              <w:t>未提供相关内容则不得分。</w:t>
            </w:r>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ascii="仿宋" w:hAnsi="仿宋" w:eastAsia="仿宋" w:cs="宋体"/>
                <w:bCs/>
                <w:szCs w:val="21"/>
              </w:rPr>
            </w:pPr>
            <w:bookmarkStart w:id="19" w:name="_Hlk163650616"/>
            <w:r>
              <w:rPr>
                <w:rFonts w:hint="eastAsia" w:ascii="仿宋" w:hAnsi="仿宋" w:eastAsia="仿宋" w:cs="宋体"/>
                <w:bCs/>
                <w:szCs w:val="21"/>
              </w:rPr>
              <w:t>2</w:t>
            </w:r>
          </w:p>
        </w:tc>
        <w:tc>
          <w:tcPr>
            <w:tcW w:w="1134" w:type="dxa"/>
            <w:vAlign w:val="center"/>
          </w:tcPr>
          <w:p>
            <w:pPr>
              <w:spacing w:before="93" w:beforeLines="30" w:after="93" w:afterLines="30"/>
              <w:jc w:val="center"/>
              <w:rPr>
                <w:rFonts w:ascii="仿宋" w:hAnsi="仿宋" w:eastAsia="仿宋" w:cs="宋体"/>
                <w:bCs/>
                <w:szCs w:val="21"/>
              </w:rPr>
            </w:pPr>
            <w:r>
              <w:rPr>
                <w:rFonts w:hint="eastAsia" w:ascii="仿宋" w:hAnsi="仿宋" w:eastAsia="仿宋" w:cs="宋体"/>
                <w:bCs/>
                <w:szCs w:val="21"/>
              </w:rPr>
              <w:t>项目执行进度计划</w:t>
            </w:r>
          </w:p>
        </w:tc>
        <w:tc>
          <w:tcPr>
            <w:tcW w:w="851" w:type="dxa"/>
            <w:vAlign w:val="center"/>
          </w:tcPr>
          <w:p>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15</w:t>
            </w:r>
          </w:p>
        </w:tc>
        <w:tc>
          <w:tcPr>
            <w:tcW w:w="6135" w:type="dxa"/>
          </w:tcPr>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针对本项目所编制的详细计划进度表。</w:t>
            </w:r>
            <w:r>
              <w:rPr>
                <w:rFonts w:hint="eastAsia" w:ascii="仿宋" w:hAnsi="仿宋" w:eastAsia="仿宋" w:cs="宋体"/>
                <w:bCs/>
                <w:szCs w:val="21"/>
                <w:lang w:val="en-US" w:eastAsia="zh-CN"/>
              </w:rPr>
              <w:t>进度表应包含进度管理</w:t>
            </w:r>
            <w:r>
              <w:rPr>
                <w:rFonts w:hint="eastAsia" w:ascii="仿宋" w:hAnsi="仿宋" w:eastAsia="仿宋" w:cs="宋体"/>
                <w:bCs/>
                <w:szCs w:val="21"/>
              </w:rPr>
              <w:t>等内容。根据上述内容要点进行综合评分，具体如下：</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1、</w:t>
            </w:r>
            <w:r>
              <w:rPr>
                <w:rFonts w:hint="eastAsia" w:ascii="仿宋" w:hAnsi="仿宋" w:eastAsia="仿宋" w:cs="宋体"/>
                <w:bCs/>
                <w:szCs w:val="21"/>
                <w:lang w:val="en-US" w:eastAsia="zh-CN"/>
              </w:rPr>
              <w:t>计划进度</w:t>
            </w:r>
            <w:r>
              <w:rPr>
                <w:rFonts w:hint="eastAsia" w:ascii="仿宋" w:hAnsi="仿宋" w:eastAsia="仿宋" w:cs="宋体"/>
                <w:bCs/>
                <w:szCs w:val="21"/>
              </w:rPr>
              <w:t>详细、思路清晰，能够覆盖上述所列各要点内容，可行性强，能够满足实际需求，得</w:t>
            </w:r>
            <w:r>
              <w:rPr>
                <w:rFonts w:hint="eastAsia" w:ascii="仿宋" w:hAnsi="仿宋" w:eastAsia="仿宋" w:cs="宋体"/>
                <w:bCs/>
                <w:szCs w:val="21"/>
                <w:lang w:val="en-US" w:eastAsia="zh-CN"/>
              </w:rPr>
              <w:t>15</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2、</w:t>
            </w:r>
            <w:r>
              <w:rPr>
                <w:rFonts w:hint="eastAsia" w:ascii="仿宋" w:hAnsi="仿宋" w:eastAsia="仿宋" w:cs="宋体"/>
                <w:bCs/>
                <w:szCs w:val="21"/>
                <w:lang w:val="en-US" w:eastAsia="zh-CN"/>
              </w:rPr>
              <w:t>计划进度</w:t>
            </w:r>
            <w:r>
              <w:rPr>
                <w:rFonts w:hint="eastAsia" w:ascii="仿宋" w:hAnsi="仿宋" w:eastAsia="仿宋" w:cs="宋体"/>
                <w:bCs/>
                <w:szCs w:val="21"/>
              </w:rPr>
              <w:t>比较详细，思路也比较清晰，基本能够覆盖上述所列各要点内容，可行性较强，基本能够满足实际需求，得</w:t>
            </w:r>
            <w:r>
              <w:rPr>
                <w:rFonts w:hint="eastAsia" w:ascii="仿宋" w:hAnsi="仿宋" w:eastAsia="仿宋" w:cs="宋体"/>
                <w:bCs/>
                <w:szCs w:val="21"/>
                <w:lang w:val="en-US" w:eastAsia="zh-CN"/>
              </w:rPr>
              <w:t>10</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3、</w:t>
            </w:r>
            <w:r>
              <w:rPr>
                <w:rFonts w:hint="eastAsia" w:ascii="仿宋" w:hAnsi="仿宋" w:eastAsia="仿宋" w:cs="宋体"/>
                <w:bCs/>
                <w:szCs w:val="21"/>
                <w:lang w:val="en-US" w:eastAsia="zh-CN"/>
              </w:rPr>
              <w:t>计划进度</w:t>
            </w:r>
            <w:r>
              <w:rPr>
                <w:rFonts w:hint="eastAsia" w:ascii="仿宋" w:hAnsi="仿宋" w:eastAsia="仿宋" w:cs="宋体"/>
                <w:bCs/>
                <w:szCs w:val="21"/>
              </w:rPr>
              <w:t>一般，整体内容较为笼统，上述所列的内容要点存在欠缺，可行性一般，得</w:t>
            </w:r>
            <w:r>
              <w:rPr>
                <w:rFonts w:hint="eastAsia" w:ascii="仿宋" w:hAnsi="仿宋" w:eastAsia="仿宋" w:cs="宋体"/>
                <w:bCs/>
                <w:szCs w:val="21"/>
                <w:lang w:val="en-US" w:eastAsia="zh-CN"/>
              </w:rPr>
              <w:t>5</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4、</w:t>
            </w:r>
            <w:r>
              <w:rPr>
                <w:rFonts w:hint="eastAsia" w:ascii="仿宋" w:hAnsi="仿宋" w:eastAsia="仿宋" w:cs="宋体"/>
                <w:bCs/>
                <w:szCs w:val="21"/>
                <w:lang w:val="en-US" w:eastAsia="zh-CN"/>
              </w:rPr>
              <w:t>计划进度</w:t>
            </w:r>
            <w:r>
              <w:rPr>
                <w:rFonts w:hint="eastAsia" w:ascii="仿宋" w:hAnsi="仿宋" w:eastAsia="仿宋" w:cs="宋体"/>
                <w:bCs/>
                <w:szCs w:val="21"/>
              </w:rPr>
              <w:t>较差，无法体现上述所列各要点或存在严重的偏差，可行性较差，得</w:t>
            </w:r>
            <w:r>
              <w:rPr>
                <w:rFonts w:hint="eastAsia" w:ascii="仿宋" w:hAnsi="仿宋" w:eastAsia="仿宋" w:cs="宋体"/>
                <w:bCs/>
                <w:szCs w:val="21"/>
                <w:lang w:val="en-US" w:eastAsia="zh-CN"/>
              </w:rPr>
              <w:t>3</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5、未提供相关内容则不得分。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ascii="仿宋" w:hAnsi="仿宋" w:eastAsia="仿宋" w:cs="宋体"/>
                <w:bCs/>
                <w:szCs w:val="21"/>
              </w:rPr>
            </w:pPr>
            <w:r>
              <w:rPr>
                <w:rFonts w:hint="eastAsia" w:ascii="仿宋" w:hAnsi="仿宋" w:eastAsia="仿宋" w:cs="宋体"/>
                <w:bCs/>
                <w:szCs w:val="21"/>
              </w:rPr>
              <w:t>3</w:t>
            </w:r>
          </w:p>
        </w:tc>
        <w:tc>
          <w:tcPr>
            <w:tcW w:w="1134" w:type="dxa"/>
            <w:vAlign w:val="center"/>
          </w:tcPr>
          <w:p>
            <w:pPr>
              <w:spacing w:before="93" w:beforeLines="30" w:after="93" w:afterLines="30"/>
              <w:jc w:val="center"/>
              <w:rPr>
                <w:rFonts w:hint="eastAsia" w:ascii="仿宋" w:hAnsi="仿宋" w:eastAsia="仿宋" w:cs="宋体"/>
                <w:bCs/>
                <w:szCs w:val="21"/>
                <w:lang w:val="en-US" w:eastAsia="zh-CN"/>
              </w:rPr>
            </w:pPr>
            <w:r>
              <w:rPr>
                <w:rFonts w:hint="eastAsia" w:ascii="仿宋" w:hAnsi="仿宋" w:eastAsia="仿宋" w:cs="宋体"/>
                <w:bCs/>
                <w:szCs w:val="21"/>
              </w:rPr>
              <w:t>保密管理及应急保障措施</w:t>
            </w:r>
            <w:r>
              <w:rPr>
                <w:rFonts w:hint="eastAsia" w:ascii="仿宋" w:hAnsi="仿宋" w:eastAsia="仿宋" w:cs="宋体"/>
                <w:bCs/>
                <w:szCs w:val="21"/>
                <w:lang w:val="en-US" w:eastAsia="zh-CN"/>
              </w:rPr>
              <w:t>等</w:t>
            </w:r>
          </w:p>
        </w:tc>
        <w:tc>
          <w:tcPr>
            <w:tcW w:w="851" w:type="dxa"/>
            <w:vAlign w:val="center"/>
          </w:tcPr>
          <w:p>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15</w:t>
            </w:r>
          </w:p>
        </w:tc>
        <w:tc>
          <w:tcPr>
            <w:tcW w:w="6135" w:type="dxa"/>
            <w:vAlign w:val="center"/>
          </w:tcPr>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针对本项目所编制的保密管理及应急保障措施。内容包含不限于项目保密措施、应急保障措施等内容。根据内容的优劣情况进行横向比较，具体如下：</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1、内容合理，列有详细的项目保密措施、应急保障措施，整体切实可行，能对项目执行起到保障作用，得</w:t>
            </w:r>
            <w:r>
              <w:rPr>
                <w:rFonts w:hint="eastAsia" w:ascii="仿宋" w:hAnsi="仿宋" w:eastAsia="仿宋" w:cs="宋体"/>
                <w:bCs/>
                <w:szCs w:val="21"/>
                <w:lang w:val="en-US" w:eastAsia="zh-CN"/>
              </w:rPr>
              <w:t>15</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2、内容较为合理，列有简单的项目保密措施、应急保障措施，基本可行，能对项目执行起到一定保障作用，得</w:t>
            </w:r>
            <w:r>
              <w:rPr>
                <w:rFonts w:hint="eastAsia" w:ascii="仿宋" w:hAnsi="仿宋" w:eastAsia="仿宋" w:cs="宋体"/>
                <w:bCs/>
                <w:szCs w:val="21"/>
                <w:lang w:val="en-US" w:eastAsia="zh-CN"/>
              </w:rPr>
              <w:t>10</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3、内容一般，整体内容较为笼统，可行性一般，对项目执行起到保障作用较小，得</w:t>
            </w:r>
            <w:r>
              <w:rPr>
                <w:rFonts w:hint="eastAsia" w:ascii="仿宋" w:hAnsi="仿宋" w:eastAsia="仿宋" w:cs="宋体"/>
                <w:bCs/>
                <w:szCs w:val="21"/>
                <w:lang w:val="en-US" w:eastAsia="zh-CN"/>
              </w:rPr>
              <w:t>5</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4、方案内容较差，存在严重的欠缺，可行性差，得</w:t>
            </w:r>
            <w:r>
              <w:rPr>
                <w:rFonts w:hint="eastAsia" w:ascii="仿宋" w:hAnsi="仿宋" w:eastAsia="仿宋" w:cs="宋体"/>
                <w:bCs/>
                <w:szCs w:val="21"/>
                <w:lang w:val="en-US" w:eastAsia="zh-CN"/>
              </w:rPr>
              <w:t>3</w:t>
            </w:r>
            <w:r>
              <w:rPr>
                <w:rFonts w:hint="eastAsia" w:ascii="仿宋" w:hAnsi="仿宋" w:eastAsia="仿宋" w:cs="宋体"/>
                <w:bCs/>
                <w:szCs w:val="21"/>
              </w:rPr>
              <w:t>分；</w:t>
            </w:r>
          </w:p>
          <w:p>
            <w:pPr>
              <w:keepNext w:val="0"/>
              <w:keepLines w:val="0"/>
              <w:pageBreakBefore w:val="0"/>
              <w:widowControl w:val="0"/>
              <w:kinsoku/>
              <w:wordWrap/>
              <w:overflowPunct/>
              <w:topLinePunct w:val="0"/>
              <w:bidi w:val="0"/>
              <w:adjustRightInd/>
              <w:snapToGrid/>
              <w:spacing w:before="93" w:beforeLines="30" w:after="93" w:afterLines="30" w:line="260" w:lineRule="exact"/>
              <w:textAlignment w:val="auto"/>
              <w:rPr>
                <w:rFonts w:ascii="仿宋" w:hAnsi="仿宋" w:eastAsia="仿宋" w:cs="宋体"/>
                <w:bCs/>
                <w:szCs w:val="21"/>
              </w:rPr>
            </w:pPr>
            <w:r>
              <w:rPr>
                <w:rFonts w:hint="eastAsia" w:ascii="仿宋" w:hAnsi="仿宋" w:eastAsia="仿宋" w:cs="宋体"/>
                <w:bCs/>
                <w:szCs w:val="21"/>
              </w:rPr>
              <w:t>5、未提供相关内容则不得分。</w:t>
            </w:r>
          </w:p>
        </w:tc>
      </w:tr>
      <w:bookmarkEnd w:id="17"/>
      <w:bookmarkEnd w:id="19"/>
    </w:tbl>
    <w:p>
      <w:pPr>
        <w:pStyle w:val="7"/>
        <w:spacing w:before="91" w:line="223" w:lineRule="auto"/>
        <w:outlineLvl w:val="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4</w:t>
      </w: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价格评分表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评分项</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46"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1</w:t>
            </w:r>
          </w:p>
        </w:tc>
        <w:tc>
          <w:tcPr>
            <w:tcW w:w="1134" w:type="dxa"/>
            <w:vAlign w:val="center"/>
          </w:tcPr>
          <w:p>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价格分</w:t>
            </w:r>
          </w:p>
        </w:tc>
        <w:tc>
          <w:tcPr>
            <w:tcW w:w="851" w:type="dxa"/>
            <w:vAlign w:val="center"/>
          </w:tcPr>
          <w:p>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20</w:t>
            </w:r>
          </w:p>
        </w:tc>
        <w:tc>
          <w:tcPr>
            <w:tcW w:w="6146" w:type="dxa"/>
          </w:tcPr>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本项目价格分统一采用</w:t>
            </w:r>
            <w:r>
              <w:rPr>
                <w:rFonts w:hint="eastAsia" w:ascii="仿宋" w:hAnsi="仿宋" w:eastAsia="仿宋" w:cs="宋体"/>
                <w:bCs/>
                <w:szCs w:val="21"/>
                <w:u w:val="single"/>
              </w:rPr>
              <w:t>低价优先法</w:t>
            </w:r>
            <w:r>
              <w:rPr>
                <w:rFonts w:hint="eastAsia" w:ascii="仿宋" w:hAnsi="仿宋" w:eastAsia="仿宋" w:cs="宋体"/>
                <w:bCs/>
                <w:szCs w:val="21"/>
              </w:rPr>
              <w:t>计算，即满足</w:t>
            </w:r>
            <w:r>
              <w:rPr>
                <w:rFonts w:hint="eastAsia" w:ascii="仿宋" w:hAnsi="仿宋" w:eastAsia="仿宋" w:cs="宋体"/>
                <w:bCs/>
                <w:szCs w:val="21"/>
                <w:lang w:val="en-US" w:eastAsia="zh-CN"/>
              </w:rPr>
              <w:t>采购</w:t>
            </w:r>
            <w:r>
              <w:rPr>
                <w:rFonts w:hint="eastAsia" w:ascii="仿宋" w:hAnsi="仿宋" w:eastAsia="仿宋" w:cs="宋体"/>
                <w:bCs/>
                <w:szCs w:val="21"/>
              </w:rPr>
              <w:t>文件要求且最后</w:t>
            </w:r>
            <w:r>
              <w:rPr>
                <w:rFonts w:hint="eastAsia" w:ascii="仿宋" w:hAnsi="仿宋" w:eastAsia="仿宋" w:cs="宋体"/>
                <w:bCs/>
                <w:szCs w:val="21"/>
                <w:lang w:val="en-US" w:eastAsia="zh-CN"/>
              </w:rPr>
              <w:t>不</w:t>
            </w:r>
            <w:r>
              <w:rPr>
                <w:rFonts w:hint="eastAsia" w:ascii="仿宋" w:hAnsi="仿宋" w:eastAsia="仿宋" w:cs="宋体"/>
                <w:bCs/>
                <w:szCs w:val="21"/>
              </w:rPr>
              <w:t>含税总价报价为最低的投标人报价作为基准价，其价格得分为满分，满分为20分。具体公式如下：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报价得分=（基准价/有效评审价）×价格分分值。</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说明：本项目有效评审价为通过初步评审的</w:t>
            </w:r>
            <w:r>
              <w:rPr>
                <w:rFonts w:hint="eastAsia" w:ascii="仿宋" w:hAnsi="仿宋" w:eastAsia="仿宋" w:cs="宋体"/>
                <w:bCs/>
                <w:szCs w:val="21"/>
                <w:lang w:val="en-US" w:eastAsia="zh-CN"/>
              </w:rPr>
              <w:t>报价供应商</w:t>
            </w:r>
            <w:r>
              <w:rPr>
                <w:rFonts w:hint="eastAsia" w:ascii="仿宋" w:hAnsi="仿宋" w:eastAsia="仿宋" w:cs="宋体"/>
                <w:bCs/>
                <w:szCs w:val="21"/>
              </w:rPr>
              <w:t>项目总价（</w:t>
            </w:r>
            <w:r>
              <w:rPr>
                <w:rFonts w:hint="eastAsia" w:ascii="仿宋" w:hAnsi="仿宋" w:eastAsia="仿宋" w:cs="宋体"/>
                <w:bCs/>
                <w:szCs w:val="21"/>
                <w:lang w:val="en-US" w:eastAsia="zh-CN"/>
              </w:rPr>
              <w:t>不增值</w:t>
            </w:r>
            <w:r>
              <w:rPr>
                <w:rFonts w:hint="eastAsia" w:ascii="仿宋" w:hAnsi="仿宋" w:eastAsia="仿宋" w:cs="宋体"/>
                <w:bCs/>
                <w:szCs w:val="21"/>
              </w:rPr>
              <w:t>含税）。如价格有算术性修正，请以修正后的价格为准。</w:t>
            </w:r>
          </w:p>
          <w:p>
            <w:pPr>
              <w:keepNext w:val="0"/>
              <w:keepLines w:val="0"/>
              <w:pageBreakBefore w:val="0"/>
              <w:widowControl w:val="0"/>
              <w:kinsoku/>
              <w:wordWrap/>
              <w:overflowPunct/>
              <w:topLinePunct w:val="0"/>
              <w:autoSpaceDE/>
              <w:autoSpaceDN/>
              <w:bidi w:val="0"/>
              <w:adjustRightInd/>
              <w:snapToGrid/>
              <w:spacing w:before="93" w:beforeLines="30" w:after="93" w:afterLines="30" w:line="260" w:lineRule="exact"/>
              <w:textAlignment w:val="auto"/>
              <w:rPr>
                <w:rFonts w:hint="eastAsia" w:ascii="仿宋" w:hAnsi="仿宋" w:eastAsia="仿宋" w:cs="宋体"/>
                <w:bCs/>
                <w:szCs w:val="21"/>
              </w:rPr>
            </w:pPr>
            <w:r>
              <w:rPr>
                <w:rFonts w:hint="eastAsia" w:ascii="仿宋" w:hAnsi="仿宋" w:eastAsia="仿宋" w:cs="宋体"/>
                <w:bCs/>
                <w:szCs w:val="21"/>
              </w:rPr>
              <w:t>备注：价格得分四舍五入，小数点后保留两位有效数。</w:t>
            </w:r>
          </w:p>
        </w:tc>
      </w:tr>
    </w:tbl>
    <w:p>
      <w:pPr>
        <w:pStyle w:val="5"/>
        <w:rPr>
          <w:rFonts w:hint="eastAsia" w:ascii="宋体" w:hAnsi="宋体" w:eastAsia="宋体" w:cs="宋体"/>
          <w:highlight w:val="none"/>
        </w:rPr>
      </w:pPr>
      <w:r>
        <w:rPr>
          <w:rFonts w:hint="eastAsia" w:ascii="宋体" w:hAnsi="宋体" w:eastAsia="宋体" w:cs="宋体"/>
          <w:highlight w:val="none"/>
        </w:rPr>
        <w:t>评审程序</w:t>
      </w:r>
      <w:bookmarkEnd w:id="8"/>
      <w:bookmarkEnd w:id="9"/>
      <w:bookmarkEnd w:id="10"/>
      <w:bookmarkEnd w:id="11"/>
      <w:bookmarkEnd w:id="12"/>
      <w:bookmarkEnd w:id="13"/>
      <w:bookmarkEnd w:id="14"/>
    </w:p>
    <w:p>
      <w:pPr>
        <w:rPr>
          <w:rFonts w:hint="eastAsia" w:ascii="仿宋" w:hAnsi="仿宋" w:eastAsia="仿宋" w:cs="仿宋"/>
          <w:b/>
          <w:sz w:val="24"/>
          <w:szCs w:val="24"/>
          <w:highlight w:val="none"/>
        </w:rPr>
      </w:pPr>
      <w:r>
        <w:rPr>
          <w:rFonts w:hint="eastAsia" w:ascii="仿宋" w:hAnsi="仿宋" w:eastAsia="仿宋" w:cs="仿宋"/>
          <w:b/>
          <w:sz w:val="24"/>
          <w:szCs w:val="24"/>
          <w:highlight w:val="none"/>
        </w:rPr>
        <w:t>3.1.1初步评审</w:t>
      </w:r>
    </w:p>
    <w:p>
      <w:pPr>
        <w:ind w:firstLine="480" w:firstLineChars="200"/>
        <w:rPr>
          <w:rFonts w:hint="eastAsia" w:ascii="仿宋" w:hAnsi="仿宋" w:eastAsia="仿宋" w:cs="仿宋"/>
          <w:kern w:val="0"/>
          <w:sz w:val="24"/>
          <w:szCs w:val="24"/>
          <w:highlight w:val="none"/>
        </w:rPr>
      </w:pPr>
      <w:r>
        <w:rPr>
          <w:rFonts w:hint="eastAsia" w:ascii="仿宋" w:hAnsi="仿宋" w:eastAsia="仿宋" w:cs="仿宋"/>
          <w:sz w:val="24"/>
          <w:szCs w:val="24"/>
          <w:highlight w:val="none"/>
        </w:rPr>
        <w:t xml:space="preserve">3.3.1.1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根据本章评审办法前附表规定的标准对</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进行初步评审。对全部</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进行初步评审，检查</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是否完全满足采购文件要求。初步评审分为</w:t>
      </w:r>
      <w:r>
        <w:rPr>
          <w:rFonts w:hint="eastAsia" w:ascii="仿宋" w:hAnsi="仿宋" w:eastAsia="仿宋" w:cs="仿宋"/>
          <w:kern w:val="0"/>
          <w:sz w:val="24"/>
          <w:szCs w:val="24"/>
          <w:highlight w:val="none"/>
        </w:rPr>
        <w:t>形式及响应性评审</w:t>
      </w:r>
      <w:r>
        <w:rPr>
          <w:rFonts w:hint="eastAsia" w:ascii="仿宋" w:hAnsi="仿宋" w:eastAsia="仿宋" w:cs="仿宋"/>
          <w:sz w:val="24"/>
          <w:szCs w:val="24"/>
          <w:highlight w:val="none"/>
        </w:rPr>
        <w:t>和资格</w:t>
      </w:r>
      <w:r>
        <w:rPr>
          <w:rFonts w:hint="eastAsia" w:ascii="仿宋" w:hAnsi="仿宋" w:eastAsia="仿宋" w:cs="仿宋"/>
          <w:sz w:val="24"/>
          <w:szCs w:val="24"/>
          <w:highlight w:val="none"/>
          <w:lang w:val="en-US" w:eastAsia="zh-CN"/>
        </w:rPr>
        <w:t>评审</w:t>
      </w:r>
      <w:r>
        <w:rPr>
          <w:rFonts w:hint="eastAsia" w:ascii="仿宋" w:hAnsi="仿宋" w:eastAsia="仿宋" w:cs="仿宋"/>
          <w:sz w:val="24"/>
          <w:szCs w:val="24"/>
          <w:highlight w:val="none"/>
        </w:rPr>
        <w:t>。初步评审中有一项不符合评审标准的，将做否决应答处理。</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3.3.1.2</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有以下情形之一的，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应当否决其应答：</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不按照</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要求澄清、说明或者补正；</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允许联合体应答的，应答联合体没有递交共同应答协议；</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不符合国家或者采购文件规定的资格条件；</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同一</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递交两个以上不同的</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或者应答报价，但采购文件要求递交备选应答的除外；</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应答报价低于成本或者高于采购文件设定的最高应答限价；</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没有对采购文件的实质性要求和条件做出响应；</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有串通应答、弄虚作假、行贿等违法行为；</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以他人名义应答；</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没有按照采购文件要求提供应答担保或者所提供的应答担保有瑕疵；</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载明的采购项目完成期限超过采购文件规定的期限；</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明显不符合技术规格、技术标准的要求；</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载明的货物包装方式、检验标准和方法等不符合采购文件的要求；</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附有采购人不能接受的条件；</w:t>
      </w:r>
    </w:p>
    <w:p>
      <w:pPr>
        <w:pStyle w:val="31"/>
        <w:numPr>
          <w:ilvl w:val="0"/>
          <w:numId w:val="3"/>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不符合采购文件中规定的其他实质性要求。</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3.3.1.3  评审过程中，</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收到低于成本价应答的书面质疑材料、发现</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的综合报价明显低于其他应答报价或者设有标底时明显低于标底，认为应答报价可能低于其个别成本的，应当书面要求该</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做出书面说明并提供相关证明材料。</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不能合理说明或者不能提供相应证明材料的，由</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认定该</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以低于成本报价应答，</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应当否决其应答。</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3.3.1.4  应答报价有算术错误的，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按照以下原则对应答报价进行修正，修正的价格经</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书面确认后具有约束力。报价不一致的处理原则：</w:t>
      </w:r>
    </w:p>
    <w:p>
      <w:pPr>
        <w:spacing w:line="276"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1）当报价一览表报价信息与分项报价表报价信息不一致时，</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将以分项报价表中的单价报价信息为准，修正其他报价信息。</w:t>
      </w:r>
    </w:p>
    <w:p>
      <w:pPr>
        <w:spacing w:line="276"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总价金额与按单价汇总金额不一致的，以单价金额计算结果为准；但单价金额小数点或者百分比有明显错位的，以总价为准，并修改单价。</w:t>
      </w:r>
    </w:p>
    <w:p>
      <w:pPr>
        <w:pStyle w:val="31"/>
        <w:spacing w:line="240" w:lineRule="auto"/>
        <w:ind w:firstLine="420"/>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如果</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不接受对其错误的更正，其应答无效。</w:t>
      </w:r>
    </w:p>
    <w:p>
      <w:pPr>
        <w:pStyle w:val="31"/>
        <w:spacing w:line="240" w:lineRule="auto"/>
        <w:ind w:firstLine="0" w:firstLineChars="0"/>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3.3.2详细评审</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按照本章</w:t>
      </w:r>
      <w:r>
        <w:rPr>
          <w:rFonts w:hint="eastAsia" w:ascii="仿宋" w:hAnsi="仿宋" w:eastAsia="仿宋" w:cs="仿宋"/>
          <w:b/>
          <w:bCs/>
          <w:sz w:val="24"/>
          <w:szCs w:val="24"/>
          <w:highlight w:val="none"/>
          <w:lang w:val="en-US" w:eastAsia="zh-CN"/>
        </w:rPr>
        <w:t>前附的评分标准</w:t>
      </w:r>
      <w:r>
        <w:rPr>
          <w:rFonts w:hint="eastAsia" w:ascii="仿宋" w:hAnsi="仿宋" w:eastAsia="仿宋" w:cs="仿宋"/>
          <w:sz w:val="24"/>
          <w:szCs w:val="24"/>
          <w:highlight w:val="none"/>
        </w:rPr>
        <w:t>进行</w:t>
      </w:r>
      <w:r>
        <w:rPr>
          <w:rFonts w:hint="eastAsia" w:ascii="仿宋" w:hAnsi="仿宋" w:eastAsia="仿宋" w:cs="仿宋"/>
          <w:sz w:val="24"/>
          <w:szCs w:val="24"/>
          <w:highlight w:val="none"/>
          <w:lang w:val="en-US" w:eastAsia="zh-CN"/>
        </w:rPr>
        <w:t>打分</w:t>
      </w:r>
      <w:r>
        <w:rPr>
          <w:rFonts w:hint="eastAsia" w:ascii="仿宋" w:hAnsi="仿宋" w:eastAsia="仿宋" w:cs="仿宋"/>
          <w:sz w:val="24"/>
          <w:szCs w:val="24"/>
          <w:highlight w:val="none"/>
        </w:rPr>
        <w:t>。</w:t>
      </w:r>
    </w:p>
    <w:p>
      <w:pPr>
        <w:pStyle w:val="31"/>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3.3.3</w:t>
      </w:r>
      <w:r>
        <w:rPr>
          <w:rFonts w:hint="eastAsia" w:ascii="仿宋" w:hAnsi="仿宋" w:eastAsia="仿宋" w:cs="仿宋"/>
          <w:b/>
          <w:sz w:val="24"/>
          <w:szCs w:val="24"/>
          <w:highlight w:val="none"/>
          <w:lang w:eastAsia="zh-CN"/>
        </w:rPr>
        <w:t>响应文件</w:t>
      </w:r>
      <w:r>
        <w:rPr>
          <w:rFonts w:hint="eastAsia" w:ascii="仿宋" w:hAnsi="仿宋" w:eastAsia="仿宋" w:cs="仿宋"/>
          <w:b/>
          <w:sz w:val="24"/>
          <w:szCs w:val="24"/>
          <w:highlight w:val="none"/>
        </w:rPr>
        <w:t>的澄清</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3.3.3.1  在评审过程中，</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应当以书面形式要求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对所递交的</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中不明确的内容进行书面澄清、说明或者对</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中的细微偏差进行补正。</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不接受</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主动提出的澄清、说明或者补正。</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3.3.3.2  细微偏差：是指</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在实质上响应采购文件要求，但个别地方存在漏项或者提供了不完整的技术信息和数据等情况，并且补正这些遗漏或者不完整不会对其他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造成不公平的结果。细微偏差不影响</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的有效性。</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3.3.3.3  澄清、说明和补正不得改变</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的实质性内容（算术性错误修正的除外）。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的书面澄清、说明和补正属于</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的组成部分。</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3.3.3.4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递交的澄清、说明或者补正有疑问的，可以要求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进一步澄清、说明或者补正，直至满足</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的要求。</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3.3.3.5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必要时可以要求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递交有关证明和证件的原件，以便核验。</w:t>
      </w:r>
      <w:bookmarkStart w:id="20" w:name="_Toc478566085"/>
      <w:bookmarkStart w:id="21" w:name="_Toc478566443"/>
      <w:bookmarkStart w:id="22" w:name="_Toc478565722"/>
      <w:bookmarkStart w:id="23" w:name="_Toc478566277"/>
      <w:bookmarkStart w:id="24" w:name="_Toc474148041"/>
    </w:p>
    <w:p>
      <w:pPr>
        <w:pStyle w:val="31"/>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3.3.4成交候选人推荐原则</w:t>
      </w:r>
      <w:bookmarkEnd w:id="20"/>
      <w:bookmarkEnd w:id="21"/>
      <w:bookmarkEnd w:id="22"/>
      <w:bookmarkEnd w:id="23"/>
      <w:bookmarkEnd w:id="24"/>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成交候选人推荐原则见评审办法前附表。</w:t>
      </w:r>
    </w:p>
    <w:p>
      <w:pPr>
        <w:pStyle w:val="31"/>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3.3.5评审结果</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3.3.5.1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完成评审后，应当</w:t>
      </w:r>
      <w:r>
        <w:rPr>
          <w:rFonts w:hint="eastAsia" w:ascii="仿宋" w:hAnsi="仿宋" w:eastAsia="仿宋" w:cs="仿宋"/>
          <w:sz w:val="24"/>
          <w:szCs w:val="24"/>
          <w:highlight w:val="none"/>
          <w:lang w:val="en-US" w:eastAsia="zh-CN"/>
        </w:rPr>
        <w:t>形成统一、完整的</w:t>
      </w:r>
      <w:r>
        <w:rPr>
          <w:rFonts w:hint="eastAsia" w:ascii="仿宋" w:hAnsi="仿宋" w:eastAsia="仿宋" w:cs="仿宋"/>
          <w:sz w:val="24"/>
          <w:szCs w:val="24"/>
          <w:highlight w:val="none"/>
        </w:rPr>
        <w:t>书面评审报告</w:t>
      </w:r>
      <w:r>
        <w:rPr>
          <w:rFonts w:hint="eastAsia" w:ascii="仿宋" w:hAnsi="仿宋" w:eastAsia="仿宋" w:cs="仿宋"/>
          <w:sz w:val="24"/>
          <w:szCs w:val="24"/>
          <w:highlight w:val="none"/>
          <w:lang w:val="en-US" w:eastAsia="zh-CN"/>
        </w:rPr>
        <w:t>或评审纪要</w:t>
      </w:r>
      <w:r>
        <w:rPr>
          <w:rFonts w:hint="eastAsia" w:ascii="仿宋" w:hAnsi="仿宋" w:eastAsia="仿宋" w:cs="仿宋"/>
          <w:sz w:val="24"/>
          <w:szCs w:val="24"/>
          <w:highlight w:val="none"/>
        </w:rPr>
        <w:t>。</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3.3.5.2  评审报告</w:t>
      </w:r>
      <w:r>
        <w:rPr>
          <w:rFonts w:hint="eastAsia" w:ascii="仿宋" w:hAnsi="仿宋" w:eastAsia="仿宋" w:cs="仿宋"/>
          <w:sz w:val="24"/>
          <w:szCs w:val="24"/>
          <w:highlight w:val="none"/>
          <w:lang w:val="en-US" w:eastAsia="zh-CN"/>
        </w:rPr>
        <w:t>或评审纪要</w:t>
      </w:r>
      <w:r>
        <w:rPr>
          <w:rFonts w:hint="eastAsia" w:ascii="仿宋" w:hAnsi="仿宋" w:eastAsia="仿宋" w:cs="仿宋"/>
          <w:sz w:val="24"/>
          <w:szCs w:val="24"/>
          <w:highlight w:val="none"/>
        </w:rPr>
        <w:t>应当包括下列内容：</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（1）项目简介；</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（2）采购过程简介；</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项目小组初步评审情况说明（包含</w:t>
      </w:r>
      <w:r>
        <w:rPr>
          <w:rFonts w:hint="eastAsia" w:ascii="仿宋" w:hAnsi="仿宋" w:eastAsia="仿宋" w:cs="仿宋"/>
          <w:sz w:val="24"/>
          <w:szCs w:val="24"/>
          <w:highlight w:val="none"/>
        </w:rPr>
        <w:t>否决应答的情况说明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）推荐的</w:t>
      </w:r>
      <w:r>
        <w:rPr>
          <w:rFonts w:hint="eastAsia" w:ascii="仿宋" w:hAnsi="仿宋" w:eastAsia="仿宋" w:cs="仿宋"/>
          <w:sz w:val="24"/>
          <w:szCs w:val="24"/>
          <w:highlight w:val="none"/>
          <w:lang w:eastAsia="zh-CN"/>
        </w:rPr>
        <w:t>成交</w:t>
      </w:r>
      <w:r>
        <w:rPr>
          <w:rFonts w:hint="eastAsia" w:ascii="仿宋" w:hAnsi="仿宋" w:eastAsia="仿宋" w:cs="仿宋"/>
          <w:sz w:val="24"/>
          <w:szCs w:val="24"/>
          <w:highlight w:val="none"/>
        </w:rPr>
        <w:t>候选人名单；</w:t>
      </w:r>
    </w:p>
    <w:p>
      <w:pPr>
        <w:pStyle w:val="31"/>
        <w:spacing w:line="240" w:lineRule="auto"/>
        <w:ind w:firstLine="42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）签订合同前要处理的事宜；</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如有</w:t>
      </w:r>
      <w:r>
        <w:rPr>
          <w:rFonts w:hint="eastAsia" w:ascii="仿宋" w:hAnsi="仿宋" w:eastAsia="仿宋" w:cs="仿宋"/>
          <w:sz w:val="24"/>
          <w:szCs w:val="24"/>
          <w:highlight w:val="none"/>
          <w:lang w:eastAsia="zh-CN"/>
        </w:rPr>
        <w:t>）</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）澄清、说明、补正事项纪要；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如有</w:t>
      </w:r>
      <w:r>
        <w:rPr>
          <w:rFonts w:hint="eastAsia" w:ascii="仿宋" w:hAnsi="仿宋" w:eastAsia="仿宋" w:cs="仿宋"/>
          <w:sz w:val="24"/>
          <w:szCs w:val="24"/>
          <w:highlight w:val="none"/>
          <w:lang w:eastAsia="zh-CN"/>
        </w:rPr>
        <w:t>）</w:t>
      </w:r>
    </w:p>
    <w:p>
      <w:pPr>
        <w:pStyle w:val="31"/>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成员名单及本人签字、拒绝在评审报告上签字的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成员名单及其陈述的不同意见和理由。</w:t>
      </w:r>
    </w:p>
    <w:p>
      <w:pPr>
        <w:pStyle w:val="31"/>
        <w:spacing w:line="240" w:lineRule="auto"/>
        <w:ind w:firstLine="420"/>
        <w:rPr>
          <w:rFonts w:hint="eastAsia" w:ascii="仿宋" w:hAnsi="仿宋" w:eastAsia="仿宋" w:cs="仿宋"/>
          <w:sz w:val="21"/>
          <w:highlight w:val="none"/>
        </w:rPr>
      </w:pPr>
    </w:p>
    <w:p>
      <w:pPr>
        <w:pStyle w:val="31"/>
        <w:spacing w:line="240" w:lineRule="auto"/>
        <w:ind w:firstLine="420"/>
        <w:rPr>
          <w:rFonts w:hint="eastAsia" w:ascii="宋体" w:hAnsi="宋体" w:eastAsia="宋体" w:cs="宋体"/>
          <w:sz w:val="21"/>
          <w:highlight w:val="none"/>
        </w:rPr>
      </w:pPr>
    </w:p>
    <w:p>
      <w:pPr>
        <w:pStyle w:val="31"/>
        <w:spacing w:line="240" w:lineRule="auto"/>
        <w:ind w:firstLine="420"/>
        <w:rPr>
          <w:rFonts w:hint="eastAsia" w:ascii="宋体" w:hAnsi="宋体" w:eastAsia="宋体" w:cs="宋体"/>
          <w:sz w:val="21"/>
          <w:highlight w:val="none"/>
        </w:rPr>
      </w:pPr>
    </w:p>
    <w:p>
      <w:pPr>
        <w:pStyle w:val="31"/>
        <w:spacing w:line="240" w:lineRule="auto"/>
        <w:ind w:firstLine="420"/>
        <w:rPr>
          <w:rFonts w:hint="eastAsia" w:ascii="宋体" w:hAnsi="宋体" w:eastAsia="宋体" w:cs="宋体"/>
          <w:sz w:val="21"/>
          <w:highlight w:val="none"/>
        </w:rPr>
      </w:pPr>
    </w:p>
    <w:p>
      <w:pPr>
        <w:pStyle w:val="31"/>
        <w:spacing w:line="240" w:lineRule="auto"/>
        <w:ind w:firstLine="420"/>
        <w:rPr>
          <w:rFonts w:hint="eastAsia" w:ascii="宋体" w:hAnsi="宋体" w:eastAsia="宋体" w:cs="宋体"/>
          <w:sz w:val="21"/>
          <w:highlight w:val="none"/>
        </w:rPr>
      </w:pPr>
    </w:p>
    <w:p>
      <w:pPr>
        <w:rPr>
          <w:rFonts w:hint="eastAsia" w:ascii="宋体" w:hAnsi="宋体" w:eastAsia="宋体" w:cs="宋体"/>
          <w:sz w:val="21"/>
          <w:highlight w:val="none"/>
        </w:rPr>
      </w:pPr>
      <w:r>
        <w:rPr>
          <w:rFonts w:hint="eastAsia" w:ascii="宋体" w:hAnsi="宋体" w:eastAsia="宋体" w:cs="宋体"/>
          <w:sz w:val="21"/>
          <w:highlight w:val="none"/>
        </w:rPr>
        <w:br w:type="page"/>
      </w:r>
    </w:p>
    <w:p>
      <w:pPr>
        <w:pStyle w:val="30"/>
        <w:numPr>
          <w:numId w:val="0"/>
        </w:numPr>
        <w:snapToGrid w:val="0"/>
        <w:spacing w:before="120" w:after="120"/>
        <w:ind w:leftChars="0"/>
        <w:jc w:val="center"/>
        <w:rPr>
          <w:rFonts w:hint="eastAsia" w:ascii="方正小标宋简体" w:hAnsi="方正小标宋简体" w:eastAsia="方正小标宋简体" w:cs="方正小标宋简体"/>
          <w:b/>
          <w:kern w:val="2"/>
          <w:sz w:val="36"/>
          <w:szCs w:val="36"/>
          <w:lang w:val="en-US" w:eastAsia="zh-CN" w:bidi="ar-SA"/>
        </w:rPr>
      </w:pPr>
      <w:bookmarkStart w:id="25" w:name="_Toc4457"/>
      <w:r>
        <w:rPr>
          <w:rFonts w:hint="eastAsia" w:ascii="方正小标宋简体" w:hAnsi="方正小标宋简体" w:eastAsia="方正小标宋简体" w:cs="方正小标宋简体"/>
          <w:b/>
          <w:kern w:val="2"/>
          <w:sz w:val="36"/>
          <w:szCs w:val="36"/>
          <w:lang w:val="en-US" w:eastAsia="zh-CN" w:bidi="ar-SA"/>
        </w:rPr>
        <w:t>第三章 采购需求书</w:t>
      </w:r>
      <w:bookmarkEnd w:id="25"/>
    </w:p>
    <w:p>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pPr>
        <w:pStyle w:val="30"/>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br w:type="page"/>
      </w:r>
    </w:p>
    <w:p>
      <w:pPr>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品牌发布推介活动现场执行搭建服务项目</w:t>
      </w:r>
    </w:p>
    <w:p>
      <w:pPr>
        <w:jc w:val="center"/>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sz w:val="32"/>
          <w:szCs w:val="32"/>
          <w:lang w:val="en-US" w:eastAsia="zh-CN"/>
        </w:rPr>
        <w:t>采购需求书</w:t>
      </w:r>
    </w:p>
    <w:p>
      <w:pPr>
        <w:rPr>
          <w:rFonts w:hint="default"/>
          <w:lang w:val="en-US" w:eastAsia="zh-CN"/>
        </w:rPr>
      </w:pP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根据项目实际情况，供应商需要负责品牌发布推介活动现场执行搭建服务，主要包括：项目设计策划、舞台搭建及视听设备租赁、物料制作及现场执行人员等。</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活动举办地：新疆喀什。</w:t>
      </w:r>
    </w:p>
    <w:p>
      <w:pPr>
        <w:pStyle w:val="7"/>
        <w:widowControl w:val="0"/>
        <w:numPr>
          <w:ilvl w:val="0"/>
          <w:numId w:val="0"/>
        </w:numPr>
        <w:spacing w:after="120" w:line="360" w:lineRule="auto"/>
        <w:ind w:firstLine="480" w:firstLineChars="200"/>
        <w:jc w:val="left"/>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服务期限：2026年10月前完成。</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（一）项目设计策划</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设计策划及相关执行工作，具体包括平面设计/视觉设计、场地3D渲染效果图、活动策划执行等。</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（二）舞台搭建及视听设备租赁</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视听设备租赁主要包括灯光、音响及LED屏幕，含运输搭建撤场等服务。</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（三）物料制作</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物料制作主要包括所有线下活动的物料制作及搭建，会务制作及文创制作。具体包括数码直印/数码快印、桁架+户外550黑底灯布、户外大型活动帐篷（含篷布）等；会务制作包括：工作证件、停车证、主持人手卡；文创制作包括：定制手提袋、宣传手册、定制文创产品。数量500份。含运输搭建撤场等服务。</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（四）现场执行人员及其他</w:t>
      </w:r>
    </w:p>
    <w:p>
      <w:pPr>
        <w:pStyle w:val="7"/>
        <w:widowControl w:val="0"/>
        <w:numPr>
          <w:ilvl w:val="0"/>
          <w:numId w:val="0"/>
        </w:numPr>
        <w:spacing w:after="120" w:line="36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主要包括摄影师、摄像师、活动花絮后期制作、主持人、工作人员（暂定4天，具体日期以活动实际需求为准）；旅游大巴含司机5辆（暂定4天，具体日期以活动实际需求为准）；民族舞蹈表演（暂定1天，具体日期以活动实际需求为准）；以上含人员保险。</w:t>
      </w:r>
    </w:p>
    <w:p>
      <w:p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br w:type="page"/>
      </w:r>
    </w:p>
    <w:p>
      <w:pPr>
        <w:pStyle w:val="30"/>
        <w:numPr>
          <w:numId w:val="0"/>
        </w:numPr>
        <w:snapToGrid w:val="0"/>
        <w:spacing w:before="120" w:after="120"/>
        <w:ind w:leftChars="0"/>
        <w:jc w:val="center"/>
        <w:rPr>
          <w:rFonts w:hint="eastAsia" w:ascii="方正小标宋简体" w:hAnsi="方正小标宋简体" w:eastAsia="方正小标宋简体" w:cs="方正小标宋简体"/>
          <w:b/>
          <w:kern w:val="2"/>
          <w:sz w:val="36"/>
          <w:szCs w:val="36"/>
          <w:lang w:val="en-US" w:eastAsia="zh-CN" w:bidi="ar-SA"/>
        </w:rPr>
      </w:pPr>
      <w:bookmarkStart w:id="26" w:name="_Toc1917"/>
      <w:r>
        <w:rPr>
          <w:rFonts w:hint="eastAsia" w:ascii="方正小标宋简体" w:hAnsi="方正小标宋简体" w:eastAsia="方正小标宋简体" w:cs="方正小标宋简体"/>
          <w:b/>
          <w:kern w:val="2"/>
          <w:sz w:val="36"/>
          <w:szCs w:val="36"/>
          <w:lang w:val="en-US" w:eastAsia="zh-CN" w:bidi="ar-SA"/>
        </w:rPr>
        <w:t>第四章 商务合同</w:t>
      </w:r>
      <w:bookmarkEnd w:id="26"/>
    </w:p>
    <w:p>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pPr>
        <w:spacing w:line="400" w:lineRule="exact"/>
        <w:jc w:val="left"/>
        <w:rPr>
          <w:rFonts w:hint="eastAsia" w:ascii="宋体" w:hAnsi="宋体" w:cs="宋体"/>
          <w:color w:val="auto"/>
          <w:szCs w:val="21"/>
          <w:u w:val="none"/>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color w:val="auto"/>
          <w:szCs w:val="21"/>
          <w:u w:val="none"/>
        </w:rPr>
        <w:t>。</w:t>
      </w:r>
      <w:r>
        <w:rPr>
          <w:rFonts w:hint="eastAsia" w:ascii="宋体" w:hAnsi="宋体" w:cs="宋体"/>
          <w:color w:val="auto"/>
          <w:szCs w:val="21"/>
          <w:u w:val="none"/>
          <w:lang w:val="en-US" w:eastAsia="zh-CN"/>
        </w:rPr>
        <w:t>广东南方网络信息科技有限公司</w:t>
      </w:r>
      <w:r>
        <w:rPr>
          <w:rFonts w:hint="eastAsia" w:ascii="宋体" w:hAnsi="宋体" w:cs="宋体"/>
          <w:color w:val="auto"/>
          <w:szCs w:val="21"/>
          <w:u w:val="none"/>
        </w:rPr>
        <w:t>为合同甲方；</w:t>
      </w:r>
      <w:r>
        <w:rPr>
          <w:rFonts w:hint="eastAsia" w:ascii="宋体" w:hAnsi="宋体" w:cs="宋体"/>
          <w:color w:val="auto"/>
          <w:szCs w:val="21"/>
          <w:u w:val="none"/>
          <w:lang w:val="en-US" w:eastAsia="zh-CN"/>
        </w:rPr>
        <w:t>成交人</w:t>
      </w:r>
      <w:r>
        <w:rPr>
          <w:rFonts w:hint="eastAsia" w:ascii="宋体" w:hAnsi="宋体" w:cs="宋体"/>
          <w:color w:val="auto"/>
          <w:szCs w:val="21"/>
          <w:u w:val="none"/>
        </w:rPr>
        <w:t>为合同乙方。</w:t>
      </w:r>
    </w:p>
    <w:p>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u w:val="none"/>
        </w:rPr>
        <w:t>供应商须对《商务合同书》全部条款理解清楚，并填写《技术商务偏离表》（格式见第</w:t>
      </w:r>
      <w:r>
        <w:rPr>
          <w:rFonts w:hint="eastAsia" w:ascii="宋体" w:hAnsi="宋体" w:eastAsia="宋体" w:cs="宋体"/>
          <w:b/>
          <w:bCs/>
          <w:color w:val="auto"/>
          <w:szCs w:val="21"/>
        </w:rPr>
        <w:t>六章）。</w:t>
      </w:r>
    </w:p>
    <w:p>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pPr>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br w:type="page"/>
      </w:r>
    </w:p>
    <w:p>
      <w:pPr>
        <w:pStyle w:val="7"/>
        <w:spacing w:line="360" w:lineRule="auto"/>
        <w:jc w:val="center"/>
        <w:rPr>
          <w:rFonts w:hint="default" w:ascii="宋体" w:hAnsi="宋体" w:eastAsia="宋体" w:cs="宋体"/>
          <w:b/>
          <w:bCs w:val="0"/>
          <w:kern w:val="2"/>
          <w:sz w:val="32"/>
          <w:szCs w:val="32"/>
          <w:lang w:val="en-US" w:eastAsia="zh-CN" w:bidi="ar-SA"/>
        </w:rPr>
      </w:pPr>
      <w:r>
        <w:rPr>
          <w:rFonts w:hint="eastAsia" w:asciiTheme="minorEastAsia" w:hAnsiTheme="minorEastAsia" w:eastAsiaTheme="minorEastAsia" w:cstheme="minorEastAsia"/>
          <w:b/>
          <w:bCs/>
          <w:sz w:val="32"/>
          <w:szCs w:val="32"/>
          <w:lang w:val="en-US" w:eastAsia="zh-CN"/>
        </w:rPr>
        <w:t>品牌发布推介活动现场执行搭建服务项目</w:t>
      </w:r>
      <w:r>
        <w:rPr>
          <w:rFonts w:hint="eastAsia" w:ascii="宋体" w:hAnsi="宋体" w:eastAsia="宋体" w:cs="宋体"/>
          <w:b/>
          <w:bCs w:val="0"/>
          <w:kern w:val="2"/>
          <w:sz w:val="32"/>
          <w:szCs w:val="32"/>
          <w:lang w:val="en-US" w:eastAsia="zh-CN" w:bidi="ar-SA"/>
        </w:rPr>
        <w:t>合同书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 xml:space="preserve">甲方：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地址：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联系人：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 xml:space="preserve">乙方： </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地址：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联系人：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甲</w:t>
      </w:r>
      <w:r>
        <w:rPr>
          <w:rFonts w:hint="eastAsia" w:ascii="仿宋" w:hAnsi="仿宋" w:eastAsia="仿宋" w:cs="仿宋"/>
          <w:sz w:val="28"/>
          <w:szCs w:val="28"/>
        </w:rPr>
        <w:t xml:space="preserve">乙双方经过平等友好协商，依照相关法律法规，现就双方合作事宜达成如下协议，以资共同遵守。 </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服务要求</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（一）服务内容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根据项目实际情况，供应商需要负责品牌发布推介活动现场执行搭建服务，主要包括：项目设计策划、舞台搭建及视听设备租赁、物料制作及现场执行人员等。</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项目设计策划</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设计策划及相关执行工作，具体包括平面设计/视觉设计、场地3D渲染效果图、活动策划执行等。</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舞台搭建及视听设备租赁</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视听设备租赁主要包括灯光、音响及LED屏幕，含运输搭建撤场等服务。</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物料制作</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物料制作主要包括所有线下活动的物料制作及搭建，会务制作及文创制作。具体包括数码直印/数码快印、桁架+户外550黑底灯布、户外大型活动帐篷（含篷布）等；会务制作包括：工作证件、停车证、主持人手卡；文创制作包括：定制手提袋、宣传手册、定制文创</w:t>
      </w:r>
      <w:r>
        <w:rPr>
          <w:rFonts w:hint="eastAsia" w:ascii="仿宋" w:hAnsi="仿宋" w:eastAsia="仿宋" w:cs="仿宋"/>
          <w:kern w:val="2"/>
          <w:sz w:val="24"/>
          <w:szCs w:val="24"/>
          <w:highlight w:val="none"/>
          <w:lang w:val="en-US" w:eastAsia="zh-CN" w:bidi="ar-SA"/>
        </w:rPr>
        <w:t>产品</w:t>
      </w:r>
      <w:r>
        <w:rPr>
          <w:rFonts w:hint="eastAsia" w:ascii="仿宋" w:hAnsi="仿宋" w:eastAsia="仿宋" w:cs="仿宋"/>
          <w:sz w:val="28"/>
          <w:szCs w:val="28"/>
          <w:highlight w:val="none"/>
          <w:lang w:eastAsia="zh-CN"/>
        </w:rPr>
        <w:t>。数量500份。含运输搭建撤场等服务。</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现场执行人员及其他</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主要包括摄影师、摄像师、活动花絮后期制作、主持人、工作人员（暂定4天，具体日期以活动实际需求为准）；旅游大巴含司机5辆（暂定4天，具体日期以活动实际需求为准）；民族舞蹈表演（暂定1天，具体日期以活动实际需求为准）；以上含人员保险。</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履行期限</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自合同签订之日起至2026年10月31日</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二、合同金额及付款方式</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highlight w:val="none"/>
        </w:rPr>
        <w:t>1.合同金额（含税）为人民币【 】元，与本合</w:t>
      </w:r>
      <w:r>
        <w:rPr>
          <w:rFonts w:hint="eastAsia" w:ascii="仿宋" w:hAnsi="仿宋" w:eastAsia="仿宋" w:cs="仿宋"/>
          <w:sz w:val="28"/>
          <w:szCs w:val="28"/>
        </w:rPr>
        <w:t>同相关的税费由乙方承担，本合同总价为含税价；</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1期：合同签订后，乙方向甲方提供等额增值税专用发票，甲方收到最终客户方对应款项的前提下，于30个工作日内向乙方支付合同总额的</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0%，即  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期：甲方收到最终客户对应款项的前提下，对本合同第一条所列成果验收无误，并在收到乙方提供等额增值税专用发票后的30个工作日内，向乙方支付</w:t>
      </w:r>
      <w:r>
        <w:rPr>
          <w:rFonts w:hint="eastAsia" w:ascii="仿宋" w:hAnsi="仿宋" w:eastAsia="仿宋" w:cs="仿宋"/>
          <w:sz w:val="28"/>
          <w:szCs w:val="28"/>
          <w:highlight w:val="none"/>
          <w:lang w:val="en-US" w:eastAsia="zh-CN"/>
        </w:rPr>
        <w:t>合同总额的50%，即</w:t>
      </w:r>
      <w:r>
        <w:rPr>
          <w:rFonts w:hint="eastAsia" w:ascii="仿宋" w:hAnsi="仿宋" w:eastAsia="仿宋" w:cs="仿宋"/>
          <w:sz w:val="28"/>
          <w:szCs w:val="28"/>
          <w:highlight w:val="none"/>
        </w:rPr>
        <w:t xml:space="preserve">    元（大写：人民币    整）。</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2.如乙方未按时提供发票或提供的发票不合规，甲方有权延迟付款或拒绝付款且不承担任何违约责任，如因存在任何违反发票合法合规问题导致甲方遭受损失的，乙方应就甲方的损失承担赔偿义务；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3.付款方式：银行转账</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名称：</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开户银行：</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银行账号：</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乙方保证以上账号信息准确无误，若有变更乙方应至少提前5个工作日以书面方式通知甲方，否则由乙方自行承担所有后果及责任。</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6.若最终客户方以验收未达到目标为由对甲方进行费用扣减时，乙方同意将在本项目支付的款项中进行同等扣减；</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7.涉及产品或</w:t>
      </w:r>
      <w:r>
        <w:rPr>
          <w:rFonts w:hint="eastAsia" w:ascii="仿宋" w:hAnsi="仿宋" w:eastAsia="仿宋" w:cs="仿宋"/>
          <w:sz w:val="28"/>
          <w:szCs w:val="28"/>
          <w:lang w:val="en-US" w:eastAsia="zh-CN"/>
        </w:rPr>
        <w:t>者</w:t>
      </w:r>
      <w:r>
        <w:rPr>
          <w:rFonts w:hint="eastAsia" w:ascii="仿宋" w:hAnsi="仿宋" w:eastAsia="仿宋" w:cs="仿宋"/>
          <w:sz w:val="28"/>
          <w:szCs w:val="28"/>
        </w:rPr>
        <w:t>服务发放的，相关税费由乙方负责代扣代缴。</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、知识产权约定</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1.乙方因履行本合同制作的任何工作成果，其全部知识产权</w:t>
      </w:r>
      <w:r>
        <w:rPr>
          <w:rFonts w:hint="eastAsia" w:ascii="仿宋" w:hAnsi="仿宋" w:eastAsia="仿宋" w:cs="仿宋"/>
          <w:sz w:val="28"/>
          <w:szCs w:val="28"/>
          <w:lang w:val="en-US" w:eastAsia="zh-CN"/>
        </w:rPr>
        <w:t>及所有权</w:t>
      </w:r>
      <w:r>
        <w:rPr>
          <w:rFonts w:hint="eastAsia" w:ascii="仿宋" w:hAnsi="仿宋" w:eastAsia="仿宋" w:cs="仿宋"/>
          <w:sz w:val="28"/>
          <w:szCs w:val="28"/>
        </w:rPr>
        <w:t>归甲方所有</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2.本合同所提交的工作成果由乙方独立制作，</w:t>
      </w:r>
      <w:r>
        <w:rPr>
          <w:rFonts w:hint="eastAsia" w:ascii="仿宋" w:hAnsi="仿宋" w:eastAsia="仿宋" w:cs="仿宋"/>
          <w:sz w:val="28"/>
          <w:szCs w:val="28"/>
          <w:lang w:val="en-US" w:eastAsia="zh-CN"/>
        </w:rPr>
        <w:t>乙方</w:t>
      </w:r>
      <w:r>
        <w:rPr>
          <w:rFonts w:hint="eastAsia" w:ascii="仿宋" w:hAnsi="仿宋" w:eastAsia="仿宋" w:cs="仿宋"/>
          <w:sz w:val="28"/>
          <w:szCs w:val="28"/>
        </w:rPr>
        <w:t>不可交由第三方，否则由此产生的纠纷由乙方负责处理并承担责任</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任何一方均应尊重相对方、第三方的知识产权，如有任何第三方就一方侵犯其知识产权等合法权益的原因向另一方提起诉讼、主张索赔的，责任方应当独立处理相关纠纷，赔偿另一方的直接经济损失，并使另一方免责。</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、双方的权利和义务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（一）甲方的权利义务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1.甲方指定专人负责与乙方进行工作对接，负责向乙方传达项目要求；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2.甲方对乙方提供的成果内容有最终审定权，</w:t>
      </w:r>
      <w:r>
        <w:rPr>
          <w:rFonts w:hint="eastAsia" w:ascii="仿宋" w:hAnsi="仿宋" w:eastAsia="仿宋" w:cs="仿宋"/>
          <w:sz w:val="28"/>
          <w:szCs w:val="28"/>
        </w:rPr>
        <w:t>有权提出</w:t>
      </w:r>
      <w:r>
        <w:rPr>
          <w:rFonts w:hint="eastAsia" w:ascii="仿宋" w:hAnsi="仿宋" w:eastAsia="仿宋" w:cs="仿宋"/>
          <w:sz w:val="28"/>
          <w:szCs w:val="28"/>
          <w:lang w:val="en-US" w:eastAsia="zh-CN"/>
        </w:rPr>
        <w:t>合理的</w:t>
      </w:r>
      <w:r>
        <w:rPr>
          <w:rFonts w:hint="eastAsia" w:ascii="仿宋" w:hAnsi="仿宋" w:eastAsia="仿宋" w:cs="仿宋"/>
          <w:sz w:val="28"/>
          <w:szCs w:val="28"/>
        </w:rPr>
        <w:t>修改意见</w:t>
      </w:r>
      <w:r>
        <w:rPr>
          <w:rFonts w:hint="eastAsia" w:ascii="仿宋" w:hAnsi="仿宋" w:eastAsia="仿宋" w:cs="仿宋"/>
          <w:sz w:val="28"/>
          <w:szCs w:val="28"/>
          <w:lang w:eastAsia="zh-CN"/>
        </w:rPr>
        <w:t>，乙方应按甲方要求对成果进行修改，使</w:t>
      </w:r>
      <w:r>
        <w:rPr>
          <w:rFonts w:hint="eastAsia" w:ascii="仿宋" w:hAnsi="仿宋" w:eastAsia="仿宋" w:cs="仿宋"/>
          <w:sz w:val="28"/>
          <w:szCs w:val="28"/>
          <w:lang w:val="en-US" w:eastAsia="zh-CN"/>
        </w:rPr>
        <w:t>工作内容</w:t>
      </w:r>
      <w:r>
        <w:rPr>
          <w:rFonts w:hint="eastAsia" w:ascii="仿宋" w:hAnsi="仿宋" w:eastAsia="仿宋" w:cs="仿宋"/>
          <w:sz w:val="28"/>
          <w:szCs w:val="28"/>
          <w:lang w:eastAsia="zh-CN"/>
        </w:rPr>
        <w:t>符合甲方的预期要求；</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3.甲方有权根据本合同约定，对乙方提供的各项服务内容进行审查、监督和验收。</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（二）乙方</w:t>
      </w:r>
      <w:r>
        <w:rPr>
          <w:rFonts w:hint="eastAsia" w:ascii="仿宋" w:hAnsi="仿宋" w:eastAsia="仿宋" w:cs="仿宋"/>
          <w:sz w:val="28"/>
          <w:szCs w:val="28"/>
        </w:rPr>
        <w:t>的权利义务</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乙方不得自行使用或许可他人使用</w:t>
      </w:r>
      <w:r>
        <w:rPr>
          <w:rFonts w:hint="eastAsia" w:ascii="仿宋" w:hAnsi="仿宋" w:eastAsia="仿宋" w:cs="仿宋"/>
          <w:sz w:val="28"/>
          <w:szCs w:val="28"/>
          <w:lang w:val="en-US" w:eastAsia="zh-CN"/>
        </w:rPr>
        <w:t>本合同涉及的内容，不得将成果再创作或用于其他商业用途</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2.乙方不得将本合同权利义务转委托第三方处理；</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3.乙方应及时与甲方沟通工作进展，就情况进展、存在问题等进行沟通交流，减少风险；</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4.乙方应按照甲方需求定期召开例会，指定专人负责与甲方进行工作对接，保证服务质量。</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项目验收</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乙方完成合同所规定的全部工作后向甲方提出验收申请，甲方应及时组织验收，若甲方提出建议，乙方应根据建议完成相应的完善工作后，再向甲方重新提出验收申请，乙方应无条件配合验收工作，提交验收材料</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2.验收材料属于本合同附件材料之一，与本合同具有同等法律效力。</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、保密信息</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1.乙方对于因签署或履行本协议而了解或接触到甲方的秘密、其他未公开资料和信息，包括但不限于数据资料、商务资料、技术方案、创意设想、用户信息、人事资料、价格、财务状况等，均应保守秘密</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2.乙方不得向第三方泄露、给予或转让本协议条款、签订及履行情况</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3.乙方不得擅自使用、复制甲方的商标、标志、商业信息、技术及其他资料，也不得将信息内容用作其他商业目的</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.合同终止后本条款仍具法律效力，直至相关信息不再具有保密意义</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、违约责任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若乙方不能按时完成本合同第一条所列内容的，需每日按合同总金额的千分之三向甲方支付违约金，逾期超过10日的，甲方有权解除合同，给甲方造成损失的，乙方还需赔偿损失，严重影响甲方利益或名誉的，甲方有权终止本合同，并有权要求乙方赔偿甲方一切损失；</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乙方未能按照约定处理履行合同过程中发生的问题，或者处理该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4.乙方将本项目进行转包或进行分包的，甲方有权追回已支付的全部费用，乙方还应当向甲方支付合同总价款【10】%的违约金；甲方也可同时解除合同，违约金不足以弥补甲方损失的，由乙方继续赔偿。 </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八</w:t>
      </w:r>
      <w:r>
        <w:rPr>
          <w:rFonts w:hint="eastAsia" w:ascii="仿宋" w:hAnsi="仿宋" w:eastAsia="仿宋" w:cs="仿宋"/>
          <w:b/>
          <w:bCs/>
          <w:sz w:val="28"/>
          <w:szCs w:val="28"/>
        </w:rPr>
        <w:t>、法律适用及争议解决</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1.若发生争议，双方应首先通过协商解决。协商不成可向甲方所在地人民法院提起诉讼，双方无争议的部分，应当继续履行</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2.本合同的成立、生效、履行、解释及纠纷解决等双方均同意适用中华人民共和国法律</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3.合理的律师费、诉讼费、鉴定费、财产保全费、证据保全费、差旅费等由败诉一方承担。</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九</w:t>
      </w:r>
      <w:r>
        <w:rPr>
          <w:rFonts w:hint="eastAsia" w:ascii="仿宋" w:hAnsi="仿宋" w:eastAsia="仿宋" w:cs="仿宋"/>
          <w:b/>
          <w:bCs/>
          <w:sz w:val="28"/>
          <w:szCs w:val="28"/>
        </w:rPr>
        <w:t>、不可抗力</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十、税费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在中国境内、外发生的与本合同执行有关的一切税费均由乙方负担。</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十</w:t>
      </w: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、其他</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1.本合同一式陆份，甲乙双方各执叁份，具有同等法律效力；其他未尽事宜，由甲乙双方协商确定并签订书面补充协议，作为本合同的补充，补充协议与本合同具有同等法律效力</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2.本合同签订地为广东省广州市越秀区</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3.除非另有说明，本合同中结算货币为人民币</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4.本合同自法定代表人或授权代表签字盖章之日起生效。</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――――――――本页以下为盖章页――――――――――</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甲方：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法定代表人/授权代表：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1"/>
          <w:szCs w:val="21"/>
        </w:rPr>
      </w:pPr>
      <w:r>
        <w:rPr>
          <w:rFonts w:hint="eastAsia" w:ascii="仿宋" w:hAnsi="仿宋" w:eastAsia="仿宋" w:cs="仿宋"/>
          <w:sz w:val="28"/>
          <w:szCs w:val="28"/>
        </w:rPr>
        <w:t>日期：</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乙方：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法定代表人/授权代表：</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1"/>
          <w:szCs w:val="21"/>
        </w:rPr>
      </w:pPr>
      <w:r>
        <w:rPr>
          <w:rFonts w:hint="eastAsia" w:ascii="仿宋" w:hAnsi="仿宋" w:eastAsia="仿宋" w:cs="仿宋"/>
          <w:sz w:val="28"/>
          <w:szCs w:val="28"/>
        </w:rPr>
        <w:t xml:space="preserve">日期：                         </w:t>
      </w:r>
    </w:p>
    <w:p>
      <w:pPr>
        <w:rPr>
          <w:rFonts w:hint="eastAsia"/>
          <w:lang w:val="en-US" w:eastAsia="zh-CN"/>
        </w:rPr>
      </w:pPr>
      <w:r>
        <w:rPr>
          <w:rFonts w:hint="eastAsia"/>
          <w:lang w:val="en-US" w:eastAsia="zh-CN"/>
        </w:rPr>
        <w:br w:type="page"/>
      </w:r>
    </w:p>
    <w:p>
      <w:pPr>
        <w:pStyle w:val="30"/>
        <w:numPr>
          <w:numId w:val="0"/>
        </w:numPr>
        <w:snapToGrid w:val="0"/>
        <w:spacing w:before="120" w:after="120"/>
        <w:ind w:leftChars="0"/>
        <w:jc w:val="center"/>
        <w:rPr>
          <w:rFonts w:hint="eastAsia" w:ascii="方正小标宋简体" w:hAnsi="方正小标宋简体" w:eastAsia="方正小标宋简体" w:cs="方正小标宋简体"/>
          <w:b/>
          <w:kern w:val="2"/>
          <w:sz w:val="36"/>
          <w:szCs w:val="36"/>
          <w:lang w:val="en-US" w:eastAsia="zh-CN" w:bidi="ar-SA"/>
        </w:rPr>
      </w:pPr>
      <w:bookmarkStart w:id="27" w:name="_Toc21956"/>
      <w:r>
        <w:rPr>
          <w:rFonts w:hint="eastAsia" w:ascii="方正小标宋简体" w:hAnsi="方正小标宋简体" w:eastAsia="方正小标宋简体" w:cs="方正小标宋简体"/>
          <w:b/>
          <w:kern w:val="2"/>
          <w:sz w:val="36"/>
          <w:szCs w:val="36"/>
          <w:lang w:val="en-US" w:eastAsia="zh-CN" w:bidi="ar-SA"/>
        </w:rPr>
        <w:t>第五章 响应文件格式</w:t>
      </w:r>
      <w:bookmarkEnd w:id="27"/>
    </w:p>
    <w:p>
      <w:pPr>
        <w:pStyle w:val="5"/>
        <w:keepNext/>
        <w:keepLines/>
        <w:pageBreakBefore w:val="0"/>
        <w:widowControl w:val="0"/>
        <w:numPr>
          <w:ilvl w:val="1"/>
          <w:numId w:val="5"/>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8" w:name="_Toc1878"/>
      <w:bookmarkStart w:id="29" w:name="_Toc32326"/>
      <w:r>
        <w:rPr>
          <w:rFonts w:hint="eastAsia" w:ascii="宋体" w:hAnsi="宋体" w:eastAsia="宋体" w:cs="宋体"/>
          <w:highlight w:val="none"/>
        </w:rPr>
        <w:t>应答函</w:t>
      </w:r>
      <w:bookmarkEnd w:id="28"/>
      <w:bookmarkEnd w:id="29"/>
    </w:p>
    <w:p>
      <w:pPr>
        <w:pStyle w:val="26"/>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 xml:space="preserve">应   答  </w:t>
      </w:r>
      <w:r>
        <w:rPr>
          <w:rFonts w:hint="eastAsia" w:ascii="宋体" w:hAnsi="宋体" w:cs="宋体"/>
          <w:b/>
          <w:sz w:val="24"/>
          <w:highlight w:val="none"/>
          <w:lang w:val="en-US" w:eastAsia="zh-CN"/>
        </w:rPr>
        <w:t xml:space="preserve"> </w:t>
      </w:r>
      <w:r>
        <w:rPr>
          <w:rFonts w:hint="eastAsia" w:ascii="宋体" w:hAnsi="宋体" w:eastAsia="宋体" w:cs="宋体"/>
          <w:b/>
          <w:sz w:val="24"/>
          <w:highlight w:val="none"/>
        </w:rPr>
        <w:t>函</w:t>
      </w:r>
    </w:p>
    <w:p>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pPr>
        <w:pStyle w:val="26"/>
        <w:numPr>
          <w:ilvl w:val="0"/>
          <w:numId w:val="7"/>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pPr>
        <w:pStyle w:val="26"/>
        <w:numPr>
          <w:ilvl w:val="0"/>
          <w:numId w:val="7"/>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pPr>
        <w:pStyle w:val="26"/>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30" w:name="_Toc26153"/>
      <w:bookmarkStart w:id="31" w:name="_Toc68688804"/>
      <w:bookmarkStart w:id="32" w:name="_Toc17459"/>
      <w:bookmarkStart w:id="33" w:name="_Toc56432234"/>
      <w:bookmarkStart w:id="34" w:name="_Toc475472674"/>
      <w:bookmarkStart w:id="35" w:name="_Toc18365"/>
      <w:bookmarkStart w:id="36" w:name="_Toc1651899"/>
      <w:bookmarkStart w:id="37"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30"/>
      <w:bookmarkEnd w:id="31"/>
      <w:bookmarkEnd w:id="32"/>
      <w:bookmarkEnd w:id="33"/>
      <w:bookmarkEnd w:id="34"/>
      <w:bookmarkEnd w:id="35"/>
      <w:bookmarkEnd w:id="36"/>
    </w:p>
    <w:p>
      <w:pPr>
        <w:jc w:val="center"/>
        <w:rPr>
          <w:rFonts w:hint="eastAsia" w:ascii="宋体" w:hAnsi="宋体" w:eastAsia="宋体" w:cs="宋体"/>
          <w:b/>
          <w:sz w:val="24"/>
          <w:highlight w:val="none"/>
        </w:rPr>
      </w:pPr>
    </w:p>
    <w:p>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pPr>
        <w:spacing w:line="440" w:lineRule="exact"/>
        <w:rPr>
          <w:rFonts w:hint="eastAsia" w:ascii="宋体" w:hAnsi="宋体" w:eastAsia="宋体" w:cs="宋体"/>
          <w:szCs w:val="21"/>
          <w:highlight w:val="none"/>
        </w:rPr>
      </w:pPr>
    </w:p>
    <w:p>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pPr>
        <w:spacing w:line="440" w:lineRule="exact"/>
        <w:ind w:firstLine="4305" w:firstLineChars="2050"/>
        <w:rPr>
          <w:rFonts w:hint="eastAsia" w:ascii="宋体" w:hAnsi="宋体" w:eastAsia="宋体" w:cs="宋体"/>
          <w:szCs w:val="21"/>
          <w:highlight w:val="none"/>
        </w:rPr>
      </w:pPr>
    </w:p>
    <w:p>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pPr>
        <w:topLinePunct/>
        <w:spacing w:line="440" w:lineRule="exact"/>
        <w:ind w:left="422"/>
        <w:jc w:val="left"/>
        <w:rPr>
          <w:rFonts w:hint="eastAsia" w:ascii="宋体" w:hAnsi="宋体" w:eastAsia="宋体" w:cs="宋体"/>
          <w:highlight w:val="none"/>
        </w:rPr>
      </w:pP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8" w:name="_Toc3806"/>
      <w:bookmarkStart w:id="39" w:name="_Toc8603"/>
      <w:bookmarkStart w:id="40" w:name="_Toc1651900"/>
      <w:bookmarkStart w:id="41" w:name="_Toc27262"/>
      <w:bookmarkStart w:id="42" w:name="_Toc56432235"/>
      <w:bookmarkStart w:id="43" w:name="_Toc68688805"/>
      <w:bookmarkStart w:id="44" w:name="_Toc475472675"/>
      <w:bookmarkStart w:id="45" w:name="_Toc438052122"/>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8"/>
      <w:bookmarkEnd w:id="39"/>
      <w:bookmarkEnd w:id="40"/>
      <w:bookmarkEnd w:id="41"/>
      <w:bookmarkEnd w:id="42"/>
      <w:bookmarkEnd w:id="43"/>
      <w:bookmarkEnd w:id="44"/>
      <w:bookmarkEnd w:id="45"/>
    </w:p>
    <w:p>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pPr>
        <w:jc w:val="center"/>
        <w:rPr>
          <w:rFonts w:hint="eastAsia" w:ascii="宋体" w:hAnsi="宋体" w:eastAsia="宋体" w:cs="宋体"/>
          <w:b/>
          <w:sz w:val="24"/>
          <w:highlight w:val="none"/>
        </w:rPr>
      </w:pP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pPr>
        <w:pStyle w:val="6"/>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pPr>
        <w:pStyle w:val="6"/>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pPr>
        <w:pStyle w:val="6"/>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委托代理人身份证正面复印件贴于此处</w:t>
                      </w:r>
                    </w:p>
                    <w:p>
                      <w:pPr>
                        <w:jc w:val="center"/>
                        <w:rPr>
                          <w:szCs w:val="21"/>
                        </w:rPr>
                      </w:pPr>
                    </w:p>
                  </w:txbxContent>
                </v:textbox>
              </v:shape>
            </w:pict>
          </mc:Fallback>
        </mc:AlternateContent>
      </w:r>
    </w:p>
    <w:p>
      <w:pPr>
        <w:spacing w:line="44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topLinePunct/>
        <w:snapToGrid w:val="0"/>
        <w:spacing w:line="440" w:lineRule="exact"/>
        <w:rPr>
          <w:rFonts w:hint="eastAsia" w:ascii="宋体" w:hAnsi="宋体" w:eastAsia="宋体" w:cs="宋体"/>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widowControl/>
        <w:jc w:val="left"/>
        <w:rPr>
          <w:rFonts w:hint="eastAsia" w:ascii="宋体" w:hAnsi="宋体" w:eastAsia="宋体" w:cs="宋体"/>
          <w:b/>
          <w:bCs/>
          <w:sz w:val="32"/>
          <w:szCs w:val="32"/>
          <w:highlight w:val="none"/>
        </w:rPr>
      </w:pP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6" w:name="_Toc8223"/>
      <w:bookmarkStart w:id="47" w:name="_Toc18794"/>
      <w:r>
        <w:rPr>
          <w:rFonts w:hint="eastAsia" w:ascii="宋体" w:hAnsi="宋体" w:eastAsia="宋体" w:cs="宋体"/>
          <w:highlight w:val="none"/>
        </w:rPr>
        <w:t>供应商基本情况</w:t>
      </w:r>
      <w:bookmarkEnd w:id="37"/>
      <w:bookmarkEnd w:id="46"/>
      <w:bookmarkEnd w:id="47"/>
      <w:r>
        <w:rPr>
          <w:rFonts w:hint="eastAsia" w:ascii="宋体" w:hAnsi="宋体" w:eastAsia="宋体" w:cs="宋体"/>
          <w:highlight w:val="none"/>
          <w:lang w:val="en-US" w:eastAsia="zh-CN"/>
        </w:rPr>
        <w:t>和资质证明材料</w:t>
      </w:r>
    </w:p>
    <w:p>
      <w:pPr>
        <w:keepNext w:val="0"/>
        <w:keepLines w:val="0"/>
        <w:pageBreakBefore w:val="0"/>
        <w:widowControl/>
        <w:kinsoku/>
        <w:wordWrap/>
        <w:overflowPunct/>
        <w:topLinePunct w:val="0"/>
        <w:autoSpaceDE/>
        <w:autoSpaceDN/>
        <w:bidi w:val="0"/>
        <w:adjustRightInd/>
        <w:snapToGrid w:val="0"/>
        <w:spacing w:line="400" w:lineRule="exact"/>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color w:val="333333"/>
          <w:sz w:val="24"/>
          <w:szCs w:val="24"/>
          <w:highlight w:val="none"/>
        </w:rPr>
        <w:t>4.1</w:t>
      </w:r>
      <w:r>
        <w:rPr>
          <w:rFonts w:hint="eastAsia" w:ascii="仿宋" w:hAnsi="仿宋" w:eastAsia="仿宋" w:cs="仿宋"/>
          <w:color w:val="333333"/>
          <w:sz w:val="24"/>
          <w:szCs w:val="24"/>
          <w:highlight w:val="none"/>
          <w:lang w:val="en-US" w:eastAsia="zh-CN"/>
        </w:rPr>
        <w:t>供应商须为</w:t>
      </w:r>
      <w:r>
        <w:rPr>
          <w:rFonts w:hint="eastAsia" w:ascii="仿宋" w:hAnsi="仿宋" w:eastAsia="仿宋" w:cs="仿宋"/>
          <w:color w:val="333333"/>
          <w:sz w:val="24"/>
          <w:szCs w:val="24"/>
          <w:highlight w:val="none"/>
        </w:rPr>
        <w:t>中华人民共和国境内注册的具有独立承担民事责任能力的法人</w:t>
      </w:r>
      <w:r>
        <w:rPr>
          <w:rFonts w:hint="eastAsia" w:ascii="仿宋" w:hAnsi="仿宋" w:eastAsia="仿宋" w:cs="仿宋"/>
          <w:color w:val="333333"/>
          <w:sz w:val="24"/>
          <w:szCs w:val="24"/>
          <w:highlight w:val="none"/>
          <w:lang w:val="en-US" w:eastAsia="zh-CN"/>
        </w:rPr>
        <w:t>或其他组织</w:t>
      </w:r>
      <w:r>
        <w:rPr>
          <w:rFonts w:hint="eastAsia" w:ascii="仿宋" w:hAnsi="仿宋" w:eastAsia="仿宋" w:cs="仿宋"/>
          <w:color w:val="333333"/>
          <w:sz w:val="24"/>
          <w:szCs w:val="24"/>
          <w:highlight w:val="none"/>
        </w:rPr>
        <w:t>，提供营业执照或</w:t>
      </w:r>
      <w:r>
        <w:rPr>
          <w:rFonts w:hint="eastAsia" w:ascii="仿宋" w:hAnsi="仿宋" w:eastAsia="仿宋" w:cs="仿宋"/>
          <w:color w:val="333333"/>
          <w:sz w:val="24"/>
          <w:szCs w:val="24"/>
          <w:highlight w:val="none"/>
          <w:lang w:val="en-US" w:eastAsia="zh-CN"/>
        </w:rPr>
        <w:t>事业</w:t>
      </w:r>
      <w:r>
        <w:rPr>
          <w:rFonts w:hint="eastAsia" w:ascii="仿宋" w:hAnsi="仿宋" w:eastAsia="仿宋" w:cs="仿宋"/>
          <w:color w:val="333333"/>
          <w:sz w:val="24"/>
          <w:szCs w:val="24"/>
          <w:highlight w:val="none"/>
        </w:rPr>
        <w:t>法人</w:t>
      </w:r>
      <w:r>
        <w:rPr>
          <w:rFonts w:hint="eastAsia" w:ascii="仿宋" w:hAnsi="仿宋" w:eastAsia="仿宋" w:cs="仿宋"/>
          <w:color w:val="333333"/>
          <w:sz w:val="24"/>
          <w:szCs w:val="24"/>
          <w:highlight w:val="none"/>
          <w:lang w:val="en-US" w:eastAsia="zh-CN"/>
        </w:rPr>
        <w:t>登记</w:t>
      </w:r>
      <w:r>
        <w:rPr>
          <w:rFonts w:hint="eastAsia" w:ascii="仿宋" w:hAnsi="仿宋" w:eastAsia="仿宋" w:cs="仿宋"/>
          <w:color w:val="333333"/>
          <w:sz w:val="24"/>
          <w:szCs w:val="24"/>
          <w:highlight w:val="none"/>
        </w:rPr>
        <w:t>证书</w:t>
      </w:r>
      <w:r>
        <w:rPr>
          <w:rFonts w:hint="eastAsia" w:ascii="仿宋" w:hAnsi="仿宋" w:eastAsia="仿宋" w:cs="仿宋"/>
          <w:color w:val="333333"/>
          <w:sz w:val="24"/>
          <w:szCs w:val="24"/>
          <w:highlight w:val="none"/>
          <w:lang w:val="en-US" w:eastAsia="zh-CN"/>
        </w:rPr>
        <w:t>复印件（分公司投标须得到总公司授权，同时提供总公司营业执照及盖章授权函）</w:t>
      </w:r>
      <w:r>
        <w:rPr>
          <w:rFonts w:hint="eastAsia" w:ascii="仿宋" w:hAnsi="仿宋" w:eastAsia="仿宋" w:cs="仿宋"/>
          <w:sz w:val="24"/>
          <w:szCs w:val="24"/>
          <w:highlight w:val="none"/>
        </w:rPr>
        <w:t>；</w:t>
      </w:r>
    </w:p>
    <w:p>
      <w:pPr>
        <w:keepNext w:val="0"/>
        <w:keepLines w:val="0"/>
        <w:pageBreakBefore w:val="0"/>
        <w:widowControl/>
        <w:kinsoku/>
        <w:wordWrap/>
        <w:overflowPunct/>
        <w:topLinePunct w:val="0"/>
        <w:autoSpaceDE/>
        <w:autoSpaceDN/>
        <w:bidi w:val="0"/>
        <w:adjustRightInd/>
        <w:snapToGrid w:val="0"/>
        <w:spacing w:line="400" w:lineRule="exact"/>
        <w:ind w:left="0"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color w:val="333333"/>
          <w:sz w:val="24"/>
          <w:szCs w:val="24"/>
          <w:highlight w:val="none"/>
        </w:rPr>
        <w:t>4.</w:t>
      </w:r>
      <w:r>
        <w:rPr>
          <w:rFonts w:hint="eastAsia" w:ascii="仿宋" w:hAnsi="仿宋" w:eastAsia="仿宋" w:cs="仿宋"/>
          <w:color w:val="333333"/>
          <w:sz w:val="24"/>
          <w:szCs w:val="24"/>
          <w:highlight w:val="none"/>
          <w:lang w:val="en-US" w:eastAsia="zh-CN"/>
        </w:rPr>
        <w:t>2</w:t>
      </w:r>
      <w:bookmarkStart w:id="48" w:name="_Toc476321847"/>
      <w:r>
        <w:rPr>
          <w:rFonts w:hint="eastAsia" w:ascii="仿宋" w:hAnsi="仿宋" w:eastAsia="仿宋" w:cs="仿宋"/>
          <w:color w:val="333333"/>
          <w:sz w:val="24"/>
          <w:szCs w:val="24"/>
          <w:highlight w:val="none"/>
          <w:lang w:val="en-US" w:eastAsia="zh-CN"/>
        </w:rPr>
        <w:t>供应商</w:t>
      </w:r>
      <w:r>
        <w:rPr>
          <w:rFonts w:hint="eastAsia" w:ascii="仿宋" w:hAnsi="仿宋" w:eastAsia="仿宋" w:cs="仿宋"/>
          <w:sz w:val="24"/>
          <w:szCs w:val="24"/>
          <w:highlight w:val="none"/>
        </w:rPr>
        <w:t>控股及管理关系情况申报表</w:t>
      </w:r>
      <w:bookmarkEnd w:id="48"/>
      <w:r>
        <w:rPr>
          <w:rFonts w:hint="eastAsia" w:ascii="仿宋" w:hAnsi="仿宋" w:eastAsia="仿宋" w:cs="仿宋"/>
          <w:sz w:val="24"/>
          <w:szCs w:val="24"/>
          <w:highlight w:val="none"/>
          <w:lang w:eastAsia="zh-CN"/>
        </w:rPr>
        <w:t>；</w:t>
      </w:r>
    </w:p>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仿宋" w:hAnsi="仿宋" w:eastAsia="仿宋" w:cs="仿宋"/>
          <w:b/>
          <w:bCs/>
          <w:color w:val="auto"/>
          <w:sz w:val="24"/>
          <w:szCs w:val="24"/>
          <w:highlight w:val="none"/>
          <w:lang w:val="en-US" w:eastAsia="zh-CN"/>
        </w:rPr>
        <w:t>需要提供近期的信用中国查询报告</w:t>
      </w:r>
      <w:r>
        <w:rPr>
          <w:rFonts w:hint="eastAsia" w:ascii="仿宋" w:hAnsi="仿宋" w:eastAsia="仿宋" w:cs="仿宋"/>
          <w:sz w:val="24"/>
          <w:szCs w:val="24"/>
          <w:highlight w:val="none"/>
          <w:lang w:val="en-US" w:eastAsia="zh-CN"/>
        </w:rPr>
        <w:t>）</w:t>
      </w:r>
    </w:p>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4.4</w:t>
      </w:r>
      <w:r>
        <w:rPr>
          <w:rFonts w:hint="eastAsia" w:ascii="仿宋" w:hAnsi="仿宋" w:eastAsia="仿宋" w:cs="仿宋"/>
          <w:b/>
          <w:bCs/>
          <w:sz w:val="24"/>
          <w:szCs w:val="24"/>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4.5</w:t>
      </w:r>
      <w:r>
        <w:rPr>
          <w:rFonts w:hint="eastAsia" w:ascii="仿宋" w:hAnsi="仿宋" w:eastAsia="仿宋" w:cs="仿宋"/>
          <w:b/>
          <w:bCs/>
          <w:sz w:val="24"/>
          <w:szCs w:val="24"/>
          <w:highlight w:val="none"/>
          <w:lang w:val="en-US" w:eastAsia="zh-CN"/>
        </w:rPr>
        <w:t>本采购项目需求中要求的资质证明材料或者评审办法中要求的资质证明文件复印机等。</w:t>
      </w:r>
    </w:p>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4.6其他需要提供的证明材料等（如有）。</w:t>
      </w: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eastAsia" w:ascii="宋体" w:hAnsi="宋体" w:cs="宋体"/>
          <w:highlight w:val="none"/>
          <w:lang w:val="en-US" w:eastAsia="zh-CN"/>
        </w:rPr>
      </w:pPr>
    </w:p>
    <w:p>
      <w:pPr>
        <w:pStyle w:val="16"/>
        <w:rPr>
          <w:rFonts w:hint="default" w:ascii="宋体" w:hAnsi="宋体" w:cs="宋体"/>
          <w:highlight w:val="none"/>
          <w:lang w:val="en-US" w:eastAsia="zh-CN"/>
        </w:rPr>
      </w:pPr>
    </w:p>
    <w:p>
      <w:pPr>
        <w:pStyle w:val="26"/>
        <w:spacing w:line="360" w:lineRule="auto"/>
        <w:ind w:left="108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w:t>
      </w:r>
      <w:r>
        <w:rPr>
          <w:rFonts w:hint="eastAsia" w:ascii="宋体" w:hAnsi="宋体" w:cs="宋体"/>
          <w:b/>
          <w:szCs w:val="21"/>
          <w:highlight w:val="none"/>
          <w:lang w:val="en-US" w:eastAsia="zh-CN"/>
        </w:rPr>
        <w:t>和</w:t>
      </w:r>
      <w:r>
        <w:rPr>
          <w:rFonts w:hint="eastAsia" w:ascii="宋体" w:hAnsi="宋体" w:eastAsia="宋体" w:cs="宋体"/>
          <w:b/>
          <w:szCs w:val="21"/>
          <w:highlight w:val="none"/>
        </w:rPr>
        <w:t>管理关系</w:t>
      </w:r>
      <w:r>
        <w:rPr>
          <w:rFonts w:hint="eastAsia" w:ascii="宋体" w:hAnsi="宋体" w:cs="宋体"/>
          <w:b/>
          <w:szCs w:val="21"/>
          <w:highlight w:val="none"/>
          <w:lang w:val="en-US" w:eastAsia="zh-CN"/>
        </w:rPr>
        <w:t>及基本</w:t>
      </w:r>
      <w:r>
        <w:rPr>
          <w:rFonts w:hint="eastAsia" w:ascii="宋体" w:hAnsi="宋体" w:eastAsia="宋体" w:cs="宋体"/>
          <w:b/>
          <w:szCs w:val="21"/>
          <w:highlight w:val="none"/>
        </w:rPr>
        <w:t>情况申报表</w:t>
      </w:r>
    </w:p>
    <w:p>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17"/>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szCs w:val="21"/>
                <w:highlight w:val="none"/>
              </w:rPr>
            </w:pP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szCs w:val="21"/>
                <w:highlight w:val="none"/>
              </w:rPr>
            </w:pP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pPr>
        <w:pStyle w:val="26"/>
        <w:widowControl/>
        <w:numPr>
          <w:ilvl w:val="0"/>
          <w:numId w:val="7"/>
        </w:numPr>
        <w:snapToGrid w:val="0"/>
        <w:spacing w:line="360" w:lineRule="auto"/>
        <w:ind w:firstLineChars="0"/>
        <w:jc w:val="left"/>
        <w:rPr>
          <w:rFonts w:hint="eastAsia" w:ascii="宋体" w:hAnsi="宋体" w:eastAsia="宋体" w:cs="宋体"/>
          <w:highlight w:val="none"/>
        </w:rPr>
      </w:pPr>
      <w:r>
        <w:rPr>
          <w:rFonts w:hint="eastAsia" w:ascii="宋体" w:hAnsi="宋体" w:eastAsia="宋体" w:cs="宋体"/>
          <w:highlight w:val="none"/>
        </w:rPr>
        <w:br w:type="page"/>
      </w:r>
      <w:bookmarkStart w:id="49" w:name="_Toc13174"/>
      <w:bookmarkStart w:id="50" w:name="_Toc12072"/>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49"/>
      <w:bookmarkEnd w:id="50"/>
    </w:p>
    <w:p>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pPr>
              <w:spacing w:after="120" w:line="360" w:lineRule="atLeast"/>
              <w:ind w:left="851" w:hanging="851"/>
              <w:jc w:val="center"/>
              <w:rPr>
                <w:rFonts w:hint="eastAsia" w:ascii="宋体" w:hAnsi="宋体" w:eastAsia="宋体" w:cs="宋体"/>
                <w:szCs w:val="21"/>
                <w:highlight w:val="none"/>
              </w:rPr>
            </w:pPr>
          </w:p>
        </w:tc>
      </w:tr>
    </w:tbl>
    <w:p>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1" w:name="_Toc10360"/>
      <w:bookmarkStart w:id="52" w:name="_Toc11834"/>
      <w:bookmarkStart w:id="53" w:name="_Toc476321849"/>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51"/>
      <w:bookmarkEnd w:id="52"/>
      <w:bookmarkEnd w:id="53"/>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bl>
    <w:p>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4" w:name="_Toc3792"/>
      <w:bookmarkStart w:id="55" w:name="_Toc26958"/>
      <w:bookmarkStart w:id="56" w:name="_Toc476321850"/>
      <w:r>
        <w:rPr>
          <w:rFonts w:hint="eastAsia" w:ascii="宋体" w:hAnsi="宋体" w:eastAsia="宋体" w:cs="宋体"/>
          <w:highlight w:val="none"/>
        </w:rPr>
        <w:t>项目负责人及成员组成情况表</w:t>
      </w:r>
      <w:bookmarkEnd w:id="54"/>
      <w:bookmarkEnd w:id="55"/>
      <w:bookmarkEnd w:id="56"/>
    </w:p>
    <w:p>
      <w:pPr>
        <w:pStyle w:val="26"/>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pPr>
        <w:pStyle w:val="26"/>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both"/>
              <w:rPr>
                <w:rFonts w:hint="eastAsia" w:ascii="宋体" w:hAnsi="宋体" w:eastAsia="宋体" w:cs="宋体"/>
                <w:szCs w:val="21"/>
                <w:highlight w:val="none"/>
              </w:rPr>
            </w:pP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bl>
    <w:p>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7" w:name="_Toc18330"/>
      <w:bookmarkStart w:id="58" w:name="_Toc104"/>
      <w:bookmarkStart w:id="59" w:name="_Toc15928"/>
      <w:bookmarkStart w:id="60" w:name="_Toc68688822"/>
      <w:bookmarkStart w:id="61" w:name="_Toc1651923"/>
      <w:bookmarkStart w:id="62" w:name="_Toc56432254"/>
      <w:r>
        <w:rPr>
          <w:rFonts w:hint="eastAsia" w:ascii="宋体" w:hAnsi="宋体" w:eastAsia="宋体" w:cs="宋体"/>
          <w:highlight w:val="none"/>
        </w:rPr>
        <w:t>本项目的实施方案</w:t>
      </w:r>
      <w:bookmarkEnd w:id="57"/>
      <w:bookmarkEnd w:id="58"/>
    </w:p>
    <w:p>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1、对项目服务要求的理解。</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2、项目服务要求的具体解决方案，</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3、执行保障方案。供应商需合理安排物料制作、人员、时间计划、线上线下执行维护，制定调整优化与应急保障预案并做出相应的服务承诺，确保做好各项准备工作，及时完成采购文件中所规定的各项任务；需至少安排1名项目负责人，根据采购方要求统筹开展项目管理。</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4、项目实施进度计划；</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5、服务质量保证措施；</w:t>
      </w:r>
    </w:p>
    <w:p>
      <w:pPr>
        <w:widowControl/>
        <w:numPr>
          <w:ilvl w:val="0"/>
          <w:numId w:val="0"/>
        </w:numPr>
        <w:jc w:val="left"/>
        <w:rPr>
          <w:rFonts w:hint="eastAsia" w:ascii="宋体" w:hAnsi="宋体" w:eastAsia="宋体" w:cs="宋体"/>
          <w:b/>
          <w:bCs/>
          <w:sz w:val="32"/>
          <w:szCs w:val="32"/>
          <w:highlight w:val="none"/>
        </w:rPr>
      </w:pPr>
      <w:r>
        <w:rPr>
          <w:rFonts w:hint="eastAsia" w:ascii="宋体" w:hAnsi="宋体" w:cs="宋体"/>
          <w:kern w:val="2"/>
          <w:sz w:val="21"/>
          <w:szCs w:val="24"/>
          <w:lang w:val="en-US" w:eastAsia="zh-CN" w:bidi="ar-SA"/>
        </w:rPr>
        <w:t>6、项目服务团队及技术资质。</w:t>
      </w:r>
      <w:r>
        <w:rPr>
          <w:rFonts w:hint="eastAsia" w:ascii="宋体" w:hAnsi="宋体" w:eastAsia="宋体" w:cs="宋体"/>
          <w:highlight w:val="none"/>
        </w:rPr>
        <w:br w:type="page"/>
      </w:r>
    </w:p>
    <w:p>
      <w:pPr>
        <w:pStyle w:val="5"/>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63" w:name="_Toc17083"/>
      <w:bookmarkStart w:id="64"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9"/>
      <w:bookmarkEnd w:id="60"/>
      <w:bookmarkEnd w:id="61"/>
      <w:bookmarkEnd w:id="62"/>
      <w:bookmarkEnd w:id="63"/>
      <w:r>
        <w:rPr>
          <w:rFonts w:hint="eastAsia" w:ascii="宋体" w:hAnsi="宋体" w:eastAsia="宋体" w:cs="宋体"/>
          <w:highlight w:val="none"/>
        </w:rPr>
        <w:t>函</w:t>
      </w:r>
      <w:bookmarkEnd w:id="64"/>
    </w:p>
    <w:p>
      <w:pPr>
        <w:spacing w:line="360" w:lineRule="auto"/>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品牌发布推介活动现场执行搭建服务项目</w:t>
      </w:r>
    </w:p>
    <w:p>
      <w:pPr>
        <w:spacing w:line="360" w:lineRule="auto"/>
        <w:jc w:val="center"/>
        <w:rPr>
          <w:rFonts w:hint="eastAsia" w:ascii="仿宋_GB2312" w:hAnsi="仿宋_GB2312" w:eastAsia="仿宋_GB2312" w:cs="仿宋_GB2312"/>
          <w:b w:val="0"/>
          <w:bCs/>
          <w:sz w:val="28"/>
          <w:szCs w:val="28"/>
        </w:rPr>
      </w:pPr>
      <w:r>
        <w:rPr>
          <w:rFonts w:hint="eastAsia" w:ascii="方正小标宋简体" w:hAnsi="方正小标宋简体" w:eastAsia="方正小标宋简体" w:cs="方正小标宋简体"/>
          <w:b w:val="0"/>
          <w:bCs/>
          <w:sz w:val="32"/>
          <w:szCs w:val="32"/>
          <w:lang w:eastAsia="zh-CN"/>
        </w:rPr>
        <w:t>响应</w:t>
      </w:r>
      <w:r>
        <w:rPr>
          <w:rFonts w:hint="eastAsia" w:ascii="方正小标宋简体" w:hAnsi="方正小标宋简体" w:eastAsia="方正小标宋简体" w:cs="方正小标宋简体"/>
          <w:b w:val="0"/>
          <w:bCs/>
          <w:sz w:val="32"/>
          <w:szCs w:val="32"/>
        </w:rPr>
        <w:t>报价</w:t>
      </w:r>
      <w:r>
        <w:rPr>
          <w:rFonts w:hint="eastAsia" w:ascii="方正小标宋简体" w:hAnsi="方正小标宋简体" w:eastAsia="方正小标宋简体" w:cs="方正小标宋简体"/>
          <w:b w:val="0"/>
          <w:bCs/>
          <w:sz w:val="32"/>
          <w:szCs w:val="32"/>
          <w:lang w:eastAsia="zh-CN"/>
        </w:rPr>
        <w:t>函（</w:t>
      </w:r>
      <w:r>
        <w:rPr>
          <w:rFonts w:hint="eastAsia" w:ascii="方正小标宋简体" w:hAnsi="方正小标宋简体" w:eastAsia="方正小标宋简体" w:cs="方正小标宋简体"/>
          <w:b w:val="0"/>
          <w:bCs/>
          <w:sz w:val="32"/>
          <w:szCs w:val="32"/>
          <w:lang w:val="en-US" w:eastAsia="zh-CN"/>
        </w:rPr>
        <w:t>服务类</w:t>
      </w:r>
      <w:r>
        <w:rPr>
          <w:rFonts w:hint="eastAsia" w:ascii="方正小标宋简体" w:hAnsi="方正小标宋简体" w:eastAsia="方正小标宋简体" w:cs="方正小标宋简体"/>
          <w:b w:val="0"/>
          <w:bCs/>
          <w:sz w:val="32"/>
          <w:szCs w:val="32"/>
          <w:lang w:eastAsia="zh-CN"/>
        </w:rPr>
        <w:t>）</w:t>
      </w:r>
    </w:p>
    <w:p>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广东南方网络信息科技有限公司</w:t>
      </w:r>
      <w:r>
        <w:rPr>
          <w:rFonts w:hint="eastAsia" w:ascii="宋体" w:hAnsi="宋体" w:eastAsia="宋体" w:cs="宋体"/>
          <w:b/>
          <w:sz w:val="21"/>
          <w:szCs w:val="21"/>
        </w:rPr>
        <w:t>：</w:t>
      </w:r>
    </w:p>
    <w:p>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 xml:space="preserve"> 品牌发布推介活动现场执行搭建服务项目</w:t>
      </w:r>
      <w:r>
        <w:rPr>
          <w:rFonts w:hint="eastAsia" w:ascii="宋体" w:hAnsi="宋体" w:eastAsia="宋体" w:cs="宋体"/>
          <w:sz w:val="21"/>
          <w:szCs w:val="21"/>
          <w:highlight w:val="none"/>
          <w:u w:val="single"/>
          <w:lang w:eastAsia="zh-CN"/>
        </w:rPr>
        <w:t>（</w:t>
      </w:r>
      <w:r>
        <w:rPr>
          <w:rFonts w:hint="eastAsia" w:ascii="宋体" w:hAnsi="宋体" w:eastAsia="宋体" w:cs="宋体"/>
          <w:b w:val="0"/>
          <w:bCs/>
          <w:sz w:val="21"/>
          <w:szCs w:val="21"/>
          <w:highlight w:val="none"/>
          <w:u w:val="single"/>
        </w:rPr>
        <w:t>项目编号：NFWJYCG2026031</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7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根据项目实际情况，供应商需要负责品牌发布推介活动现场执行搭建服务，主要包括：项目设计策划、舞台搭建及视听设备租赁、物料制作及现场执行人员等。活动举办地：新疆喀什。服务期限：2026年10月前完成。</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（一）项目设计策划</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设计策划及相关执行工作，具体包括平面设计/视觉设计、场地3D渲染效果图、活动策划执行等。</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（二）舞台搭建及视听设备租赁</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视听设备租赁主要包括灯光、音响及LED屏幕，含运输搭建撤场等服务。</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（三）物料制作</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物料制作主要包括所有线下活动的物料制作及搭建，会务制作及文创制作。具体包括数码直印/数码快印、桁架+户外550黑底灯布、户外大型活动帐篷（含篷布）等；会务制作包括：工作证件、停车证、主持人手卡；文创制作包括：定制手提袋、宣传手册、定制文创产品。数量500份。含运输搭建撤场等服务。</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（四）现场执行人员及其他</w:t>
            </w:r>
          </w:p>
          <w:p>
            <w:pPr>
              <w:widowControl/>
              <w:jc w:val="both"/>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color w:val="000000"/>
                <w:kern w:val="0"/>
                <w:sz w:val="21"/>
                <w:szCs w:val="21"/>
                <w:lang w:bidi="ar"/>
              </w:rPr>
              <w:t>主要包括摄影师、摄像师、活动花絮后期制作、</w:t>
            </w:r>
            <w:r>
              <w:rPr>
                <w:rFonts w:hint="eastAsia" w:ascii="宋体" w:hAnsi="宋体" w:cs="宋体"/>
                <w:b w:val="0"/>
                <w:bCs w:val="0"/>
                <w:color w:val="000000"/>
                <w:kern w:val="0"/>
                <w:sz w:val="21"/>
                <w:szCs w:val="21"/>
                <w:lang w:val="en-US" w:eastAsia="zh-CN" w:bidi="ar"/>
              </w:rPr>
              <w:t>主持人</w:t>
            </w:r>
            <w:r>
              <w:rPr>
                <w:rFonts w:hint="eastAsia" w:ascii="宋体" w:hAnsi="宋体" w:eastAsia="宋体" w:cs="宋体"/>
                <w:b w:val="0"/>
                <w:bCs w:val="0"/>
                <w:color w:val="000000"/>
                <w:kern w:val="0"/>
                <w:sz w:val="21"/>
                <w:szCs w:val="21"/>
                <w:lang w:bidi="ar"/>
              </w:rPr>
              <w:t>、工作人员（暂定4天，具体日期以活动实际需求为准）；旅游大巴含司机5辆（暂定4天，具体日期以活动实际需求为准）；民族舞蹈表演（暂定1天，具体日期以活动实际需求为准）；以上含人员保险。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sz w:val="21"/>
                <w:szCs w:val="21"/>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pStyle w:val="16"/>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313" w:beforeLines="100" w:line="400" w:lineRule="exact"/>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pPr>
              <w:keepNext w:val="0"/>
              <w:keepLines w:val="0"/>
              <w:pageBreakBefore w:val="0"/>
              <w:kinsoku/>
              <w:wordWrap/>
              <w:overflowPunct/>
              <w:topLinePunct w:val="0"/>
              <w:autoSpaceDE/>
              <w:autoSpaceDN/>
              <w:bidi w:val="0"/>
              <w:adjustRightInd w:val="0"/>
              <w:snapToGrid w:val="0"/>
              <w:spacing w:before="157" w:beforeLines="50" w:line="400" w:lineRule="exact"/>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pPr>
              <w:keepNext w:val="0"/>
              <w:keepLines w:val="0"/>
              <w:pageBreakBefore w:val="0"/>
              <w:kinsoku/>
              <w:wordWrap/>
              <w:overflowPunct/>
              <w:topLinePunct w:val="0"/>
              <w:autoSpaceDE/>
              <w:autoSpaceDN/>
              <w:bidi w:val="0"/>
              <w:adjustRightInd w:val="0"/>
              <w:snapToGrid w:val="0"/>
              <w:spacing w:before="157" w:beforeLines="50" w:line="400" w:lineRule="exact"/>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bookmarkStart w:id="65" w:name="_GoBack"/>
            <w:bookmarkEnd w:id="65"/>
          </w:p>
          <w:p>
            <w:pPr>
              <w:keepNext w:val="0"/>
              <w:keepLines w:val="0"/>
              <w:pageBreakBefore w:val="0"/>
              <w:widowControl/>
              <w:kinsoku/>
              <w:wordWrap/>
              <w:overflowPunct/>
              <w:topLinePunct w:val="0"/>
              <w:autoSpaceDE/>
              <w:autoSpaceDN/>
              <w:bidi w:val="0"/>
              <w:adjustRightInd w:val="0"/>
              <w:spacing w:before="157" w:beforeLines="50" w:line="400" w:lineRule="exact"/>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bookmarkEnd w:id="0"/>
      <w:bookmarkEnd w:id="1"/>
      <w:bookmarkEnd w:id="2"/>
      <w:bookmarkEnd w:id="3"/>
    </w:tbl>
    <w:p>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仿宋" w:hAnsi="仿宋" w:eastAsia="仿宋" w:cs="仿宋"/>
          <w:b w:val="0"/>
          <w:bCs/>
          <w:sz w:val="20"/>
          <w:szCs w:val="20"/>
          <w:lang w:val="en-US" w:eastAsia="zh-CN"/>
        </w:rPr>
      </w:pPr>
    </w:p>
    <w:sectPr>
      <w:footerReference r:id="rId3" w:type="default"/>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99C802-16F8-4BD7-9ED8-43489392DA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7CD69FB-8BAC-4C3A-B55D-C8251F77203D}"/>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7518E7EE-CB05-4DF0-8814-1620899DB62D}"/>
  </w:font>
  <w:font w:name="仿宋">
    <w:panose1 w:val="02010609060101010101"/>
    <w:charset w:val="86"/>
    <w:family w:val="modern"/>
    <w:pitch w:val="default"/>
    <w:sig w:usb0="800002BF" w:usb1="38CF7CFA" w:usb2="00000016" w:usb3="00000000" w:csb0="00040001" w:csb1="00000000"/>
    <w:embedRegular r:id="rId4" w:fontKey="{94322018-42C8-44E3-A477-3A39BBC6F177}"/>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CAC69B"/>
    <w:multiLevelType w:val="singleLevel"/>
    <w:tmpl w:val="B2CAC69B"/>
    <w:lvl w:ilvl="0" w:tentative="0">
      <w:start w:val="1"/>
      <w:numFmt w:val="decimal"/>
      <w:suff w:val="nothing"/>
      <w:lvlText w:val="%1．"/>
      <w:lvlJc w:val="left"/>
      <w:pPr>
        <w:ind w:left="0" w:firstLine="400"/>
      </w:pPr>
      <w:rPr>
        <w:rFonts w:hint="default"/>
      </w:rPr>
    </w:lvl>
  </w:abstractNum>
  <w:abstractNum w:abstractNumId="1">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EC89450"/>
    <w:multiLevelType w:val="singleLevel"/>
    <w:tmpl w:val="7EC89450"/>
    <w:lvl w:ilvl="0" w:tentative="0">
      <w:start w:val="1"/>
      <w:numFmt w:val="decimal"/>
      <w:suff w:val="nothing"/>
      <w:lvlText w:val="（%1）"/>
      <w:lvlJc w:val="left"/>
    </w:lvl>
  </w:abstractNum>
  <w:num w:numId="1">
    <w:abstractNumId w:val="3"/>
  </w:num>
  <w:num w:numId="2">
    <w:abstractNumId w:val="6"/>
  </w:num>
  <w:num w:numId="3">
    <w:abstractNumId w:val="4"/>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Yzg3OTU2ZDBiNmU1ZjMxOTY1NzAxY2EwZWU5OWIifQ=="/>
  </w:docVars>
  <w:rsids>
    <w:rsidRoot w:val="644E7E4F"/>
    <w:rsid w:val="021E53CE"/>
    <w:rsid w:val="0271606F"/>
    <w:rsid w:val="030B53D7"/>
    <w:rsid w:val="06756EC1"/>
    <w:rsid w:val="06B239F1"/>
    <w:rsid w:val="06B62D09"/>
    <w:rsid w:val="071D47D0"/>
    <w:rsid w:val="07BB0261"/>
    <w:rsid w:val="07E146F4"/>
    <w:rsid w:val="08FA104A"/>
    <w:rsid w:val="0D521B8F"/>
    <w:rsid w:val="0E122ED0"/>
    <w:rsid w:val="0E960F7B"/>
    <w:rsid w:val="0FB40797"/>
    <w:rsid w:val="10C24F8A"/>
    <w:rsid w:val="11647022"/>
    <w:rsid w:val="13605ECB"/>
    <w:rsid w:val="13BE7CAD"/>
    <w:rsid w:val="15ED5822"/>
    <w:rsid w:val="15F4640E"/>
    <w:rsid w:val="19100A21"/>
    <w:rsid w:val="1A635878"/>
    <w:rsid w:val="1BB40130"/>
    <w:rsid w:val="1C26031D"/>
    <w:rsid w:val="1C2808C9"/>
    <w:rsid w:val="1C4B6079"/>
    <w:rsid w:val="21DC56F0"/>
    <w:rsid w:val="223F33EB"/>
    <w:rsid w:val="239F7A0E"/>
    <w:rsid w:val="25222E80"/>
    <w:rsid w:val="25AC3397"/>
    <w:rsid w:val="26343357"/>
    <w:rsid w:val="29075850"/>
    <w:rsid w:val="2F58700A"/>
    <w:rsid w:val="32F6429E"/>
    <w:rsid w:val="332F3C2D"/>
    <w:rsid w:val="33F407C1"/>
    <w:rsid w:val="343E29FA"/>
    <w:rsid w:val="352D55A0"/>
    <w:rsid w:val="365668F5"/>
    <w:rsid w:val="375C3BA6"/>
    <w:rsid w:val="3A662242"/>
    <w:rsid w:val="3DFE5536"/>
    <w:rsid w:val="3E292C44"/>
    <w:rsid w:val="412C44B5"/>
    <w:rsid w:val="414663BF"/>
    <w:rsid w:val="42144B18"/>
    <w:rsid w:val="43CA3870"/>
    <w:rsid w:val="4409502C"/>
    <w:rsid w:val="440F39C2"/>
    <w:rsid w:val="44AE4D2A"/>
    <w:rsid w:val="45142693"/>
    <w:rsid w:val="463349D0"/>
    <w:rsid w:val="47ED60C3"/>
    <w:rsid w:val="486A35F7"/>
    <w:rsid w:val="4B3314A5"/>
    <w:rsid w:val="4BA644D3"/>
    <w:rsid w:val="4CB95600"/>
    <w:rsid w:val="4D383CE4"/>
    <w:rsid w:val="4D714FF5"/>
    <w:rsid w:val="4D8E3A8B"/>
    <w:rsid w:val="51B632A0"/>
    <w:rsid w:val="538E0F7B"/>
    <w:rsid w:val="539850D6"/>
    <w:rsid w:val="53D47E06"/>
    <w:rsid w:val="543A7A4A"/>
    <w:rsid w:val="553F10D7"/>
    <w:rsid w:val="565F00F8"/>
    <w:rsid w:val="56D12CF4"/>
    <w:rsid w:val="590C6670"/>
    <w:rsid w:val="60041712"/>
    <w:rsid w:val="622148AE"/>
    <w:rsid w:val="623D1B7C"/>
    <w:rsid w:val="644E7E4F"/>
    <w:rsid w:val="6BE538AC"/>
    <w:rsid w:val="6E065A2C"/>
    <w:rsid w:val="71CE7BD2"/>
    <w:rsid w:val="72B17271"/>
    <w:rsid w:val="72D77648"/>
    <w:rsid w:val="74F05FE4"/>
    <w:rsid w:val="7708123E"/>
    <w:rsid w:val="785F3325"/>
    <w:rsid w:val="79BD774B"/>
    <w:rsid w:val="7AE321A8"/>
    <w:rsid w:val="7AE83F01"/>
    <w:rsid w:val="7B184BEC"/>
    <w:rsid w:val="7BD531A4"/>
    <w:rsid w:val="7C41061F"/>
    <w:rsid w:val="7E2F7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9">
    <w:name w:val="Default Paragraph Font"/>
    <w:link w:val="20"/>
    <w:semiHidden/>
    <w:qFormat/>
    <w:uiPriority w:val="0"/>
    <w:rPr>
      <w:rFonts w:ascii="ˎ̥" w:hAnsi="ˎ̥" w:cs="宋体"/>
      <w:color w:val="51585D"/>
      <w:kern w:val="0"/>
      <w:sz w:val="24"/>
      <w:szCs w:val="18"/>
    </w:rPr>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570"/>
    </w:pPr>
    <w:rPr>
      <w:sz w:val="28"/>
    </w:rPr>
  </w:style>
  <w:style w:type="paragraph" w:styleId="6">
    <w:name w:val="Normal Indent"/>
    <w:basedOn w:val="1"/>
    <w:qFormat/>
    <w:uiPriority w:val="0"/>
    <w:pPr>
      <w:ind w:firstLine="420" w:firstLineChars="200"/>
    </w:pPr>
  </w:style>
  <w:style w:type="paragraph" w:styleId="7">
    <w:name w:val="Body Text"/>
    <w:basedOn w:val="1"/>
    <w:qFormat/>
    <w:uiPriority w:val="99"/>
    <w:pPr>
      <w:spacing w:after="120"/>
    </w:pPr>
  </w:style>
  <w:style w:type="paragraph" w:styleId="8">
    <w:name w:val="toc 3"/>
    <w:basedOn w:val="1"/>
    <w:next w:val="1"/>
    <w:unhideWhenUsed/>
    <w:qFormat/>
    <w:uiPriority w:val="39"/>
    <w:pPr>
      <w:ind w:left="420"/>
      <w:jc w:val="left"/>
    </w:pPr>
    <w:rPr>
      <w:sz w:val="24"/>
    </w:rPr>
  </w:style>
  <w:style w:type="paragraph" w:styleId="9">
    <w:name w:val="Plain Text"/>
    <w:basedOn w:val="1"/>
    <w:qFormat/>
    <w:uiPriority w:val="0"/>
    <w:rPr>
      <w:rFonts w:ascii="宋体" w:hAnsi="Courier New" w:eastAsiaTheme="minorEastAsia" w:cstheme="minorBidi"/>
      <w:szCs w:val="22"/>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Body Text Indent 3"/>
    <w:basedOn w:val="1"/>
    <w:qFormat/>
    <w:uiPriority w:val="0"/>
    <w:pPr>
      <w:spacing w:line="240" w:lineRule="exact"/>
      <w:ind w:firstLine="360"/>
    </w:pPr>
  </w:style>
  <w:style w:type="paragraph" w:styleId="14">
    <w:name w:val="toc 2"/>
    <w:basedOn w:val="1"/>
    <w:next w:val="1"/>
    <w:qFormat/>
    <w:uiPriority w:val="39"/>
    <w:pPr>
      <w:tabs>
        <w:tab w:val="left" w:pos="567"/>
        <w:tab w:val="right" w:leader="dot" w:pos="8505"/>
        <w:tab w:val="right" w:leader="dot" w:pos="9628"/>
      </w:tabs>
      <w:spacing w:line="440" w:lineRule="exact"/>
    </w:pPr>
  </w:style>
  <w:style w:type="paragraph" w:styleId="15">
    <w:name w:val="Title"/>
    <w:basedOn w:val="1"/>
    <w:next w:val="1"/>
    <w:qFormat/>
    <w:uiPriority w:val="0"/>
    <w:pPr>
      <w:spacing w:before="120" w:after="60" w:line="440" w:lineRule="exact"/>
      <w:jc w:val="center"/>
    </w:pPr>
    <w:rPr>
      <w:rFonts w:ascii="宋体" w:hAnsi="宋体"/>
      <w:bCs/>
      <w:color w:val="FF0000"/>
    </w:rPr>
  </w:style>
  <w:style w:type="paragraph" w:styleId="16">
    <w:name w:val="Body Text First Indent"/>
    <w:basedOn w:val="7"/>
    <w:qFormat/>
    <w:uiPriority w:val="0"/>
    <w:pPr>
      <w:spacing w:after="120"/>
      <w:ind w:firstLine="420"/>
      <w:jc w:val="both"/>
    </w:pPr>
    <w:rPr>
      <w:sz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Char Char"/>
    <w:basedOn w:val="1"/>
    <w:link w:val="19"/>
    <w:qFormat/>
    <w:uiPriority w:val="0"/>
    <w:pPr>
      <w:widowControl/>
      <w:spacing w:before="100" w:beforeAutospacing="1" w:after="100" w:afterAutospacing="1" w:line="330" w:lineRule="atLeast"/>
      <w:ind w:left="360"/>
      <w:jc w:val="left"/>
    </w:pPr>
    <w:rPr>
      <w:rFonts w:ascii="ˎ̥" w:hAnsi="ˎ̥" w:cs="宋体"/>
      <w:color w:val="51585D"/>
      <w:kern w:val="0"/>
      <w:sz w:val="24"/>
      <w:szCs w:val="18"/>
    </w:rPr>
  </w:style>
  <w:style w:type="character" w:styleId="21">
    <w:name w:val="page number"/>
    <w:basedOn w:val="19"/>
    <w:qFormat/>
    <w:uiPriority w:val="0"/>
  </w:style>
  <w:style w:type="paragraph" w:customStyle="1" w:styleId="22">
    <w:name w:val="_Style 3"/>
    <w:basedOn w:val="1"/>
    <w:qFormat/>
    <w:uiPriority w:val="0"/>
    <w:pPr>
      <w:ind w:firstLine="420" w:firstLineChars="200"/>
    </w:pPr>
    <w:rPr>
      <w:rFonts w:ascii="等线" w:hAnsi="等线" w:eastAsia="等线" w:cs="Times New Roman"/>
      <w:sz w:val="20"/>
    </w:rPr>
  </w:style>
  <w:style w:type="paragraph" w:customStyle="1" w:styleId="23">
    <w:name w:val="Default"/>
    <w:qFormat/>
    <w:uiPriority w:val="0"/>
    <w:pPr>
      <w:widowControl w:val="0"/>
      <w:autoSpaceDE w:val="0"/>
      <w:autoSpaceDN w:val="0"/>
      <w:adjustRightInd w:val="0"/>
    </w:pPr>
    <w:rPr>
      <w:rFonts w:ascii="宋体" w:hAnsi="Calibri" w:eastAsia="宋体" w:cs="宋体"/>
      <w:color w:val="000000"/>
      <w:kern w:val="2"/>
      <w:sz w:val="24"/>
      <w:szCs w:val="24"/>
      <w:lang w:val="en-US" w:eastAsia="zh-CN" w:bidi="ar-SA"/>
    </w:rPr>
  </w:style>
  <w:style w:type="paragraph" w:customStyle="1" w:styleId="24">
    <w:name w:val="List Paragraph1"/>
    <w:basedOn w:val="1"/>
    <w:qFormat/>
    <w:uiPriority w:val="99"/>
    <w:pPr>
      <w:ind w:firstLine="420" w:firstLineChars="200"/>
    </w:pPr>
  </w:style>
  <w:style w:type="paragraph" w:customStyle="1" w:styleId="25">
    <w:name w:val="WPSOffice手动目录 1"/>
    <w:qFormat/>
    <w:uiPriority w:val="0"/>
    <w:pPr>
      <w:ind w:leftChars="0"/>
    </w:pPr>
    <w:rPr>
      <w:rFonts w:asciiTheme="minorHAnsi" w:hAnsiTheme="minorHAnsi" w:eastAsiaTheme="minorEastAsia" w:cstheme="minorBidi"/>
      <w:sz w:val="20"/>
      <w:szCs w:val="20"/>
    </w:rPr>
  </w:style>
  <w:style w:type="paragraph" w:styleId="26">
    <w:name w:val="List Paragraph"/>
    <w:basedOn w:val="1"/>
    <w:qFormat/>
    <w:uiPriority w:val="34"/>
    <w:pPr>
      <w:ind w:firstLine="420" w:firstLineChars="200"/>
    </w:pPr>
  </w:style>
  <w:style w:type="character" w:customStyle="1" w:styleId="27">
    <w:name w:val="标题 1 Char"/>
    <w:qFormat/>
    <w:uiPriority w:val="0"/>
    <w:rPr>
      <w:rFonts w:ascii="Arial" w:hAnsi="Arial" w:eastAsia="宋体"/>
      <w:bCs/>
      <w:kern w:val="44"/>
      <w:sz w:val="36"/>
      <w:szCs w:val="36"/>
      <w:lang w:val="en-US" w:eastAsia="zh-CN" w:bidi="ar-SA"/>
    </w:rPr>
  </w:style>
  <w:style w:type="paragraph" w:customStyle="1" w:styleId="28">
    <w:name w:val="Table Text"/>
    <w:basedOn w:val="1"/>
    <w:semiHidden/>
    <w:qFormat/>
    <w:uiPriority w:val="0"/>
    <w:rPr>
      <w:rFonts w:ascii="宋体" w:hAnsi="宋体" w:eastAsia="宋体" w:cs="宋体"/>
      <w:sz w:val="22"/>
      <w:szCs w:val="22"/>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bt1bt1"/>
    <w:basedOn w:val="4"/>
    <w:qFormat/>
    <w:uiPriority w:val="0"/>
    <w:pPr>
      <w:spacing w:line="240" w:lineRule="auto"/>
      <w:jc w:val="center"/>
    </w:pPr>
    <w:rPr>
      <w:rFonts w:ascii="黑体" w:eastAsia="黑体"/>
      <w:sz w:val="36"/>
      <w:szCs w:val="36"/>
    </w:rPr>
  </w:style>
  <w:style w:type="paragraph" w:customStyle="1" w:styleId="31">
    <w:name w:val="正文00"/>
    <w:basedOn w:val="1"/>
    <w:qFormat/>
    <w:uiPriority w:val="0"/>
    <w:pPr>
      <w:topLinePunct/>
      <w:spacing w:line="360" w:lineRule="auto"/>
      <w:ind w:firstLine="200" w:firstLineChars="200"/>
    </w:pPr>
    <w:rPr>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1786</Words>
  <Characters>1873</Characters>
  <Lines>0</Lines>
  <Paragraphs>0</Paragraphs>
  <TotalTime>8</TotalTime>
  <ScaleCrop>false</ScaleCrop>
  <LinksUpToDate>false</LinksUpToDate>
  <CharactersWithSpaces>2011</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2023-03-07T01:25:00Z</dcterms:created>
  <dc:creator>zhangsquan</dc:creator>
  <cp:lastModifiedBy>刘斯维</cp:lastModifiedBy>
  <dcterms:modified xsi:type="dcterms:W3CDTF">2026-07-22T02:01:33Z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A245F21BA7AE403989A555FCFE00A281_13</vt:lpwstr>
  </property>
  <property fmtid="{D5CDD505-2E9C-101B-9397-08002B2CF9AE}" pid="4" name="KSOTemplateDocerSaveRecord">
    <vt:lpwstr>eyJoZGlkIjoiMDgwYTIwMzhmOGM4MTZhMDQwMjk3NTU3ZGY1NjllYjciLCJ1c2VySWQiOiIxNjMxNTE2OTA3In0=</vt:lpwstr>
  </property>
</Properties>
</file>