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AB272">
      <w:pPr>
        <w:widowControl/>
        <w:shd w:val="clear" w:color="auto" w:fill="auto"/>
        <w:spacing w:line="276" w:lineRule="auto"/>
        <w:ind w:firstLine="0" w:firstLineChars="0"/>
        <w:jc w:val="center"/>
        <w:rPr>
          <w:rFonts w:hint="default" w:ascii="宋体" w:hAnsi="宋体" w:eastAsia="宋体"/>
          <w:b/>
          <w:color w:val="auto"/>
          <w:sz w:val="44"/>
          <w:szCs w:val="44"/>
          <w:highlight w:val="none"/>
          <w:lang w:val="en-US" w:eastAsia="zh-CN"/>
        </w:rPr>
      </w:pPr>
      <w:r>
        <w:rPr>
          <w:rFonts w:hint="eastAsia" w:ascii="黑体" w:eastAsia="黑体"/>
          <w:b/>
          <w:bCs/>
          <w:color w:val="auto"/>
          <w:sz w:val="44"/>
          <w:szCs w:val="44"/>
          <w:highlight w:val="none"/>
          <w:lang w:val="en-US" w:eastAsia="zh-CN"/>
        </w:rPr>
        <w:t>2026年度资质认证及年审服务需求书</w:t>
      </w:r>
    </w:p>
    <w:p w14:paraId="1FA1526C">
      <w:pPr>
        <w:widowControl/>
        <w:shd w:val="clear" w:color="auto" w:fill="auto"/>
        <w:ind w:firstLine="880"/>
        <w:rPr>
          <w:rFonts w:ascii="宋体" w:hAnsi="宋体"/>
          <w:color w:val="auto"/>
          <w:sz w:val="28"/>
          <w:szCs w:val="28"/>
          <w:highlight w:val="none"/>
        </w:rPr>
      </w:pPr>
      <w:r>
        <w:rPr>
          <w:rFonts w:hint="eastAsia" w:ascii="宋体" w:hAnsi="宋体"/>
          <w:color w:val="auto"/>
          <w:sz w:val="28"/>
          <w:szCs w:val="28"/>
          <w:highlight w:val="none"/>
        </w:rPr>
        <w:t xml:space="preserve">                  </w:t>
      </w:r>
    </w:p>
    <w:p w14:paraId="4375C4F9">
      <w:pPr>
        <w:pStyle w:val="2"/>
        <w:shd w:val="clear" w:color="auto" w:fill="auto"/>
        <w:rPr>
          <w:rFonts w:hint="eastAsia"/>
          <w:color w:val="auto"/>
          <w:sz w:val="28"/>
          <w:szCs w:val="28"/>
          <w:highlight w:val="none"/>
        </w:rPr>
      </w:pPr>
      <w:bookmarkStart w:id="0" w:name="_Toc233640518"/>
      <w:bookmarkStart w:id="1" w:name="_Toc408936464"/>
      <w:r>
        <w:rPr>
          <w:rFonts w:hint="eastAsia"/>
          <w:color w:val="auto"/>
          <w:sz w:val="28"/>
          <w:szCs w:val="28"/>
          <w:highlight w:val="none"/>
        </w:rPr>
        <w:t>总则</w:t>
      </w:r>
      <w:bookmarkEnd w:id="0"/>
      <w:bookmarkEnd w:id="1"/>
    </w:p>
    <w:p w14:paraId="2408EB63">
      <w:pPr>
        <w:pStyle w:val="63"/>
        <w:shd w:val="clear" w:color="auto" w:fill="auto"/>
        <w:rPr>
          <w:rFonts w:hint="eastAsia"/>
          <w:color w:val="auto"/>
          <w:sz w:val="28"/>
          <w:szCs w:val="28"/>
          <w:highlight w:val="none"/>
        </w:rPr>
      </w:pPr>
      <w:bookmarkStart w:id="2" w:name="_Toc408936467"/>
      <w:r>
        <w:rPr>
          <w:rFonts w:hint="eastAsia"/>
          <w:color w:val="auto"/>
          <w:sz w:val="28"/>
          <w:szCs w:val="28"/>
          <w:highlight w:val="none"/>
          <w:lang w:val="en-US" w:eastAsia="zh-CN"/>
        </w:rPr>
        <w:t>采购</w:t>
      </w:r>
      <w:r>
        <w:rPr>
          <w:rFonts w:hint="eastAsia"/>
          <w:color w:val="auto"/>
          <w:sz w:val="28"/>
          <w:szCs w:val="28"/>
          <w:highlight w:val="none"/>
        </w:rPr>
        <w:t>范围</w:t>
      </w:r>
      <w:bookmarkEnd w:id="2"/>
    </w:p>
    <w:p w14:paraId="25B0EFDA">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宋体" w:hAnsi="宋体" w:eastAsia="宋体" w:cs="宋体"/>
          <w:color w:val="auto"/>
          <w:sz w:val="28"/>
          <w:szCs w:val="28"/>
          <w:highlight w:val="none"/>
          <w:lang w:val="en-US" w:eastAsia="zh-CN"/>
        </w:rPr>
      </w:pPr>
      <w:r>
        <w:rPr>
          <w:rFonts w:hint="eastAsia" w:ascii="Calibri" w:hAnsi="Calibri" w:eastAsia="宋体" w:cs="Times New Roman"/>
          <w:color w:val="auto"/>
          <w:kern w:val="2"/>
          <w:sz w:val="28"/>
          <w:szCs w:val="28"/>
          <w:highlight w:val="none"/>
          <w:lang w:val="en-US" w:eastAsia="zh-CN" w:bidi="ar-SA"/>
        </w:rPr>
        <w:t>本次采购服务范围：为广东南方智媒科技有限公司（以下简称“公司”）提供</w:t>
      </w:r>
      <w:r>
        <w:rPr>
          <w:rFonts w:hint="eastAsia"/>
          <w:color w:val="auto"/>
          <w:sz w:val="28"/>
          <w:szCs w:val="28"/>
          <w:vertAlign w:val="baseline"/>
          <w:lang w:val="en-US" w:eastAsia="zh-CN"/>
        </w:rPr>
        <w:t>ISO 9001质量管理体系、ISO 20000信息技术服务管理体系、ISO 27001信息安全管理体系、CMMI软件能力成熟度模型集成3级、ITSS信息技术服务标准体系运行维护三级再认证；CCRC信息安全服务（安全运维、安全应急处理、软件安全开发服务资质三级）、ISO/IEC 27701隐私信息管理体系、ISO/IEC42001:2023人工智能管理体系年审</w:t>
      </w:r>
      <w:r>
        <w:rPr>
          <w:rFonts w:hint="eastAsia" w:ascii="宋体" w:hAnsi="宋体" w:eastAsia="宋体" w:cs="宋体"/>
          <w:color w:val="auto"/>
          <w:sz w:val="28"/>
          <w:szCs w:val="28"/>
          <w:highlight w:val="none"/>
          <w:lang w:val="en-US" w:eastAsia="zh-CN"/>
        </w:rPr>
        <w:t>。</w:t>
      </w:r>
    </w:p>
    <w:p w14:paraId="08197EEA">
      <w:pPr>
        <w:pStyle w:val="63"/>
        <w:shd w:val="clear" w:color="auto" w:fill="auto"/>
        <w:rPr>
          <w:rFonts w:hint="eastAsia"/>
          <w:color w:val="auto"/>
          <w:sz w:val="28"/>
          <w:szCs w:val="28"/>
          <w:highlight w:val="none"/>
          <w:lang w:val="en-US" w:eastAsia="zh-CN"/>
        </w:rPr>
      </w:pPr>
      <w:r>
        <w:rPr>
          <w:rFonts w:hint="eastAsia"/>
          <w:color w:val="auto"/>
          <w:sz w:val="28"/>
          <w:szCs w:val="28"/>
          <w:highlight w:val="none"/>
          <w:lang w:val="en-US" w:eastAsia="zh-CN"/>
        </w:rPr>
        <w:t>服务方需知</w:t>
      </w:r>
    </w:p>
    <w:p w14:paraId="2BF37154">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default" w:ascii="Calibri" w:hAnsi="Calibri" w:eastAsia="宋体" w:cs="Times New Roman"/>
          <w:color w:val="auto"/>
          <w:kern w:val="2"/>
          <w:sz w:val="28"/>
          <w:szCs w:val="28"/>
          <w:highlight w:val="none"/>
          <w:lang w:val="en-US" w:eastAsia="zh-CN" w:bidi="ar-SA"/>
        </w:rPr>
      </w:pPr>
      <w:r>
        <w:rPr>
          <w:rFonts w:hint="eastAsia" w:ascii="Calibri" w:hAnsi="Calibri" w:cs="Times New Roman"/>
          <w:color w:val="auto"/>
          <w:kern w:val="2"/>
          <w:sz w:val="28"/>
          <w:szCs w:val="28"/>
          <w:highlight w:val="none"/>
          <w:lang w:val="en-US" w:eastAsia="zh-CN" w:bidi="ar-SA"/>
        </w:rPr>
        <w:t>服务方需明确了解公司目前资质认证现状，确保能完全承担相应资质认证相关服务工作，本次资质认证服务相关资质情况如下：</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7"/>
        <w:gridCol w:w="3117"/>
        <w:gridCol w:w="1080"/>
        <w:gridCol w:w="1545"/>
      </w:tblGrid>
      <w:tr w14:paraId="567A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blHeader/>
          <w:jc w:val="center"/>
        </w:trPr>
        <w:tc>
          <w:tcPr>
            <w:tcW w:w="2587" w:type="dxa"/>
            <w:noWrap w:val="0"/>
            <w:vAlign w:val="center"/>
          </w:tcPr>
          <w:p w14:paraId="3674F5C4">
            <w:pPr>
              <w:keepNext w:val="0"/>
              <w:keepLines w:val="0"/>
              <w:pageBreakBefore w:val="0"/>
              <w:widowControl w:val="0"/>
              <w:kinsoku/>
              <w:wordWrap/>
              <w:overflowPunct/>
              <w:topLinePunct w:val="0"/>
              <w:autoSpaceDE/>
              <w:autoSpaceDN/>
              <w:bidi w:val="0"/>
              <w:spacing w:line="500" w:lineRule="exact"/>
              <w:ind w:left="0" w:leftChars="0" w:firstLine="0" w:firstLineChars="0"/>
              <w:jc w:val="center"/>
              <w:textAlignment w:val="auto"/>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资质</w:t>
            </w:r>
          </w:p>
        </w:tc>
        <w:tc>
          <w:tcPr>
            <w:tcW w:w="3117" w:type="dxa"/>
            <w:noWrap w:val="0"/>
            <w:vAlign w:val="center"/>
          </w:tcPr>
          <w:p w14:paraId="0793159C">
            <w:pPr>
              <w:keepNext w:val="0"/>
              <w:keepLines w:val="0"/>
              <w:pageBreakBefore w:val="0"/>
              <w:widowControl w:val="0"/>
              <w:kinsoku/>
              <w:wordWrap/>
              <w:overflowPunct/>
              <w:topLinePunct w:val="0"/>
              <w:autoSpaceDE/>
              <w:autoSpaceDN/>
              <w:bidi w:val="0"/>
              <w:spacing w:line="500" w:lineRule="exact"/>
              <w:ind w:left="0" w:leftChars="0" w:firstLine="0" w:firstLineChars="0"/>
              <w:jc w:val="center"/>
              <w:textAlignment w:val="auto"/>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原发证机构</w:t>
            </w:r>
          </w:p>
        </w:tc>
        <w:tc>
          <w:tcPr>
            <w:tcW w:w="1080" w:type="dxa"/>
            <w:noWrap w:val="0"/>
            <w:vAlign w:val="center"/>
          </w:tcPr>
          <w:p w14:paraId="3B97EC9E">
            <w:pPr>
              <w:keepNext w:val="0"/>
              <w:keepLines w:val="0"/>
              <w:pageBreakBefore w:val="0"/>
              <w:widowControl w:val="0"/>
              <w:kinsoku/>
              <w:wordWrap/>
              <w:overflowPunct/>
              <w:topLinePunct w:val="0"/>
              <w:autoSpaceDE/>
              <w:autoSpaceDN/>
              <w:bidi w:val="0"/>
              <w:spacing w:line="500" w:lineRule="exact"/>
              <w:ind w:left="0" w:leftChars="0" w:firstLine="0" w:firstLineChars="0"/>
              <w:jc w:val="center"/>
              <w:textAlignment w:val="auto"/>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类别</w:t>
            </w:r>
          </w:p>
        </w:tc>
        <w:tc>
          <w:tcPr>
            <w:tcW w:w="1545" w:type="dxa"/>
            <w:noWrap w:val="0"/>
            <w:vAlign w:val="center"/>
          </w:tcPr>
          <w:p w14:paraId="781B01E7">
            <w:pPr>
              <w:keepNext w:val="0"/>
              <w:keepLines w:val="0"/>
              <w:pageBreakBefore w:val="0"/>
              <w:widowControl w:val="0"/>
              <w:kinsoku/>
              <w:wordWrap/>
              <w:overflowPunct/>
              <w:topLinePunct w:val="0"/>
              <w:autoSpaceDE/>
              <w:autoSpaceDN/>
              <w:bidi w:val="0"/>
              <w:spacing w:line="500" w:lineRule="exact"/>
              <w:ind w:left="0" w:leftChars="0" w:firstLine="0" w:firstLineChars="0"/>
              <w:jc w:val="both"/>
              <w:textAlignment w:val="auto"/>
              <w:rPr>
                <w:rFonts w:hint="default"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有效期</w:t>
            </w:r>
          </w:p>
        </w:tc>
      </w:tr>
      <w:tr w14:paraId="6AA3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87" w:type="dxa"/>
            <w:noWrap w:val="0"/>
            <w:vAlign w:val="center"/>
          </w:tcPr>
          <w:p w14:paraId="3472188C">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ISO 9001质量管理体系</w:t>
            </w:r>
          </w:p>
        </w:tc>
        <w:tc>
          <w:tcPr>
            <w:tcW w:w="3117" w:type="dxa"/>
            <w:noWrap w:val="0"/>
            <w:vAlign w:val="center"/>
          </w:tcPr>
          <w:p w14:paraId="08678B37">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北京中水卓越认证有限公司</w:t>
            </w:r>
          </w:p>
        </w:tc>
        <w:tc>
          <w:tcPr>
            <w:tcW w:w="1080" w:type="dxa"/>
            <w:noWrap w:val="0"/>
            <w:vAlign w:val="center"/>
          </w:tcPr>
          <w:p w14:paraId="1BB05AE4">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再认证</w:t>
            </w:r>
          </w:p>
        </w:tc>
        <w:tc>
          <w:tcPr>
            <w:tcW w:w="1545" w:type="dxa"/>
            <w:noWrap w:val="0"/>
            <w:vAlign w:val="center"/>
          </w:tcPr>
          <w:p w14:paraId="32545838">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2026.7.3</w:t>
            </w:r>
          </w:p>
        </w:tc>
      </w:tr>
      <w:tr w14:paraId="7AF1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87" w:type="dxa"/>
            <w:noWrap w:val="0"/>
            <w:vAlign w:val="center"/>
          </w:tcPr>
          <w:p w14:paraId="20005800">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ISO 20000信息技术服务管理体系</w:t>
            </w:r>
          </w:p>
        </w:tc>
        <w:tc>
          <w:tcPr>
            <w:tcW w:w="3117" w:type="dxa"/>
            <w:noWrap w:val="0"/>
            <w:vAlign w:val="center"/>
          </w:tcPr>
          <w:p w14:paraId="5E9BF994">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highlight w:val="none"/>
                <w:shd w:val="clear" w:color="auto" w:fill="auto"/>
                <w:lang w:val="en-US" w:eastAsia="zh-CN"/>
              </w:rPr>
            </w:pPr>
            <w:r>
              <w:rPr>
                <w:rFonts w:hint="eastAsia" w:asciiTheme="minorEastAsia" w:hAnsiTheme="minorEastAsia" w:eastAsiaTheme="minorEastAsia" w:cstheme="minorEastAsia"/>
                <w:color w:val="auto"/>
                <w:sz w:val="24"/>
                <w:szCs w:val="24"/>
                <w:lang w:val="en-US" w:eastAsia="zh-CN"/>
              </w:rPr>
              <w:t>北京中水卓越认证有限公司</w:t>
            </w:r>
          </w:p>
        </w:tc>
        <w:tc>
          <w:tcPr>
            <w:tcW w:w="1080" w:type="dxa"/>
            <w:noWrap w:val="0"/>
            <w:vAlign w:val="center"/>
          </w:tcPr>
          <w:p w14:paraId="41EB5607">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再认证</w:t>
            </w:r>
          </w:p>
        </w:tc>
        <w:tc>
          <w:tcPr>
            <w:tcW w:w="1545" w:type="dxa"/>
            <w:noWrap w:val="0"/>
            <w:vAlign w:val="center"/>
          </w:tcPr>
          <w:p w14:paraId="26D206BD">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2026.7.3</w:t>
            </w:r>
          </w:p>
        </w:tc>
      </w:tr>
      <w:tr w14:paraId="62E4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87" w:type="dxa"/>
            <w:noWrap w:val="0"/>
            <w:vAlign w:val="center"/>
          </w:tcPr>
          <w:p w14:paraId="4F278042">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ISO 27001信息安全管理体系</w:t>
            </w:r>
          </w:p>
        </w:tc>
        <w:tc>
          <w:tcPr>
            <w:tcW w:w="3117" w:type="dxa"/>
            <w:noWrap w:val="0"/>
            <w:vAlign w:val="center"/>
          </w:tcPr>
          <w:p w14:paraId="46FE70B7">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highlight w:val="none"/>
                <w:shd w:val="clear" w:color="auto" w:fill="auto"/>
                <w:lang w:val="en-US" w:eastAsia="zh-CN"/>
              </w:rPr>
            </w:pPr>
            <w:r>
              <w:rPr>
                <w:rFonts w:hint="eastAsia" w:asciiTheme="minorEastAsia" w:hAnsiTheme="minorEastAsia" w:eastAsiaTheme="minorEastAsia" w:cstheme="minorEastAsia"/>
                <w:color w:val="auto"/>
                <w:sz w:val="24"/>
                <w:szCs w:val="24"/>
                <w:lang w:val="en-US" w:eastAsia="zh-CN"/>
              </w:rPr>
              <w:t>北京中水卓越认证有限公司</w:t>
            </w:r>
          </w:p>
        </w:tc>
        <w:tc>
          <w:tcPr>
            <w:tcW w:w="1080" w:type="dxa"/>
            <w:noWrap w:val="0"/>
            <w:vAlign w:val="center"/>
          </w:tcPr>
          <w:p w14:paraId="14E5E929">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再认证</w:t>
            </w:r>
          </w:p>
        </w:tc>
        <w:tc>
          <w:tcPr>
            <w:tcW w:w="1545" w:type="dxa"/>
            <w:noWrap w:val="0"/>
            <w:vAlign w:val="center"/>
          </w:tcPr>
          <w:p w14:paraId="63DB5FBF">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2026.7.3</w:t>
            </w:r>
          </w:p>
        </w:tc>
      </w:tr>
      <w:tr w14:paraId="4F170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jc w:val="center"/>
        </w:trPr>
        <w:tc>
          <w:tcPr>
            <w:tcW w:w="2587" w:type="dxa"/>
            <w:noWrap w:val="0"/>
            <w:vAlign w:val="center"/>
          </w:tcPr>
          <w:p w14:paraId="6A1EF2C3">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CMMI软件能力成熟度模型集成3级</w:t>
            </w:r>
          </w:p>
        </w:tc>
        <w:tc>
          <w:tcPr>
            <w:tcW w:w="3117" w:type="dxa"/>
            <w:noWrap w:val="0"/>
            <w:vAlign w:val="center"/>
          </w:tcPr>
          <w:p w14:paraId="7B529DE7">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highlight w:val="none"/>
                <w:shd w:val="clear" w:color="auto" w:fill="auto"/>
                <w:lang w:val="en-US" w:eastAsia="zh-CN"/>
              </w:rPr>
            </w:pPr>
            <w:r>
              <w:rPr>
                <w:rFonts w:hint="eastAsia" w:asciiTheme="minorEastAsia" w:hAnsiTheme="minorEastAsia" w:eastAsiaTheme="minorEastAsia" w:cstheme="minorEastAsia"/>
                <w:color w:val="auto"/>
                <w:sz w:val="24"/>
                <w:szCs w:val="24"/>
                <w:highlight w:val="none"/>
                <w:shd w:val="clear" w:color="auto" w:fill="auto"/>
                <w:lang w:val="en-US" w:eastAsia="zh-CN"/>
              </w:rPr>
              <w:t>ISACA</w:t>
            </w:r>
          </w:p>
        </w:tc>
        <w:tc>
          <w:tcPr>
            <w:tcW w:w="1080" w:type="dxa"/>
            <w:noWrap w:val="0"/>
            <w:vAlign w:val="center"/>
          </w:tcPr>
          <w:p w14:paraId="27C35DEC">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再认证</w:t>
            </w:r>
          </w:p>
        </w:tc>
        <w:tc>
          <w:tcPr>
            <w:tcW w:w="1545" w:type="dxa"/>
            <w:noWrap w:val="0"/>
            <w:vAlign w:val="center"/>
          </w:tcPr>
          <w:p w14:paraId="7410920B">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2026.11.5</w:t>
            </w:r>
          </w:p>
        </w:tc>
      </w:tr>
      <w:tr w14:paraId="6429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2587" w:type="dxa"/>
            <w:noWrap w:val="0"/>
            <w:vAlign w:val="center"/>
          </w:tcPr>
          <w:p w14:paraId="0F65312D">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ITSS信息技术服务标准体系运行维护三级</w:t>
            </w:r>
          </w:p>
        </w:tc>
        <w:tc>
          <w:tcPr>
            <w:tcW w:w="3117" w:type="dxa"/>
            <w:noWrap w:val="0"/>
            <w:vAlign w:val="center"/>
          </w:tcPr>
          <w:p w14:paraId="22DF672F">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highlight w:val="none"/>
                <w:shd w:val="clear" w:color="auto" w:fill="auto"/>
                <w:lang w:val="en-US" w:eastAsia="zh-CN"/>
              </w:rPr>
            </w:pPr>
            <w:r>
              <w:rPr>
                <w:rFonts w:hint="eastAsia" w:asciiTheme="minorEastAsia" w:hAnsiTheme="minorEastAsia" w:eastAsiaTheme="minorEastAsia" w:cstheme="minorEastAsia"/>
                <w:color w:val="auto"/>
                <w:sz w:val="24"/>
                <w:szCs w:val="24"/>
                <w:highlight w:val="none"/>
                <w:shd w:val="clear" w:color="auto" w:fill="auto"/>
                <w:lang w:val="en-US" w:eastAsia="zh-CN"/>
              </w:rPr>
              <w:t>中国电子工业标准化技术协会信息技术服务分会</w:t>
            </w:r>
          </w:p>
        </w:tc>
        <w:tc>
          <w:tcPr>
            <w:tcW w:w="1080" w:type="dxa"/>
            <w:noWrap w:val="0"/>
            <w:vAlign w:val="center"/>
          </w:tcPr>
          <w:p w14:paraId="7DFBFA4F">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再认证</w:t>
            </w:r>
          </w:p>
        </w:tc>
        <w:tc>
          <w:tcPr>
            <w:tcW w:w="1545" w:type="dxa"/>
            <w:noWrap w:val="0"/>
            <w:vAlign w:val="center"/>
          </w:tcPr>
          <w:p w14:paraId="4E5DAC42">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2026.7.6（已注销）</w:t>
            </w:r>
          </w:p>
        </w:tc>
      </w:tr>
      <w:tr w14:paraId="42B4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1" w:hRule="atLeast"/>
          <w:jc w:val="center"/>
        </w:trPr>
        <w:tc>
          <w:tcPr>
            <w:tcW w:w="2587" w:type="dxa"/>
            <w:noWrap w:val="0"/>
            <w:vAlign w:val="center"/>
          </w:tcPr>
          <w:p w14:paraId="4BAF1354">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CCRC信息安全服务（安全运维服务资质三级）</w:t>
            </w:r>
          </w:p>
        </w:tc>
        <w:tc>
          <w:tcPr>
            <w:tcW w:w="3117" w:type="dxa"/>
            <w:noWrap w:val="0"/>
            <w:vAlign w:val="center"/>
          </w:tcPr>
          <w:p w14:paraId="7DA7458E">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highlight w:val="none"/>
                <w:shd w:val="clear" w:color="auto" w:fill="auto"/>
                <w:lang w:val="en-US" w:eastAsia="zh-CN"/>
              </w:rPr>
            </w:pPr>
            <w:r>
              <w:rPr>
                <w:rFonts w:hint="eastAsia" w:asciiTheme="minorEastAsia" w:hAnsiTheme="minorEastAsia" w:eastAsiaTheme="minorEastAsia" w:cstheme="minorEastAsia"/>
                <w:color w:val="auto"/>
                <w:sz w:val="24"/>
                <w:szCs w:val="24"/>
                <w:highlight w:val="none"/>
                <w:shd w:val="clear" w:color="auto" w:fill="auto"/>
                <w:lang w:val="en-US" w:eastAsia="zh-CN"/>
              </w:rPr>
              <w:t>中国网络安全审查认证和市场监管大数据中心</w:t>
            </w:r>
          </w:p>
        </w:tc>
        <w:tc>
          <w:tcPr>
            <w:tcW w:w="1080" w:type="dxa"/>
            <w:noWrap w:val="0"/>
            <w:vAlign w:val="center"/>
          </w:tcPr>
          <w:p w14:paraId="0A177478">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年审</w:t>
            </w:r>
          </w:p>
        </w:tc>
        <w:tc>
          <w:tcPr>
            <w:tcW w:w="1545" w:type="dxa"/>
            <w:noWrap w:val="0"/>
            <w:vAlign w:val="center"/>
          </w:tcPr>
          <w:p w14:paraId="2EED74AF">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2027.12.30</w:t>
            </w:r>
          </w:p>
        </w:tc>
      </w:tr>
      <w:tr w14:paraId="0A01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2587" w:type="dxa"/>
            <w:noWrap w:val="0"/>
            <w:vAlign w:val="center"/>
          </w:tcPr>
          <w:p w14:paraId="1F19A2F7">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CCRC信息安全服务（安全应急处理服务资质三级）</w:t>
            </w:r>
          </w:p>
        </w:tc>
        <w:tc>
          <w:tcPr>
            <w:tcW w:w="3117" w:type="dxa"/>
            <w:noWrap w:val="0"/>
            <w:vAlign w:val="center"/>
          </w:tcPr>
          <w:p w14:paraId="2F0F357A">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highlight w:val="none"/>
                <w:shd w:val="clear" w:color="auto" w:fill="auto"/>
                <w:lang w:val="en-US" w:eastAsia="zh-CN"/>
              </w:rPr>
            </w:pPr>
            <w:r>
              <w:rPr>
                <w:rFonts w:hint="eastAsia" w:asciiTheme="minorEastAsia" w:hAnsiTheme="minorEastAsia" w:eastAsiaTheme="minorEastAsia" w:cstheme="minorEastAsia"/>
                <w:color w:val="auto"/>
                <w:sz w:val="24"/>
                <w:szCs w:val="24"/>
                <w:highlight w:val="none"/>
                <w:shd w:val="clear" w:color="auto" w:fill="auto"/>
                <w:lang w:val="en-US" w:eastAsia="zh-CN"/>
              </w:rPr>
              <w:t>中国网络安全审查认证和市场监管大数据中心</w:t>
            </w:r>
          </w:p>
        </w:tc>
        <w:tc>
          <w:tcPr>
            <w:tcW w:w="1080" w:type="dxa"/>
            <w:noWrap w:val="0"/>
            <w:vAlign w:val="center"/>
          </w:tcPr>
          <w:p w14:paraId="34288526">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年审</w:t>
            </w:r>
          </w:p>
        </w:tc>
        <w:tc>
          <w:tcPr>
            <w:tcW w:w="1545" w:type="dxa"/>
            <w:noWrap w:val="0"/>
            <w:vAlign w:val="center"/>
          </w:tcPr>
          <w:p w14:paraId="7DE251AB">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2027.12.30</w:t>
            </w:r>
          </w:p>
        </w:tc>
      </w:tr>
      <w:tr w14:paraId="4DC0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2587" w:type="dxa"/>
            <w:noWrap w:val="0"/>
            <w:vAlign w:val="center"/>
          </w:tcPr>
          <w:p w14:paraId="03E5DEA5">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CCRC信息安全服务（软件安全开发服务资质三级）</w:t>
            </w:r>
          </w:p>
        </w:tc>
        <w:tc>
          <w:tcPr>
            <w:tcW w:w="3117" w:type="dxa"/>
            <w:noWrap w:val="0"/>
            <w:vAlign w:val="center"/>
          </w:tcPr>
          <w:p w14:paraId="17790751">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highlight w:val="none"/>
                <w:shd w:val="clear" w:color="auto" w:fill="auto"/>
                <w:lang w:val="en-US" w:eastAsia="zh-CN"/>
              </w:rPr>
            </w:pPr>
            <w:r>
              <w:rPr>
                <w:rFonts w:hint="eastAsia" w:asciiTheme="minorEastAsia" w:hAnsiTheme="minorEastAsia" w:eastAsiaTheme="minorEastAsia" w:cstheme="minorEastAsia"/>
                <w:color w:val="auto"/>
                <w:sz w:val="24"/>
                <w:szCs w:val="24"/>
                <w:highlight w:val="none"/>
                <w:shd w:val="clear" w:color="auto" w:fill="auto"/>
                <w:lang w:val="en-US" w:eastAsia="zh-CN"/>
              </w:rPr>
              <w:t>中国网络安全审查认证和市场监管大数据中心</w:t>
            </w:r>
          </w:p>
        </w:tc>
        <w:tc>
          <w:tcPr>
            <w:tcW w:w="1080" w:type="dxa"/>
            <w:noWrap w:val="0"/>
            <w:vAlign w:val="center"/>
          </w:tcPr>
          <w:p w14:paraId="0BBDDD4A">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年审</w:t>
            </w:r>
          </w:p>
        </w:tc>
        <w:tc>
          <w:tcPr>
            <w:tcW w:w="1545" w:type="dxa"/>
            <w:noWrap w:val="0"/>
            <w:vAlign w:val="center"/>
          </w:tcPr>
          <w:p w14:paraId="7F8ABAFA">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2029.5.5</w:t>
            </w:r>
          </w:p>
        </w:tc>
      </w:tr>
      <w:tr w14:paraId="769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2587" w:type="dxa"/>
            <w:noWrap w:val="0"/>
            <w:vAlign w:val="center"/>
          </w:tcPr>
          <w:p w14:paraId="2C8CF6A1">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ISO/IEC 27701隐私信息管理体系认证服务</w:t>
            </w:r>
          </w:p>
        </w:tc>
        <w:tc>
          <w:tcPr>
            <w:tcW w:w="3117" w:type="dxa"/>
            <w:noWrap w:val="0"/>
            <w:vAlign w:val="center"/>
          </w:tcPr>
          <w:p w14:paraId="5AA76F01">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北京中水卓越认证有限公司</w:t>
            </w:r>
          </w:p>
        </w:tc>
        <w:tc>
          <w:tcPr>
            <w:tcW w:w="1080" w:type="dxa"/>
            <w:noWrap w:val="0"/>
            <w:vAlign w:val="center"/>
          </w:tcPr>
          <w:p w14:paraId="79208017">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年审或重新认证</w:t>
            </w:r>
          </w:p>
        </w:tc>
        <w:tc>
          <w:tcPr>
            <w:tcW w:w="1545" w:type="dxa"/>
            <w:noWrap w:val="0"/>
            <w:vAlign w:val="center"/>
          </w:tcPr>
          <w:p w14:paraId="0939F863">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2027.8.28</w:t>
            </w:r>
          </w:p>
        </w:tc>
      </w:tr>
      <w:tr w14:paraId="38C4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2587" w:type="dxa"/>
            <w:noWrap w:val="0"/>
            <w:vAlign w:val="center"/>
          </w:tcPr>
          <w:p w14:paraId="4BD668B9">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ISO/IEC42001:2023人工智能管理体系</w:t>
            </w:r>
          </w:p>
        </w:tc>
        <w:tc>
          <w:tcPr>
            <w:tcW w:w="3117" w:type="dxa"/>
            <w:noWrap w:val="0"/>
            <w:vAlign w:val="center"/>
          </w:tcPr>
          <w:p w14:paraId="1089DF96">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欧利斯认证有限公司</w:t>
            </w:r>
          </w:p>
        </w:tc>
        <w:tc>
          <w:tcPr>
            <w:tcW w:w="1080" w:type="dxa"/>
            <w:noWrap w:val="0"/>
            <w:vAlign w:val="center"/>
          </w:tcPr>
          <w:p w14:paraId="23C857CE">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年审或重新认证</w:t>
            </w:r>
          </w:p>
        </w:tc>
        <w:tc>
          <w:tcPr>
            <w:tcW w:w="1545" w:type="dxa"/>
            <w:noWrap w:val="0"/>
            <w:vAlign w:val="center"/>
          </w:tcPr>
          <w:p w14:paraId="324284A8">
            <w:pPr>
              <w:keepNext w:val="0"/>
              <w:keepLines w:val="0"/>
              <w:pageBreakBefore w:val="0"/>
              <w:widowControl/>
              <w:suppressLineNumbers w:val="0"/>
              <w:kinsoku/>
              <w:wordWrap/>
              <w:overflowPunct/>
              <w:topLinePunct w:val="0"/>
              <w:autoSpaceDE/>
              <w:autoSpaceDN/>
              <w:bidi w:val="0"/>
              <w:spacing w:line="500" w:lineRule="exact"/>
              <w:ind w:left="0" w:leftChars="0" w:firstLine="0" w:firstLineChars="0"/>
              <w:jc w:val="both"/>
              <w:textAlignment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2028.9.10</w:t>
            </w:r>
          </w:p>
        </w:tc>
      </w:tr>
    </w:tbl>
    <w:p w14:paraId="25ED401B">
      <w:pPr>
        <w:pStyle w:val="63"/>
        <w:shd w:val="clear" w:color="auto" w:fill="auto"/>
        <w:rPr>
          <w:rFonts w:hint="eastAsia"/>
          <w:color w:val="auto"/>
          <w:sz w:val="28"/>
          <w:szCs w:val="28"/>
          <w:highlight w:val="none"/>
        </w:rPr>
      </w:pPr>
      <w:bookmarkStart w:id="3" w:name="_Toc408936468"/>
      <w:bookmarkStart w:id="4" w:name="_Toc233640526"/>
      <w:r>
        <w:rPr>
          <w:rFonts w:hint="eastAsia"/>
          <w:color w:val="auto"/>
          <w:sz w:val="28"/>
          <w:szCs w:val="28"/>
          <w:highlight w:val="none"/>
          <w:lang w:val="en-US" w:eastAsia="zh-CN"/>
        </w:rPr>
        <w:t>服务</w:t>
      </w:r>
      <w:r>
        <w:rPr>
          <w:rFonts w:hint="eastAsia"/>
          <w:color w:val="auto"/>
          <w:sz w:val="28"/>
          <w:szCs w:val="28"/>
          <w:highlight w:val="none"/>
        </w:rPr>
        <w:t>保证</w:t>
      </w:r>
      <w:bookmarkEnd w:id="3"/>
      <w:bookmarkEnd w:id="4"/>
    </w:p>
    <w:p w14:paraId="172605FE">
      <w:pPr>
        <w:pStyle w:val="4"/>
        <w:shd w:val="clear" w:color="auto" w:fill="auto"/>
        <w:ind w:left="960"/>
        <w:rPr>
          <w:rFonts w:hint="eastAsia"/>
          <w:color w:val="auto"/>
          <w:sz w:val="28"/>
          <w:szCs w:val="28"/>
          <w:highlight w:val="none"/>
        </w:rPr>
      </w:pPr>
      <w:bookmarkStart w:id="5" w:name="_Toc233640527"/>
      <w:bookmarkStart w:id="6" w:name="_Toc408936469"/>
      <w:r>
        <w:rPr>
          <w:rFonts w:hint="eastAsia"/>
          <w:color w:val="auto"/>
          <w:sz w:val="28"/>
          <w:szCs w:val="28"/>
          <w:highlight w:val="none"/>
        </w:rPr>
        <w:t>组织保证</w:t>
      </w:r>
      <w:bookmarkEnd w:id="5"/>
      <w:bookmarkEnd w:id="6"/>
    </w:p>
    <w:p w14:paraId="7E2EBD6E">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bookmarkStart w:id="7" w:name="_Toc408936470"/>
      <w:bookmarkStart w:id="8" w:name="_Toc233640528"/>
      <w:r>
        <w:rPr>
          <w:rFonts w:hint="eastAsia" w:ascii="Calibri" w:hAnsi="Calibri" w:eastAsia="宋体" w:cs="Times New Roman"/>
          <w:color w:val="auto"/>
          <w:kern w:val="2"/>
          <w:sz w:val="28"/>
          <w:szCs w:val="28"/>
          <w:highlight w:val="none"/>
          <w:lang w:val="en-US" w:eastAsia="zh-CN" w:bidi="ar-SA"/>
        </w:rPr>
        <w:t>1）服务方在确定现场评审认证日期后，需在现场评审日期前7天向公司提供拟派参加本项目的人员名单以及参加人员的资料，参加本项目的人员中必须包含有专业认证人员。</w:t>
      </w:r>
    </w:p>
    <w:p w14:paraId="542D2BBE">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2）服务方必须保持维护团队人员的稳定，未经公司同意，不得随意调换项目组</w:t>
      </w:r>
      <w:r>
        <w:rPr>
          <w:rFonts w:hint="eastAsia" w:ascii="Calibri" w:hAnsi="Calibri" w:cs="Times New Roman"/>
          <w:color w:val="auto"/>
          <w:kern w:val="2"/>
          <w:sz w:val="28"/>
          <w:szCs w:val="28"/>
          <w:highlight w:val="none"/>
          <w:lang w:val="en-US" w:eastAsia="zh-CN" w:bidi="ar-SA"/>
        </w:rPr>
        <w:t>主要</w:t>
      </w:r>
      <w:r>
        <w:rPr>
          <w:rFonts w:hint="eastAsia" w:ascii="Calibri" w:hAnsi="Calibri" w:eastAsia="宋体" w:cs="Times New Roman"/>
          <w:color w:val="auto"/>
          <w:kern w:val="2"/>
          <w:sz w:val="28"/>
          <w:szCs w:val="28"/>
          <w:highlight w:val="none"/>
          <w:lang w:val="en-US" w:eastAsia="zh-CN" w:bidi="ar-SA"/>
        </w:rPr>
        <w:t>成员，因工作原因确实需要调换的须提前一个月与公司协商，并经公司同意后才能更换。</w:t>
      </w:r>
    </w:p>
    <w:p w14:paraId="2E8E7647">
      <w:pPr>
        <w:pStyle w:val="4"/>
        <w:shd w:val="clear" w:color="auto" w:fill="auto"/>
        <w:ind w:left="960"/>
        <w:rPr>
          <w:rFonts w:hint="eastAsia"/>
          <w:color w:val="auto"/>
          <w:sz w:val="28"/>
          <w:szCs w:val="28"/>
          <w:highlight w:val="none"/>
        </w:rPr>
      </w:pPr>
      <w:r>
        <w:rPr>
          <w:rFonts w:hint="eastAsia"/>
          <w:color w:val="auto"/>
          <w:sz w:val="28"/>
          <w:szCs w:val="28"/>
          <w:highlight w:val="none"/>
        </w:rPr>
        <w:t>质量保证</w:t>
      </w:r>
      <w:bookmarkEnd w:id="7"/>
      <w:bookmarkEnd w:id="8"/>
    </w:p>
    <w:p w14:paraId="76F8006B">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bookmarkStart w:id="9" w:name="_Toc408936471"/>
      <w:bookmarkStart w:id="10" w:name="_Toc233640529"/>
      <w:r>
        <w:rPr>
          <w:rFonts w:hint="eastAsia" w:ascii="Calibri" w:hAnsi="Calibri" w:eastAsia="宋体" w:cs="Times New Roman"/>
          <w:color w:val="auto"/>
          <w:kern w:val="2"/>
          <w:sz w:val="28"/>
          <w:szCs w:val="28"/>
          <w:highlight w:val="none"/>
          <w:lang w:val="en-US" w:eastAsia="zh-CN" w:bidi="ar-SA"/>
        </w:rPr>
        <w:t>服务方应保证所提供的所有服务的人员素质及服务质量均能满足本应答文件要求。</w:t>
      </w:r>
    </w:p>
    <w:p w14:paraId="1C77FE70">
      <w:pPr>
        <w:pStyle w:val="4"/>
        <w:shd w:val="clear" w:color="auto" w:fill="auto"/>
        <w:ind w:left="960"/>
        <w:rPr>
          <w:rFonts w:hint="eastAsia" w:ascii="Times New Roman" w:hAnsi="Times New Roman" w:eastAsia="宋体" w:cs="Times New Roman"/>
          <w:b/>
          <w:bCs/>
          <w:color w:val="auto"/>
          <w:sz w:val="28"/>
          <w:szCs w:val="28"/>
          <w:highlight w:val="none"/>
        </w:rPr>
      </w:pPr>
      <w:r>
        <w:rPr>
          <w:rFonts w:hint="eastAsia" w:ascii="Times New Roman" w:hAnsi="Times New Roman" w:eastAsia="宋体" w:cs="Times New Roman"/>
          <w:b/>
          <w:bCs/>
          <w:color w:val="auto"/>
          <w:sz w:val="28"/>
          <w:szCs w:val="28"/>
          <w:highlight w:val="none"/>
        </w:rPr>
        <w:t>进度保证</w:t>
      </w:r>
      <w:bookmarkEnd w:id="9"/>
      <w:bookmarkEnd w:id="10"/>
    </w:p>
    <w:p w14:paraId="2413335C">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1) 本项目实施时间范围由双方在签订合同确定。</w:t>
      </w:r>
    </w:p>
    <w:p w14:paraId="144F7CD2">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default"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2) 服务方必须根据公司要求提供相应的服务保证措施、服务计划表。</w:t>
      </w:r>
    </w:p>
    <w:p w14:paraId="226EB590">
      <w:pPr>
        <w:pStyle w:val="2"/>
        <w:shd w:val="clear" w:color="auto" w:fill="auto"/>
        <w:rPr>
          <w:color w:val="auto"/>
          <w:sz w:val="28"/>
          <w:szCs w:val="28"/>
          <w:highlight w:val="none"/>
        </w:rPr>
      </w:pPr>
      <w:bookmarkStart w:id="11" w:name="_Toc408936474"/>
      <w:r>
        <w:rPr>
          <w:rFonts w:hint="eastAsia"/>
          <w:color w:val="auto"/>
          <w:sz w:val="28"/>
          <w:szCs w:val="28"/>
          <w:highlight w:val="none"/>
        </w:rPr>
        <w:t>项目内容及要求</w:t>
      </w:r>
    </w:p>
    <w:p w14:paraId="182776AA">
      <w:pPr>
        <w:pStyle w:val="63"/>
        <w:shd w:val="clear" w:color="auto" w:fill="auto"/>
        <w:rPr>
          <w:rFonts w:hint="eastAsia"/>
          <w:color w:val="auto"/>
          <w:sz w:val="28"/>
          <w:szCs w:val="28"/>
          <w:highlight w:val="none"/>
        </w:rPr>
      </w:pPr>
      <w:r>
        <w:rPr>
          <w:rFonts w:hint="eastAsia"/>
          <w:color w:val="auto"/>
          <w:sz w:val="28"/>
          <w:szCs w:val="28"/>
          <w:highlight w:val="none"/>
          <w:lang w:eastAsia="zh-CN"/>
        </w:rPr>
        <w:t>服务方</w:t>
      </w:r>
      <w:r>
        <w:rPr>
          <w:rFonts w:hint="eastAsia"/>
          <w:color w:val="auto"/>
          <w:sz w:val="28"/>
          <w:szCs w:val="28"/>
          <w:highlight w:val="none"/>
        </w:rPr>
        <w:t>的工作范围</w:t>
      </w:r>
      <w:bookmarkEnd w:id="11"/>
    </w:p>
    <w:p w14:paraId="66AD084A">
      <w:pPr>
        <w:pStyle w:val="4"/>
        <w:shd w:val="clear" w:color="auto" w:fill="auto"/>
        <w:ind w:left="960"/>
        <w:rPr>
          <w:rFonts w:hint="eastAsia" w:ascii="Times New Roman" w:hAnsi="Times New Roman" w:eastAsia="宋体" w:cs="Times New Roman"/>
          <w:b/>
          <w:bCs/>
          <w:color w:val="auto"/>
          <w:sz w:val="28"/>
          <w:szCs w:val="28"/>
          <w:highlight w:val="none"/>
        </w:rPr>
      </w:pPr>
      <w:bookmarkStart w:id="12" w:name="_Toc408936475"/>
      <w:r>
        <w:rPr>
          <w:rFonts w:hint="eastAsia" w:ascii="Times New Roman" w:hAnsi="Times New Roman" w:eastAsia="宋体" w:cs="Times New Roman"/>
          <w:b/>
          <w:bCs/>
          <w:color w:val="auto"/>
          <w:sz w:val="28"/>
          <w:szCs w:val="28"/>
          <w:highlight w:val="none"/>
        </w:rPr>
        <w:t>认证服务范围：</w:t>
      </w:r>
    </w:p>
    <w:p w14:paraId="646973EE">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1）ISO/IEC9001质量管理体系认证范围；</w:t>
      </w:r>
    </w:p>
    <w:p w14:paraId="097EA8BA">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2）ISO20000信息技术服务管理体系认证范围；</w:t>
      </w:r>
    </w:p>
    <w:p w14:paraId="07268487">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3）ISO/IEC27001信息安全管理体系认证范围；</w:t>
      </w:r>
    </w:p>
    <w:p w14:paraId="7C9232A6">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4）ISO/IEC 27701隐私信息管理体系认证范围</w:t>
      </w:r>
      <w:r>
        <w:rPr>
          <w:rFonts w:hint="eastAsia" w:ascii="Calibri" w:hAnsi="Calibri" w:cs="Times New Roman"/>
          <w:color w:val="auto"/>
          <w:kern w:val="2"/>
          <w:sz w:val="28"/>
          <w:szCs w:val="28"/>
          <w:highlight w:val="none"/>
          <w:lang w:val="en-US" w:eastAsia="zh-CN" w:bidi="ar-SA"/>
        </w:rPr>
        <w:t>；</w:t>
      </w:r>
    </w:p>
    <w:p w14:paraId="28F6130F">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5）ISO/IEC42001:2023人工智能管理体系认证范围</w:t>
      </w:r>
      <w:r>
        <w:rPr>
          <w:rFonts w:hint="eastAsia" w:ascii="Calibri" w:hAnsi="Calibri" w:cs="Times New Roman"/>
          <w:color w:val="auto"/>
          <w:kern w:val="2"/>
          <w:sz w:val="28"/>
          <w:szCs w:val="28"/>
          <w:highlight w:val="none"/>
          <w:lang w:val="en-US" w:eastAsia="zh-CN" w:bidi="ar-SA"/>
        </w:rPr>
        <w:t>；</w:t>
      </w:r>
    </w:p>
    <w:p w14:paraId="5D87BC93">
      <w:pPr>
        <w:pStyle w:val="15"/>
        <w:rPr>
          <w:rFonts w:hint="eastAsia" w:ascii="Calibri" w:hAnsi="Calibri" w:eastAsia="宋体" w:cs="Times New Roman"/>
          <w:b w:val="0"/>
          <w:color w:val="auto"/>
          <w:kern w:val="2"/>
          <w:sz w:val="28"/>
          <w:szCs w:val="28"/>
          <w:highlight w:val="none"/>
          <w:lang w:val="en-US" w:eastAsia="zh-CN" w:bidi="ar-SA"/>
        </w:rPr>
      </w:pPr>
      <w:r>
        <w:rPr>
          <w:rFonts w:hint="eastAsia" w:ascii="Calibri" w:hAnsi="Calibri" w:cs="Times New Roman"/>
          <w:b w:val="0"/>
          <w:color w:val="auto"/>
          <w:kern w:val="2"/>
          <w:sz w:val="28"/>
          <w:szCs w:val="28"/>
          <w:highlight w:val="none"/>
          <w:lang w:val="en-US" w:eastAsia="zh-CN" w:bidi="ar-SA"/>
        </w:rPr>
        <w:t>6</w:t>
      </w:r>
      <w:r>
        <w:rPr>
          <w:rFonts w:hint="eastAsia" w:ascii="Calibri" w:hAnsi="Calibri" w:eastAsia="宋体" w:cs="Times New Roman"/>
          <w:b w:val="0"/>
          <w:color w:val="auto"/>
          <w:kern w:val="2"/>
          <w:sz w:val="28"/>
          <w:szCs w:val="28"/>
          <w:highlight w:val="none"/>
          <w:lang w:val="en-US" w:eastAsia="zh-CN" w:bidi="ar-SA"/>
        </w:rPr>
        <w:t>）</w:t>
      </w:r>
      <w:r>
        <w:rPr>
          <w:rFonts w:hint="eastAsia" w:ascii="Calibri" w:hAnsi="Calibri" w:eastAsia="宋体" w:cs="Times New Roman"/>
          <w:color w:val="auto"/>
          <w:kern w:val="2"/>
          <w:sz w:val="28"/>
          <w:szCs w:val="28"/>
          <w:highlight w:val="none"/>
          <w:lang w:val="en-US" w:eastAsia="zh-CN" w:bidi="ar-SA"/>
        </w:rPr>
        <w:t>ITSS信息技术服务标准认证范围</w:t>
      </w:r>
      <w:r>
        <w:rPr>
          <w:rFonts w:hint="eastAsia" w:ascii="Calibri" w:hAnsi="Calibri" w:eastAsia="宋体" w:cs="Times New Roman"/>
          <w:b w:val="0"/>
          <w:color w:val="auto"/>
          <w:kern w:val="2"/>
          <w:sz w:val="28"/>
          <w:szCs w:val="28"/>
          <w:highlight w:val="none"/>
          <w:lang w:val="en-US" w:eastAsia="zh-CN" w:bidi="ar-SA"/>
        </w:rPr>
        <w:t>；</w:t>
      </w:r>
    </w:p>
    <w:p w14:paraId="788B6BDE">
      <w:pPr>
        <w:rPr>
          <w:rFonts w:hint="eastAsia" w:ascii="Calibri" w:hAnsi="Calibri" w:eastAsia="宋体" w:cs="Times New Roman"/>
          <w:color w:val="auto"/>
          <w:kern w:val="2"/>
          <w:sz w:val="28"/>
          <w:szCs w:val="28"/>
          <w:highlight w:val="none"/>
          <w:lang w:val="en-US" w:eastAsia="zh-CN" w:bidi="ar-SA"/>
        </w:rPr>
      </w:pPr>
      <w:r>
        <w:rPr>
          <w:rFonts w:hint="eastAsia" w:ascii="Calibri" w:hAnsi="Calibri" w:cs="Times New Roman"/>
          <w:b w:val="0"/>
          <w:color w:val="auto"/>
          <w:kern w:val="2"/>
          <w:sz w:val="28"/>
          <w:szCs w:val="28"/>
          <w:highlight w:val="none"/>
          <w:lang w:val="en-US" w:eastAsia="zh-CN" w:bidi="ar-SA"/>
        </w:rPr>
        <w:t>7</w:t>
      </w:r>
      <w:r>
        <w:rPr>
          <w:rFonts w:hint="eastAsia" w:ascii="Calibri" w:hAnsi="Calibri" w:eastAsia="宋体" w:cs="Times New Roman"/>
          <w:b w:val="0"/>
          <w:color w:val="auto"/>
          <w:kern w:val="2"/>
          <w:sz w:val="28"/>
          <w:szCs w:val="28"/>
          <w:highlight w:val="none"/>
          <w:lang w:val="en-US" w:eastAsia="zh-CN" w:bidi="ar-SA"/>
        </w:rPr>
        <w:t>）</w:t>
      </w:r>
      <w:r>
        <w:rPr>
          <w:rFonts w:hint="eastAsia" w:ascii="Calibri" w:hAnsi="Calibri" w:eastAsia="宋体" w:cs="Times New Roman"/>
          <w:snapToGrid w:val="0"/>
          <w:color w:val="auto"/>
          <w:sz w:val="28"/>
          <w:szCs w:val="28"/>
          <w:highlight w:val="none"/>
          <w:lang w:eastAsia="zh-CN"/>
        </w:rPr>
        <w:t>CCRC信息安全服务资质（安全运维服务、</w:t>
      </w:r>
      <w:r>
        <w:rPr>
          <w:rFonts w:hint="eastAsia" w:ascii="Calibri" w:hAnsi="Calibri" w:eastAsia="宋体" w:cs="Times New Roman"/>
          <w:snapToGrid w:val="0"/>
          <w:color w:val="auto"/>
          <w:sz w:val="28"/>
          <w:szCs w:val="28"/>
          <w:highlight w:val="none"/>
          <w:lang w:val="en-US" w:eastAsia="zh-CN"/>
        </w:rPr>
        <w:t>安全应急处理</w:t>
      </w:r>
      <w:r>
        <w:rPr>
          <w:rFonts w:hint="eastAsia" w:ascii="Calibri" w:hAnsi="Calibri" w:eastAsia="宋体" w:cs="Times New Roman"/>
          <w:snapToGrid w:val="0"/>
          <w:color w:val="auto"/>
          <w:sz w:val="28"/>
          <w:szCs w:val="28"/>
          <w:highlight w:val="none"/>
          <w:lang w:eastAsia="zh-CN"/>
        </w:rPr>
        <w:t>服务</w:t>
      </w:r>
      <w:r>
        <w:rPr>
          <w:rFonts w:hint="eastAsia" w:ascii="Calibri" w:hAnsi="Calibri" w:cs="Times New Roman"/>
          <w:snapToGrid w:val="0"/>
          <w:color w:val="auto"/>
          <w:sz w:val="28"/>
          <w:szCs w:val="28"/>
          <w:highlight w:val="none"/>
          <w:lang w:eastAsia="zh-CN"/>
        </w:rPr>
        <w:t>、</w:t>
      </w:r>
      <w:r>
        <w:rPr>
          <w:rFonts w:hint="eastAsia" w:ascii="Calibri" w:hAnsi="Calibri" w:cs="Times New Roman"/>
          <w:snapToGrid w:val="0"/>
          <w:color w:val="auto"/>
          <w:sz w:val="28"/>
          <w:szCs w:val="28"/>
          <w:highlight w:val="none"/>
          <w:lang w:val="en-US" w:eastAsia="zh-CN"/>
        </w:rPr>
        <w:t>软件安全开发服务</w:t>
      </w:r>
      <w:r>
        <w:rPr>
          <w:rFonts w:hint="eastAsia" w:ascii="Calibri" w:hAnsi="Calibri" w:eastAsia="宋体" w:cs="Times New Roman"/>
          <w:snapToGrid w:val="0"/>
          <w:color w:val="auto"/>
          <w:sz w:val="28"/>
          <w:szCs w:val="28"/>
          <w:highlight w:val="none"/>
          <w:lang w:eastAsia="zh-CN"/>
        </w:rPr>
        <w:t>）认证</w:t>
      </w:r>
      <w:r>
        <w:rPr>
          <w:rFonts w:hint="eastAsia" w:ascii="Calibri" w:hAnsi="Calibri" w:eastAsia="宋体" w:cs="Times New Roman"/>
          <w:color w:val="auto"/>
          <w:kern w:val="2"/>
          <w:sz w:val="28"/>
          <w:szCs w:val="28"/>
          <w:highlight w:val="none"/>
          <w:lang w:val="en-US" w:eastAsia="zh-CN" w:bidi="ar-SA"/>
        </w:rPr>
        <w:t>范围；</w:t>
      </w:r>
    </w:p>
    <w:p w14:paraId="0AC6078D">
      <w:pPr>
        <w:rPr>
          <w:rFonts w:hint="default"/>
          <w:color w:val="auto"/>
          <w:sz w:val="28"/>
          <w:szCs w:val="28"/>
          <w:lang w:val="en-US" w:eastAsia="zh-CN"/>
        </w:rPr>
      </w:pPr>
      <w:r>
        <w:rPr>
          <w:rFonts w:hint="eastAsia" w:ascii="Calibri" w:hAnsi="Calibri" w:cs="Times New Roman"/>
          <w:color w:val="auto"/>
          <w:kern w:val="2"/>
          <w:sz w:val="28"/>
          <w:szCs w:val="28"/>
          <w:highlight w:val="none"/>
          <w:lang w:val="en-US" w:eastAsia="zh-CN" w:bidi="ar-SA"/>
        </w:rPr>
        <w:t>8</w:t>
      </w:r>
      <w:r>
        <w:rPr>
          <w:rFonts w:hint="eastAsia" w:ascii="Calibri" w:hAnsi="Calibri" w:eastAsia="宋体" w:cs="Times New Roman"/>
          <w:color w:val="auto"/>
          <w:kern w:val="2"/>
          <w:sz w:val="28"/>
          <w:szCs w:val="28"/>
          <w:highlight w:val="none"/>
          <w:lang w:val="en-US" w:eastAsia="zh-CN" w:bidi="ar-SA"/>
        </w:rPr>
        <w:t>）CMMI软件能力成熟度模型集成</w:t>
      </w:r>
      <w:r>
        <w:rPr>
          <w:rFonts w:hint="eastAsia" w:ascii="Calibri" w:hAnsi="Calibri" w:cs="Times New Roman"/>
          <w:color w:val="auto"/>
          <w:kern w:val="2"/>
          <w:sz w:val="28"/>
          <w:szCs w:val="28"/>
          <w:highlight w:val="none"/>
          <w:lang w:val="en-US" w:eastAsia="zh-CN" w:bidi="ar-SA"/>
        </w:rPr>
        <w:t>认证范围</w:t>
      </w:r>
      <w:r>
        <w:rPr>
          <w:rFonts w:hint="eastAsia" w:ascii="Calibri" w:hAnsi="Calibri" w:eastAsia="宋体" w:cs="Times New Roman"/>
          <w:color w:val="auto"/>
          <w:kern w:val="2"/>
          <w:sz w:val="28"/>
          <w:szCs w:val="28"/>
          <w:highlight w:val="none"/>
          <w:lang w:val="en-US" w:eastAsia="zh-CN" w:bidi="ar-SA"/>
        </w:rPr>
        <w:t>。</w:t>
      </w:r>
    </w:p>
    <w:p w14:paraId="17E4578C">
      <w:pPr>
        <w:pStyle w:val="4"/>
        <w:shd w:val="clear" w:color="auto" w:fill="auto"/>
        <w:ind w:left="960"/>
        <w:rPr>
          <w:rFonts w:hint="eastAsia" w:ascii="Times New Roman" w:hAnsi="Times New Roman" w:eastAsia="宋体" w:cs="Times New Roman"/>
          <w:b/>
          <w:bCs/>
          <w:color w:val="auto"/>
          <w:sz w:val="28"/>
          <w:szCs w:val="28"/>
          <w:highlight w:val="none"/>
          <w:lang w:eastAsia="zh-CN"/>
        </w:rPr>
      </w:pPr>
      <w:r>
        <w:rPr>
          <w:rFonts w:hint="eastAsia" w:ascii="Times New Roman" w:hAnsi="Times New Roman" w:eastAsia="宋体" w:cs="Times New Roman"/>
          <w:b/>
          <w:bCs/>
          <w:color w:val="auto"/>
          <w:sz w:val="28"/>
          <w:szCs w:val="28"/>
          <w:highlight w:val="none"/>
        </w:rPr>
        <w:t>组织范围：</w:t>
      </w:r>
      <w:r>
        <w:rPr>
          <w:rFonts w:hint="eastAsia" w:cs="Times New Roman"/>
          <w:b/>
          <w:bCs/>
          <w:color w:val="auto"/>
          <w:sz w:val="28"/>
          <w:szCs w:val="28"/>
          <w:highlight w:val="none"/>
          <w:lang w:val="en-US" w:eastAsia="zh-CN"/>
        </w:rPr>
        <w:t>广东南方智媒科技有限</w:t>
      </w:r>
      <w:r>
        <w:rPr>
          <w:rFonts w:hint="eastAsia" w:ascii="Times New Roman" w:hAnsi="Times New Roman" w:eastAsia="宋体" w:cs="Times New Roman"/>
          <w:b/>
          <w:bCs/>
          <w:color w:val="auto"/>
          <w:sz w:val="28"/>
          <w:szCs w:val="28"/>
          <w:highlight w:val="none"/>
          <w:lang w:eastAsia="zh-CN"/>
        </w:rPr>
        <w:t>公司</w:t>
      </w:r>
      <w:r>
        <w:rPr>
          <w:rFonts w:hint="eastAsia" w:cs="Times New Roman"/>
          <w:b/>
          <w:bCs/>
          <w:color w:val="auto"/>
          <w:sz w:val="28"/>
          <w:szCs w:val="28"/>
          <w:highlight w:val="none"/>
          <w:lang w:eastAsia="zh-CN"/>
        </w:rPr>
        <w:t>，</w:t>
      </w:r>
      <w:r>
        <w:rPr>
          <w:rFonts w:hint="eastAsia" w:cs="Times New Roman"/>
          <w:b/>
          <w:bCs/>
          <w:color w:val="auto"/>
          <w:sz w:val="28"/>
          <w:szCs w:val="28"/>
          <w:highlight w:val="none"/>
          <w:lang w:val="en-US" w:eastAsia="zh-CN"/>
        </w:rPr>
        <w:t>覆盖人数104。</w:t>
      </w:r>
    </w:p>
    <w:p w14:paraId="6FF71786">
      <w:pPr>
        <w:pStyle w:val="63"/>
        <w:shd w:val="clear" w:color="auto" w:fill="auto"/>
        <w:rPr>
          <w:rFonts w:hint="eastAsia"/>
          <w:b/>
          <w:bCs/>
          <w:color w:val="auto"/>
          <w:sz w:val="28"/>
          <w:szCs w:val="28"/>
          <w:highlight w:val="none"/>
          <w:lang w:eastAsia="zh-CN"/>
        </w:rPr>
      </w:pPr>
      <w:r>
        <w:rPr>
          <w:rFonts w:hint="eastAsia"/>
          <w:b/>
          <w:bCs/>
          <w:color w:val="auto"/>
          <w:sz w:val="28"/>
          <w:szCs w:val="28"/>
          <w:highlight w:val="none"/>
          <w:lang w:eastAsia="zh-CN"/>
        </w:rPr>
        <w:t>技术指标要求</w:t>
      </w:r>
      <w:bookmarkEnd w:id="12"/>
    </w:p>
    <w:p w14:paraId="04400BB9">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default"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符合相关体系认证标准。</w:t>
      </w:r>
    </w:p>
    <w:p w14:paraId="6FDD37A3">
      <w:pPr>
        <w:pStyle w:val="63"/>
        <w:shd w:val="clear" w:color="auto" w:fill="auto"/>
        <w:rPr>
          <w:rFonts w:hint="eastAsia"/>
          <w:color w:val="auto"/>
          <w:sz w:val="28"/>
          <w:szCs w:val="28"/>
          <w:highlight w:val="none"/>
        </w:rPr>
      </w:pPr>
      <w:r>
        <w:rPr>
          <w:rFonts w:hint="eastAsia"/>
          <w:color w:val="auto"/>
          <w:sz w:val="28"/>
          <w:szCs w:val="28"/>
          <w:highlight w:val="none"/>
        </w:rPr>
        <w:t>技术服务要求</w:t>
      </w:r>
    </w:p>
    <w:p w14:paraId="2564E1D4">
      <w:pPr>
        <w:pStyle w:val="4"/>
        <w:shd w:val="clear" w:color="auto" w:fill="auto"/>
        <w:ind w:left="960"/>
        <w:rPr>
          <w:color w:val="auto"/>
          <w:sz w:val="28"/>
          <w:szCs w:val="28"/>
          <w:highlight w:val="none"/>
        </w:rPr>
      </w:pPr>
      <w:r>
        <w:rPr>
          <w:rFonts w:hint="eastAsia"/>
          <w:color w:val="auto"/>
          <w:sz w:val="28"/>
          <w:szCs w:val="28"/>
          <w:highlight w:val="none"/>
        </w:rPr>
        <w:t>技术服务能力要求</w:t>
      </w:r>
    </w:p>
    <w:p w14:paraId="35CCE98A">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1）服务方需要提供合理的认证服务方案。</w:t>
      </w:r>
    </w:p>
    <w:p w14:paraId="00905CB1">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2）服务方需要提供必要和完善的服务质量保证措施。</w:t>
      </w:r>
    </w:p>
    <w:p w14:paraId="4C3C0E34">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3）服务方需要按照认证方案中的时间进行实施，保证进度。</w:t>
      </w:r>
    </w:p>
    <w:p w14:paraId="27814CB2">
      <w:pPr>
        <w:pStyle w:val="4"/>
        <w:shd w:val="clear" w:color="auto" w:fill="auto"/>
        <w:ind w:left="960"/>
        <w:rPr>
          <w:rFonts w:hint="eastAsia" w:ascii="Times New Roman" w:hAnsi="Times New Roman" w:eastAsia="宋体" w:cs="Times New Roman"/>
          <w:b/>
          <w:bCs/>
          <w:color w:val="auto"/>
          <w:sz w:val="28"/>
          <w:szCs w:val="28"/>
          <w:highlight w:val="none"/>
          <w:lang w:val="sv-SE"/>
        </w:rPr>
      </w:pPr>
      <w:r>
        <w:rPr>
          <w:rFonts w:hint="eastAsia" w:ascii="Times New Roman" w:hAnsi="Times New Roman" w:eastAsia="宋体" w:cs="Times New Roman"/>
          <w:b/>
          <w:bCs/>
          <w:color w:val="auto"/>
          <w:sz w:val="28"/>
          <w:szCs w:val="28"/>
          <w:highlight w:val="none"/>
          <w:lang w:val="sv-SE"/>
        </w:rPr>
        <w:t>服务时间方式</w:t>
      </w:r>
    </w:p>
    <w:p w14:paraId="7E96E47C">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服务时间及方式</w:t>
      </w:r>
    </w:p>
    <w:tbl>
      <w:tblPr>
        <w:tblStyle w:val="30"/>
        <w:tblW w:w="0" w:type="auto"/>
        <w:tblInd w:w="133" w:type="dxa"/>
        <w:tblLayout w:type="fixed"/>
        <w:tblCellMar>
          <w:top w:w="0" w:type="dxa"/>
          <w:left w:w="108" w:type="dxa"/>
          <w:bottom w:w="0" w:type="dxa"/>
          <w:right w:w="108" w:type="dxa"/>
        </w:tblCellMar>
      </w:tblPr>
      <w:tblGrid>
        <w:gridCol w:w="1056"/>
        <w:gridCol w:w="1677"/>
        <w:gridCol w:w="5427"/>
      </w:tblGrid>
      <w:tr w14:paraId="34FC6156">
        <w:tblPrEx>
          <w:tblCellMar>
            <w:top w:w="0" w:type="dxa"/>
            <w:left w:w="108" w:type="dxa"/>
            <w:bottom w:w="0" w:type="dxa"/>
            <w:right w:w="108" w:type="dxa"/>
          </w:tblCellMar>
        </w:tblPrEx>
        <w:trPr>
          <w:trHeight w:val="502" w:hRule="atLeast"/>
        </w:trPr>
        <w:tc>
          <w:tcPr>
            <w:tcW w:w="1056" w:type="dxa"/>
            <w:tcBorders>
              <w:top w:val="single" w:color="000000" w:sz="4" w:space="0"/>
              <w:left w:val="single" w:color="000000" w:sz="4" w:space="0"/>
              <w:bottom w:val="single" w:color="000000" w:sz="4" w:space="0"/>
              <w:right w:val="single" w:color="000000" w:sz="4" w:space="0"/>
            </w:tcBorders>
            <w:noWrap w:val="0"/>
            <w:vAlign w:val="center"/>
          </w:tcPr>
          <w:p w14:paraId="50A70C47">
            <w:pPr>
              <w:widowControl/>
              <w:shd w:val="clear" w:color="auto" w:fill="auto"/>
              <w:spacing w:line="360" w:lineRule="auto"/>
              <w:ind w:firstLine="0" w:firstLineChars="0"/>
              <w:rPr>
                <w:rFonts w:ascii="宋体" w:hAnsi="宋体"/>
                <w:color w:val="auto"/>
                <w:sz w:val="28"/>
                <w:szCs w:val="28"/>
                <w:highlight w:val="none"/>
              </w:rPr>
            </w:pPr>
            <w:r>
              <w:rPr>
                <w:rFonts w:hint="eastAsia" w:ascii="宋体" w:hAnsi="宋体"/>
                <w:color w:val="auto"/>
                <w:sz w:val="28"/>
                <w:szCs w:val="28"/>
                <w:highlight w:val="none"/>
              </w:rPr>
              <w:t>序号</w:t>
            </w:r>
          </w:p>
        </w:tc>
        <w:tc>
          <w:tcPr>
            <w:tcW w:w="1677" w:type="dxa"/>
            <w:tcBorders>
              <w:top w:val="single" w:color="000000" w:sz="4" w:space="0"/>
              <w:left w:val="nil"/>
              <w:bottom w:val="single" w:color="000000" w:sz="4" w:space="0"/>
              <w:right w:val="single" w:color="000000" w:sz="4" w:space="0"/>
            </w:tcBorders>
            <w:noWrap w:val="0"/>
            <w:vAlign w:val="center"/>
          </w:tcPr>
          <w:p w14:paraId="71AA1BA9">
            <w:pPr>
              <w:widowControl/>
              <w:shd w:val="clear" w:color="auto" w:fill="auto"/>
              <w:spacing w:line="360" w:lineRule="auto"/>
              <w:ind w:firstLine="0" w:firstLineChars="0"/>
              <w:rPr>
                <w:rFonts w:ascii="宋体" w:hAnsi="宋体"/>
                <w:color w:val="auto"/>
                <w:sz w:val="28"/>
                <w:szCs w:val="28"/>
                <w:highlight w:val="none"/>
              </w:rPr>
            </w:pPr>
            <w:r>
              <w:rPr>
                <w:rFonts w:hint="eastAsia" w:ascii="宋体" w:hAnsi="宋体"/>
                <w:color w:val="auto"/>
                <w:sz w:val="28"/>
                <w:szCs w:val="28"/>
                <w:highlight w:val="none"/>
              </w:rPr>
              <w:t>工作方式</w:t>
            </w:r>
          </w:p>
        </w:tc>
        <w:tc>
          <w:tcPr>
            <w:tcW w:w="5427" w:type="dxa"/>
            <w:tcBorders>
              <w:top w:val="single" w:color="000000" w:sz="4" w:space="0"/>
              <w:left w:val="nil"/>
              <w:bottom w:val="single" w:color="000000" w:sz="4" w:space="0"/>
              <w:right w:val="single" w:color="000000" w:sz="4" w:space="0"/>
            </w:tcBorders>
            <w:noWrap w:val="0"/>
            <w:vAlign w:val="center"/>
          </w:tcPr>
          <w:p w14:paraId="4417B3D0">
            <w:pPr>
              <w:widowControl/>
              <w:shd w:val="clear" w:color="auto" w:fill="auto"/>
              <w:spacing w:line="360" w:lineRule="auto"/>
              <w:ind w:firstLine="480"/>
              <w:jc w:val="center"/>
              <w:rPr>
                <w:rFonts w:ascii="宋体" w:hAnsi="宋体"/>
                <w:color w:val="auto"/>
                <w:sz w:val="28"/>
                <w:szCs w:val="28"/>
                <w:highlight w:val="none"/>
              </w:rPr>
            </w:pPr>
            <w:r>
              <w:rPr>
                <w:rFonts w:hint="eastAsia" w:ascii="宋体" w:hAnsi="宋体"/>
                <w:color w:val="auto"/>
                <w:sz w:val="28"/>
                <w:szCs w:val="28"/>
                <w:highlight w:val="none"/>
              </w:rPr>
              <w:t>工作时间</w:t>
            </w:r>
          </w:p>
        </w:tc>
      </w:tr>
      <w:tr w14:paraId="7D330CC8">
        <w:tblPrEx>
          <w:tblCellMar>
            <w:top w:w="0" w:type="dxa"/>
            <w:left w:w="108" w:type="dxa"/>
            <w:bottom w:w="0" w:type="dxa"/>
            <w:right w:w="108" w:type="dxa"/>
          </w:tblCellMar>
        </w:tblPrEx>
        <w:trPr>
          <w:trHeight w:val="921" w:hRule="atLeast"/>
        </w:trPr>
        <w:tc>
          <w:tcPr>
            <w:tcW w:w="1056" w:type="dxa"/>
            <w:tcBorders>
              <w:top w:val="single" w:color="000000" w:sz="4" w:space="0"/>
              <w:left w:val="single" w:color="000000" w:sz="4" w:space="0"/>
              <w:bottom w:val="single" w:color="000000" w:sz="4" w:space="0"/>
              <w:right w:val="single" w:color="000000" w:sz="4" w:space="0"/>
            </w:tcBorders>
            <w:noWrap w:val="0"/>
            <w:vAlign w:val="center"/>
          </w:tcPr>
          <w:p w14:paraId="34592EC6">
            <w:pPr>
              <w:widowControl/>
              <w:shd w:val="clear" w:color="auto" w:fill="auto"/>
              <w:spacing w:line="360" w:lineRule="auto"/>
              <w:ind w:firstLine="198" w:firstLineChars="71"/>
              <w:rPr>
                <w:rFonts w:ascii="宋体" w:hAnsi="宋体"/>
                <w:color w:val="auto"/>
                <w:sz w:val="28"/>
                <w:szCs w:val="28"/>
                <w:highlight w:val="none"/>
              </w:rPr>
            </w:pPr>
            <w:r>
              <w:rPr>
                <w:rFonts w:hint="eastAsia" w:ascii="宋体" w:hAnsi="宋体"/>
                <w:color w:val="auto"/>
                <w:sz w:val="28"/>
                <w:szCs w:val="28"/>
                <w:highlight w:val="none"/>
              </w:rPr>
              <w:t>1</w:t>
            </w:r>
          </w:p>
        </w:tc>
        <w:tc>
          <w:tcPr>
            <w:tcW w:w="1677" w:type="dxa"/>
            <w:tcBorders>
              <w:top w:val="single" w:color="000000" w:sz="4" w:space="0"/>
              <w:left w:val="nil"/>
              <w:bottom w:val="single" w:color="000000" w:sz="4" w:space="0"/>
              <w:right w:val="single" w:color="000000" w:sz="4" w:space="0"/>
            </w:tcBorders>
            <w:noWrap w:val="0"/>
            <w:vAlign w:val="center"/>
          </w:tcPr>
          <w:p w14:paraId="1816AB51">
            <w:pPr>
              <w:widowControl/>
              <w:shd w:val="clear" w:color="auto" w:fill="auto"/>
              <w:spacing w:line="360" w:lineRule="auto"/>
              <w:ind w:firstLine="0" w:firstLineChars="0"/>
              <w:jc w:val="left"/>
              <w:rPr>
                <w:rFonts w:hint="default" w:ascii="宋体" w:hAnsi="宋体" w:eastAsia="宋体"/>
                <w:color w:val="auto"/>
                <w:sz w:val="28"/>
                <w:szCs w:val="28"/>
                <w:highlight w:val="none"/>
                <w:lang w:val="en-US" w:eastAsia="zh-CN"/>
              </w:rPr>
            </w:pPr>
            <w:r>
              <w:rPr>
                <w:rFonts w:hint="eastAsia" w:ascii="宋体" w:hAnsi="宋体" w:eastAsia="宋体"/>
                <w:color w:val="auto"/>
                <w:sz w:val="28"/>
                <w:szCs w:val="28"/>
                <w:highlight w:val="none"/>
                <w:lang w:val="en-US" w:eastAsia="zh-CN"/>
              </w:rPr>
              <w:t>远程服务</w:t>
            </w:r>
          </w:p>
        </w:tc>
        <w:tc>
          <w:tcPr>
            <w:tcW w:w="5427" w:type="dxa"/>
            <w:tcBorders>
              <w:top w:val="single" w:color="000000" w:sz="4" w:space="0"/>
              <w:left w:val="nil"/>
              <w:bottom w:val="single" w:color="000000" w:sz="4" w:space="0"/>
              <w:right w:val="single" w:color="000000" w:sz="4" w:space="0"/>
            </w:tcBorders>
            <w:noWrap w:val="0"/>
            <w:vAlign w:val="center"/>
          </w:tcPr>
          <w:p w14:paraId="424A3E1E">
            <w:pPr>
              <w:widowControl/>
              <w:shd w:val="clear" w:color="auto" w:fill="auto"/>
              <w:spacing w:line="360" w:lineRule="auto"/>
              <w:ind w:firstLine="0" w:firstLineChars="0"/>
              <w:jc w:val="left"/>
              <w:rPr>
                <w:rFonts w:hint="default" w:ascii="宋体" w:hAnsi="宋体" w:eastAsia="宋体"/>
                <w:color w:val="auto"/>
                <w:sz w:val="28"/>
                <w:szCs w:val="28"/>
                <w:highlight w:val="none"/>
                <w:lang w:val="en-US" w:eastAsia="zh-CN"/>
              </w:rPr>
            </w:pPr>
            <w:r>
              <w:rPr>
                <w:rFonts w:hint="eastAsia" w:ascii="宋体" w:hAnsi="宋体"/>
                <w:color w:val="auto"/>
                <w:sz w:val="28"/>
                <w:szCs w:val="28"/>
                <w:highlight w:val="none"/>
                <w:lang w:val="en-US" w:eastAsia="zh-CN"/>
              </w:rPr>
              <w:t>在资质审查前7天，提供资质审查当天的认证服务流程计划表</w:t>
            </w:r>
          </w:p>
        </w:tc>
      </w:tr>
      <w:tr w14:paraId="519EDC92">
        <w:tblPrEx>
          <w:tblCellMar>
            <w:top w:w="0" w:type="dxa"/>
            <w:left w:w="108" w:type="dxa"/>
            <w:bottom w:w="0" w:type="dxa"/>
            <w:right w:w="108" w:type="dxa"/>
          </w:tblCellMar>
        </w:tblPrEx>
        <w:trPr>
          <w:trHeight w:val="921" w:hRule="atLeast"/>
        </w:trPr>
        <w:tc>
          <w:tcPr>
            <w:tcW w:w="1056" w:type="dxa"/>
            <w:tcBorders>
              <w:top w:val="single" w:color="000000" w:sz="4" w:space="0"/>
              <w:left w:val="single" w:color="000000" w:sz="4" w:space="0"/>
              <w:bottom w:val="single" w:color="000000" w:sz="4" w:space="0"/>
              <w:right w:val="single" w:color="000000" w:sz="4" w:space="0"/>
            </w:tcBorders>
            <w:noWrap w:val="0"/>
            <w:vAlign w:val="center"/>
          </w:tcPr>
          <w:p w14:paraId="206C9F36">
            <w:pPr>
              <w:widowControl/>
              <w:shd w:val="clear" w:color="auto" w:fill="auto"/>
              <w:spacing w:line="360" w:lineRule="auto"/>
              <w:ind w:firstLine="198" w:firstLineChars="71"/>
              <w:rPr>
                <w:rFonts w:hint="eastAsia" w:ascii="宋体" w:hAnsi="宋体" w:eastAsia="宋体"/>
                <w:color w:val="auto"/>
                <w:sz w:val="28"/>
                <w:szCs w:val="28"/>
                <w:highlight w:val="none"/>
                <w:lang w:val="en-US" w:eastAsia="zh-CN"/>
              </w:rPr>
            </w:pPr>
            <w:r>
              <w:rPr>
                <w:rFonts w:hint="eastAsia" w:ascii="宋体" w:hAnsi="宋体"/>
                <w:color w:val="auto"/>
                <w:sz w:val="28"/>
                <w:szCs w:val="28"/>
                <w:highlight w:val="none"/>
                <w:lang w:val="en-US" w:eastAsia="zh-CN"/>
              </w:rPr>
              <w:t>2</w:t>
            </w:r>
          </w:p>
        </w:tc>
        <w:tc>
          <w:tcPr>
            <w:tcW w:w="1677" w:type="dxa"/>
            <w:tcBorders>
              <w:top w:val="single" w:color="000000" w:sz="4" w:space="0"/>
              <w:left w:val="nil"/>
              <w:bottom w:val="single" w:color="000000" w:sz="4" w:space="0"/>
              <w:right w:val="single" w:color="000000" w:sz="4" w:space="0"/>
            </w:tcBorders>
            <w:noWrap w:val="0"/>
            <w:vAlign w:val="center"/>
          </w:tcPr>
          <w:p w14:paraId="3CE99640">
            <w:pPr>
              <w:widowControl/>
              <w:shd w:val="clear" w:color="auto" w:fill="auto"/>
              <w:spacing w:line="360" w:lineRule="auto"/>
              <w:ind w:firstLine="0" w:firstLineChars="0"/>
              <w:jc w:val="left"/>
              <w:rPr>
                <w:rFonts w:hint="eastAsia" w:ascii="宋体" w:hAnsi="宋体" w:eastAsia="宋体"/>
                <w:color w:val="auto"/>
                <w:kern w:val="2"/>
                <w:sz w:val="28"/>
                <w:szCs w:val="28"/>
                <w:highlight w:val="none"/>
                <w:lang w:val="en-US" w:eastAsia="zh-CN" w:bidi="ar-SA"/>
              </w:rPr>
            </w:pPr>
            <w:r>
              <w:rPr>
                <w:rFonts w:hint="eastAsia" w:ascii="宋体" w:hAnsi="宋体"/>
                <w:color w:val="auto"/>
                <w:sz w:val="28"/>
                <w:szCs w:val="28"/>
                <w:highlight w:val="none"/>
                <w:lang w:val="en-US" w:eastAsia="zh-CN"/>
              </w:rPr>
              <w:t>现场服务</w:t>
            </w:r>
          </w:p>
        </w:tc>
        <w:tc>
          <w:tcPr>
            <w:tcW w:w="5427" w:type="dxa"/>
            <w:tcBorders>
              <w:top w:val="single" w:color="000000" w:sz="4" w:space="0"/>
              <w:left w:val="nil"/>
              <w:bottom w:val="single" w:color="000000" w:sz="4" w:space="0"/>
              <w:right w:val="single" w:color="000000" w:sz="4" w:space="0"/>
            </w:tcBorders>
            <w:noWrap w:val="0"/>
            <w:vAlign w:val="center"/>
          </w:tcPr>
          <w:p w14:paraId="4D3BFB43">
            <w:pPr>
              <w:widowControl/>
              <w:shd w:val="clear" w:color="auto" w:fill="auto"/>
              <w:spacing w:line="360" w:lineRule="auto"/>
              <w:ind w:firstLine="0" w:firstLineChars="0"/>
              <w:jc w:val="left"/>
              <w:rPr>
                <w:rFonts w:hint="default" w:ascii="宋体" w:hAnsi="宋体" w:eastAsia="宋体"/>
                <w:color w:val="auto"/>
                <w:kern w:val="2"/>
                <w:sz w:val="28"/>
                <w:szCs w:val="28"/>
                <w:highlight w:val="none"/>
                <w:lang w:val="en-US" w:eastAsia="zh-CN" w:bidi="ar-SA"/>
              </w:rPr>
            </w:pPr>
            <w:r>
              <w:rPr>
                <w:rFonts w:hint="eastAsia" w:ascii="宋体" w:hAnsi="宋体"/>
                <w:color w:val="auto"/>
                <w:sz w:val="28"/>
                <w:szCs w:val="28"/>
                <w:highlight w:val="none"/>
                <w:lang w:val="en-US" w:eastAsia="zh-CN"/>
              </w:rPr>
              <w:t>在资质审查当天，配合完成公司资质认证工作</w:t>
            </w:r>
          </w:p>
        </w:tc>
      </w:tr>
    </w:tbl>
    <w:p w14:paraId="4CD7E406">
      <w:pPr>
        <w:pStyle w:val="63"/>
        <w:shd w:val="clear" w:color="auto" w:fill="auto"/>
        <w:rPr>
          <w:color w:val="auto"/>
          <w:sz w:val="28"/>
          <w:szCs w:val="28"/>
          <w:highlight w:val="none"/>
        </w:rPr>
      </w:pPr>
      <w:r>
        <w:rPr>
          <w:rFonts w:hint="eastAsia"/>
          <w:color w:val="auto"/>
          <w:sz w:val="28"/>
          <w:szCs w:val="28"/>
          <w:highlight w:val="none"/>
        </w:rPr>
        <w:t>交付物要求</w:t>
      </w:r>
    </w:p>
    <w:p w14:paraId="779681C2">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服务方应在合同规定时间内，安排审查公司认证资料，并出具相应资质证书</w:t>
      </w:r>
      <w:r>
        <w:rPr>
          <w:rFonts w:hint="eastAsia" w:ascii="Calibri" w:hAnsi="Calibri" w:cs="Times New Roman"/>
          <w:color w:val="auto"/>
          <w:kern w:val="2"/>
          <w:sz w:val="28"/>
          <w:szCs w:val="28"/>
          <w:highlight w:val="none"/>
          <w:lang w:val="en-US" w:eastAsia="zh-CN" w:bidi="ar-SA"/>
        </w:rPr>
        <w:t>。</w:t>
      </w:r>
    </w:p>
    <w:p w14:paraId="26EAEB19">
      <w:pPr>
        <w:pStyle w:val="63"/>
        <w:shd w:val="clear" w:color="auto" w:fill="auto"/>
        <w:rPr>
          <w:rFonts w:hint="eastAsia"/>
          <w:color w:val="auto"/>
          <w:sz w:val="28"/>
          <w:szCs w:val="28"/>
          <w:highlight w:val="none"/>
          <w:lang w:val="en-US" w:eastAsia="zh-CN"/>
        </w:rPr>
      </w:pPr>
      <w:r>
        <w:rPr>
          <w:rFonts w:hint="eastAsia"/>
          <w:color w:val="auto"/>
          <w:sz w:val="28"/>
          <w:szCs w:val="28"/>
          <w:highlight w:val="none"/>
          <w:lang w:val="en-US" w:eastAsia="zh-CN"/>
        </w:rPr>
        <w:t>服务费用结算</w:t>
      </w:r>
    </w:p>
    <w:p w14:paraId="2B938B97">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cs="Times New Roman"/>
          <w:color w:val="auto"/>
          <w:kern w:val="2"/>
          <w:sz w:val="28"/>
          <w:szCs w:val="28"/>
          <w:highlight w:val="none"/>
          <w:lang w:val="en-US" w:eastAsia="zh-CN" w:bidi="ar-SA"/>
        </w:rPr>
      </w:pPr>
      <w:r>
        <w:rPr>
          <w:rFonts w:hint="eastAsia" w:ascii="Calibri" w:hAnsi="Calibri" w:cs="Times New Roman"/>
          <w:color w:val="auto"/>
          <w:kern w:val="2"/>
          <w:sz w:val="28"/>
          <w:szCs w:val="28"/>
          <w:highlight w:val="none"/>
          <w:lang w:val="en-US" w:eastAsia="zh-CN" w:bidi="ar-SA"/>
        </w:rPr>
        <w:t>根据国家认监委《质量管理体系认证规则》（CNCA-QMS-01:2025）第5.3.1条规定“认证费用应由认证委托人向认证机构直接支付”的，由公司直接向认证机构支付。咨询服务费及代付认证费用由公司支付给</w:t>
      </w:r>
      <w:r>
        <w:rPr>
          <w:rFonts w:hint="eastAsia" w:ascii="Calibri" w:hAnsi="Calibri" w:eastAsia="宋体" w:cs="Times New Roman"/>
          <w:color w:val="auto"/>
          <w:kern w:val="2"/>
          <w:sz w:val="28"/>
          <w:szCs w:val="28"/>
          <w:highlight w:val="none"/>
          <w:lang w:val="en-US" w:eastAsia="zh-CN" w:bidi="ar-SA"/>
        </w:rPr>
        <w:t>服务方</w:t>
      </w:r>
      <w:r>
        <w:rPr>
          <w:rFonts w:hint="eastAsia" w:ascii="Calibri" w:hAnsi="Calibri" w:cs="Times New Roman"/>
          <w:color w:val="auto"/>
          <w:kern w:val="2"/>
          <w:sz w:val="28"/>
          <w:szCs w:val="28"/>
          <w:highlight w:val="none"/>
          <w:lang w:val="en-US" w:eastAsia="zh-CN" w:bidi="ar-SA"/>
        </w:rPr>
        <w:t>，</w:t>
      </w:r>
      <w:r>
        <w:rPr>
          <w:rFonts w:hint="eastAsia" w:ascii="Calibri" w:hAnsi="Calibri" w:eastAsia="宋体" w:cs="Times New Roman"/>
          <w:color w:val="auto"/>
          <w:kern w:val="2"/>
          <w:sz w:val="28"/>
          <w:szCs w:val="28"/>
          <w:highlight w:val="none"/>
          <w:lang w:val="en-US" w:eastAsia="zh-CN" w:bidi="ar-SA"/>
        </w:rPr>
        <w:t>服务方</w:t>
      </w:r>
      <w:r>
        <w:rPr>
          <w:rFonts w:hint="eastAsia" w:ascii="Calibri" w:hAnsi="Calibri" w:cs="Times New Roman"/>
          <w:color w:val="auto"/>
          <w:kern w:val="2"/>
          <w:sz w:val="28"/>
          <w:szCs w:val="28"/>
          <w:highlight w:val="none"/>
          <w:lang w:val="en-US" w:eastAsia="zh-CN" w:bidi="ar-SA"/>
        </w:rPr>
        <w:t>开具相应金额发票。</w:t>
      </w:r>
      <w:bookmarkStart w:id="14" w:name="_GoBack"/>
      <w:bookmarkEnd w:id="14"/>
    </w:p>
    <w:p w14:paraId="2CF0346D">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default" w:ascii="Calibri" w:hAnsi="Calibri" w:eastAsia="宋体" w:cs="Times New Roman"/>
          <w:color w:val="auto"/>
          <w:kern w:val="2"/>
          <w:sz w:val="28"/>
          <w:szCs w:val="28"/>
          <w:highlight w:val="none"/>
          <w:lang w:val="en-US" w:eastAsia="zh-CN" w:bidi="ar-SA"/>
        </w:rPr>
      </w:pPr>
      <w:r>
        <w:rPr>
          <w:rFonts w:hint="eastAsia" w:ascii="Calibri" w:hAnsi="Calibri" w:cs="Times New Roman"/>
          <w:color w:val="auto"/>
          <w:kern w:val="2"/>
          <w:sz w:val="28"/>
          <w:szCs w:val="28"/>
          <w:highlight w:val="none"/>
          <w:lang w:val="en-US" w:eastAsia="zh-CN" w:bidi="ar-SA"/>
        </w:rPr>
        <w:t>咨询服务费及代付认证费分两期付款，合同签订后公司预付40%，</w:t>
      </w:r>
      <w:r>
        <w:rPr>
          <w:rFonts w:hint="eastAsia" w:ascii="Calibri" w:hAnsi="Calibri" w:eastAsia="宋体" w:cs="Times New Roman"/>
          <w:color w:val="auto"/>
          <w:kern w:val="2"/>
          <w:sz w:val="28"/>
          <w:szCs w:val="28"/>
          <w:highlight w:val="none"/>
          <w:lang w:val="en-US" w:eastAsia="zh-CN" w:bidi="ar-SA"/>
        </w:rPr>
        <w:t>服务方</w:t>
      </w:r>
      <w:r>
        <w:rPr>
          <w:rFonts w:hint="eastAsia" w:ascii="Calibri" w:hAnsi="Calibri" w:cs="Times New Roman"/>
          <w:color w:val="auto"/>
          <w:kern w:val="2"/>
          <w:sz w:val="28"/>
          <w:szCs w:val="28"/>
          <w:highlight w:val="none"/>
          <w:lang w:val="en-US" w:eastAsia="zh-CN" w:bidi="ar-SA"/>
        </w:rPr>
        <w:t>完成全部认证工作后，双方根据最终认证审核通过结果据实结算剩余合同款。每次付款前，服务方需提供真实有效的增值税专用发票。如由于服务机构原因导致认证或年审未按期完成，公司对该项服务内容不支付任何费用，且如公司已向认证机构支付认证费用的，由服务方赔偿公司相关费用。</w:t>
      </w:r>
    </w:p>
    <w:p w14:paraId="24D69EC1">
      <w:pPr>
        <w:pStyle w:val="63"/>
        <w:shd w:val="clear" w:color="auto" w:fill="auto"/>
        <w:rPr>
          <w:color w:val="auto"/>
          <w:sz w:val="28"/>
          <w:szCs w:val="28"/>
          <w:highlight w:val="none"/>
        </w:rPr>
      </w:pPr>
      <w:r>
        <w:rPr>
          <w:rFonts w:hint="eastAsia"/>
          <w:color w:val="auto"/>
          <w:sz w:val="28"/>
          <w:szCs w:val="28"/>
          <w:highlight w:val="none"/>
        </w:rPr>
        <w:t>保密要求</w:t>
      </w:r>
    </w:p>
    <w:p w14:paraId="09037453">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服务</w:t>
      </w:r>
      <w:r>
        <w:rPr>
          <w:rFonts w:hint="eastAsia" w:ascii="Calibri" w:hAnsi="Calibri" w:cs="Times New Roman"/>
          <w:color w:val="auto"/>
          <w:kern w:val="2"/>
          <w:sz w:val="28"/>
          <w:szCs w:val="28"/>
          <w:highlight w:val="none"/>
          <w:lang w:val="en-US" w:eastAsia="zh-CN" w:bidi="ar-SA"/>
        </w:rPr>
        <w:t>方</w:t>
      </w:r>
      <w:r>
        <w:rPr>
          <w:rFonts w:hint="eastAsia" w:ascii="Calibri" w:hAnsi="Calibri" w:eastAsia="宋体" w:cs="Times New Roman"/>
          <w:color w:val="auto"/>
          <w:kern w:val="2"/>
          <w:sz w:val="28"/>
          <w:szCs w:val="28"/>
          <w:highlight w:val="none"/>
          <w:lang w:val="en-US" w:eastAsia="zh-CN" w:bidi="ar-SA"/>
        </w:rPr>
        <w:t>皆需与</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签署保密条款，未经许可不得泄露相关的任何信息。</w:t>
      </w:r>
    </w:p>
    <w:p w14:paraId="0633AA73">
      <w:pPr>
        <w:pStyle w:val="4"/>
        <w:shd w:val="clear" w:color="auto" w:fill="auto"/>
        <w:ind w:left="960"/>
        <w:rPr>
          <w:rFonts w:hint="eastAsia" w:ascii="Times New Roman" w:hAnsi="Times New Roman" w:eastAsia="宋体" w:cs="Times New Roman"/>
          <w:b/>
          <w:bCs/>
          <w:color w:val="auto"/>
          <w:sz w:val="28"/>
          <w:szCs w:val="28"/>
          <w:highlight w:val="none"/>
          <w:lang w:val="en-US" w:eastAsia="zh-CN"/>
        </w:rPr>
      </w:pPr>
      <w:r>
        <w:rPr>
          <w:rFonts w:hint="eastAsia" w:ascii="Times New Roman" w:hAnsi="Times New Roman" w:eastAsia="宋体" w:cs="Times New Roman"/>
          <w:b/>
          <w:bCs/>
          <w:color w:val="auto"/>
          <w:sz w:val="28"/>
          <w:szCs w:val="28"/>
          <w:highlight w:val="none"/>
          <w:lang w:val="en-US" w:eastAsia="zh-CN"/>
        </w:rPr>
        <w:t>定义</w:t>
      </w:r>
    </w:p>
    <w:p w14:paraId="467CF97D">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“保密信息”是指</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向</w:t>
      </w:r>
      <w:r>
        <w:rPr>
          <w:rFonts w:hint="eastAsia" w:ascii="Calibri" w:hAnsi="Calibri" w:cs="Times New Roman"/>
          <w:color w:val="auto"/>
          <w:kern w:val="2"/>
          <w:sz w:val="28"/>
          <w:szCs w:val="28"/>
          <w:highlight w:val="none"/>
          <w:lang w:val="en-US" w:eastAsia="zh-CN" w:bidi="ar-SA"/>
        </w:rPr>
        <w:t>服务</w:t>
      </w:r>
      <w:r>
        <w:rPr>
          <w:rFonts w:hint="eastAsia" w:ascii="Calibri" w:hAnsi="Calibri" w:eastAsia="宋体" w:cs="Times New Roman"/>
          <w:color w:val="auto"/>
          <w:kern w:val="2"/>
          <w:sz w:val="28"/>
          <w:szCs w:val="28"/>
          <w:highlight w:val="none"/>
          <w:lang w:val="en-US" w:eastAsia="zh-CN" w:bidi="ar-SA"/>
        </w:rPr>
        <w:t>方提供或披露的或者</w:t>
      </w:r>
      <w:r>
        <w:rPr>
          <w:rFonts w:hint="eastAsia" w:ascii="Calibri" w:hAnsi="Calibri" w:cs="Times New Roman"/>
          <w:color w:val="auto"/>
          <w:kern w:val="2"/>
          <w:sz w:val="28"/>
          <w:szCs w:val="28"/>
          <w:highlight w:val="none"/>
          <w:lang w:val="en-US" w:eastAsia="zh-CN" w:bidi="ar-SA"/>
        </w:rPr>
        <w:t>服务</w:t>
      </w:r>
      <w:r>
        <w:rPr>
          <w:rFonts w:hint="eastAsia" w:ascii="Calibri" w:hAnsi="Calibri" w:eastAsia="宋体" w:cs="Times New Roman"/>
          <w:color w:val="auto"/>
          <w:kern w:val="2"/>
          <w:sz w:val="28"/>
          <w:szCs w:val="28"/>
          <w:highlight w:val="none"/>
          <w:lang w:val="en-US" w:eastAsia="zh-CN" w:bidi="ar-SA"/>
        </w:rPr>
        <w:t>方在向</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及其关联公司提供服务过程中接收、获得或了解的关于</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及其关联公司的所有商业信息和技术信息，包括但不限于：销售数据、渠道信息、财务数据和其它与产品及提供服务有关的信息（例如：产品计划、进度表、定价、条件和条款）。</w:t>
      </w:r>
    </w:p>
    <w:p w14:paraId="2954E458">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“关联公司”是指</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任何直接或间接地控制对方或受对方所控制的，或与对方处于同一他方共同控制之下的公司或其他实体。“控制”是指无论是通过对其有表决权股份的拥有或通过合同或其他方式，拥有百分之五十（50%）或更多表决权股份或掌握受控制实体的管理和决策权。</w:t>
      </w:r>
    </w:p>
    <w:p w14:paraId="7CE08E64">
      <w:pPr>
        <w:pStyle w:val="4"/>
        <w:shd w:val="clear" w:color="auto" w:fill="auto"/>
        <w:ind w:left="960"/>
        <w:rPr>
          <w:rFonts w:hint="eastAsia" w:ascii="Times New Roman" w:hAnsi="Times New Roman" w:eastAsia="宋体" w:cs="Times New Roman"/>
          <w:b/>
          <w:bCs/>
          <w:color w:val="auto"/>
          <w:sz w:val="28"/>
          <w:szCs w:val="28"/>
          <w:highlight w:val="none"/>
          <w:lang w:val="en-US" w:eastAsia="zh-CN"/>
        </w:rPr>
      </w:pPr>
      <w:r>
        <w:rPr>
          <w:rFonts w:hint="eastAsia" w:ascii="Times New Roman" w:hAnsi="Times New Roman" w:eastAsia="宋体" w:cs="Times New Roman"/>
          <w:b/>
          <w:bCs/>
          <w:color w:val="auto"/>
          <w:sz w:val="28"/>
          <w:szCs w:val="28"/>
          <w:highlight w:val="none"/>
          <w:lang w:val="en-US" w:eastAsia="zh-CN"/>
        </w:rPr>
        <w:tab/>
      </w:r>
      <w:r>
        <w:rPr>
          <w:rFonts w:hint="eastAsia" w:ascii="Times New Roman" w:hAnsi="Times New Roman" w:eastAsia="宋体" w:cs="Times New Roman"/>
          <w:b/>
          <w:bCs/>
          <w:color w:val="auto"/>
          <w:sz w:val="28"/>
          <w:szCs w:val="28"/>
          <w:highlight w:val="none"/>
          <w:lang w:val="en-US" w:eastAsia="zh-CN"/>
        </w:rPr>
        <w:t>在双方合作期间，服务方获取的不论是否标有“保密”字样有形文件和可通过机器阅读的文件（包括但不限于电子邮件）以及所有该等文件的复印本，均被视为保密信息并属于保密的范围。</w:t>
      </w:r>
    </w:p>
    <w:p w14:paraId="15436114">
      <w:pPr>
        <w:pStyle w:val="4"/>
        <w:shd w:val="clear" w:color="auto" w:fill="auto"/>
        <w:ind w:left="960"/>
        <w:rPr>
          <w:rFonts w:hint="eastAsia" w:ascii="Times New Roman" w:hAnsi="Times New Roman" w:eastAsia="宋体" w:cs="Times New Roman"/>
          <w:b/>
          <w:bCs/>
          <w:color w:val="auto"/>
          <w:sz w:val="28"/>
          <w:szCs w:val="28"/>
          <w:highlight w:val="none"/>
          <w:lang w:val="en-US" w:eastAsia="zh-CN"/>
        </w:rPr>
      </w:pPr>
      <w:r>
        <w:rPr>
          <w:rFonts w:hint="eastAsia" w:ascii="Times New Roman" w:hAnsi="Times New Roman" w:eastAsia="宋体" w:cs="Times New Roman"/>
          <w:b/>
          <w:bCs/>
          <w:color w:val="auto"/>
          <w:sz w:val="28"/>
          <w:szCs w:val="28"/>
          <w:highlight w:val="none"/>
          <w:lang w:val="en-US" w:eastAsia="zh-CN"/>
        </w:rPr>
        <w:tab/>
      </w:r>
      <w:r>
        <w:rPr>
          <w:rFonts w:hint="eastAsia" w:ascii="Times New Roman" w:hAnsi="Times New Roman" w:eastAsia="宋体" w:cs="Times New Roman"/>
          <w:b/>
          <w:bCs/>
          <w:color w:val="auto"/>
          <w:sz w:val="28"/>
          <w:szCs w:val="28"/>
          <w:highlight w:val="none"/>
          <w:lang w:val="en-US" w:eastAsia="zh-CN"/>
        </w:rPr>
        <w:t>就上述第二条所述之所有保密信息，服务方在收到信息后应：</w:t>
      </w:r>
    </w:p>
    <w:p w14:paraId="3CCAA94C">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（1）经允许，在必须要知晓的基础上，仅向</w:t>
      </w:r>
      <w:r>
        <w:rPr>
          <w:rFonts w:hint="eastAsia" w:ascii="Calibri" w:hAnsi="Calibri" w:cs="Times New Roman"/>
          <w:color w:val="auto"/>
          <w:kern w:val="2"/>
          <w:sz w:val="28"/>
          <w:szCs w:val="28"/>
          <w:highlight w:val="none"/>
          <w:lang w:val="en-US" w:eastAsia="zh-CN" w:bidi="ar-SA"/>
        </w:rPr>
        <w:t>服务方</w:t>
      </w:r>
      <w:r>
        <w:rPr>
          <w:rFonts w:hint="eastAsia" w:ascii="Calibri" w:hAnsi="Calibri" w:eastAsia="宋体" w:cs="Times New Roman"/>
          <w:color w:val="auto"/>
          <w:kern w:val="2"/>
          <w:sz w:val="28"/>
          <w:szCs w:val="28"/>
          <w:highlight w:val="none"/>
          <w:lang w:val="en-US" w:eastAsia="zh-CN" w:bidi="ar-SA"/>
        </w:rPr>
        <w:t>指定的人员披露；</w:t>
      </w:r>
    </w:p>
    <w:p w14:paraId="38F38546">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（2）视为保密信息并且严格保密以防公开，应采取严格的管理和保护以防止未经授权的人员可取得；</w:t>
      </w:r>
    </w:p>
    <w:p w14:paraId="293220EA">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（3）仅为了</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的利益或为双方讨论的目的，或经双方讨论需要而使用该些信息；且要求每一位经授权将要获得保密信息的人员签署保密承诺书并同意遵守其中的规定。</w:t>
      </w:r>
    </w:p>
    <w:p w14:paraId="031EF757">
      <w:pPr>
        <w:pStyle w:val="4"/>
        <w:shd w:val="clear" w:color="auto" w:fill="auto"/>
        <w:ind w:left="960"/>
        <w:rPr>
          <w:rFonts w:hint="eastAsia" w:ascii="Times New Roman" w:hAnsi="Times New Roman" w:eastAsia="宋体" w:cs="Times New Roman"/>
          <w:b/>
          <w:bCs/>
          <w:color w:val="auto"/>
          <w:sz w:val="28"/>
          <w:szCs w:val="28"/>
          <w:highlight w:val="none"/>
          <w:lang w:val="en-US" w:eastAsia="zh-CN"/>
        </w:rPr>
      </w:pPr>
      <w:r>
        <w:rPr>
          <w:rFonts w:hint="eastAsia" w:ascii="Times New Roman" w:hAnsi="Times New Roman" w:eastAsia="宋体" w:cs="Times New Roman"/>
          <w:b/>
          <w:bCs/>
          <w:color w:val="auto"/>
          <w:sz w:val="28"/>
          <w:szCs w:val="28"/>
          <w:highlight w:val="none"/>
          <w:lang w:val="en-US" w:eastAsia="zh-CN"/>
        </w:rPr>
        <w:tab/>
      </w:r>
      <w:r>
        <w:rPr>
          <w:rFonts w:hint="eastAsia" w:ascii="Times New Roman" w:hAnsi="Times New Roman" w:eastAsia="宋体" w:cs="Times New Roman"/>
          <w:b/>
          <w:bCs/>
          <w:color w:val="auto"/>
          <w:sz w:val="28"/>
          <w:szCs w:val="28"/>
          <w:highlight w:val="none"/>
          <w:lang w:val="en-US" w:eastAsia="zh-CN"/>
        </w:rPr>
        <w:t>除非政府指令或司法程序所需，服务方不能作任何记录或向任何第三方提供任何资料。</w:t>
      </w:r>
    </w:p>
    <w:p w14:paraId="08D45F63">
      <w:pPr>
        <w:pStyle w:val="4"/>
        <w:shd w:val="clear" w:color="auto" w:fill="auto"/>
        <w:ind w:left="960"/>
        <w:rPr>
          <w:rFonts w:hint="eastAsia" w:ascii="Times New Roman" w:hAnsi="Times New Roman" w:eastAsia="宋体" w:cs="Times New Roman"/>
          <w:b/>
          <w:bCs/>
          <w:color w:val="auto"/>
          <w:sz w:val="28"/>
          <w:szCs w:val="28"/>
          <w:highlight w:val="none"/>
          <w:lang w:val="en-US" w:eastAsia="zh-CN"/>
        </w:rPr>
      </w:pPr>
      <w:bookmarkStart w:id="13" w:name="OLE_LINK1"/>
      <w:r>
        <w:rPr>
          <w:rFonts w:hint="eastAsia" w:ascii="Times New Roman" w:hAnsi="Times New Roman" w:eastAsia="宋体" w:cs="Times New Roman"/>
          <w:b/>
          <w:bCs/>
          <w:color w:val="auto"/>
          <w:sz w:val="28"/>
          <w:szCs w:val="28"/>
          <w:highlight w:val="none"/>
          <w:lang w:val="en-US" w:eastAsia="zh-CN"/>
        </w:rPr>
        <w:tab/>
      </w:r>
      <w:bookmarkEnd w:id="13"/>
      <w:r>
        <w:rPr>
          <w:rFonts w:hint="eastAsia" w:ascii="Times New Roman" w:hAnsi="Times New Roman" w:eastAsia="宋体" w:cs="Times New Roman"/>
          <w:b/>
          <w:bCs/>
          <w:color w:val="auto"/>
          <w:sz w:val="28"/>
          <w:szCs w:val="28"/>
          <w:highlight w:val="none"/>
          <w:lang w:val="en-US" w:eastAsia="zh-CN"/>
        </w:rPr>
        <w:t>在因服务方或其雇员或其代理人过错或违反保密义务的情况下，服务方应当按公司的实际损失赔偿公司，并且使公司免于受到任何和所有损失、费用、责任、诉讼或其它因此承受的不利影响的侵害。</w:t>
      </w:r>
    </w:p>
    <w:p w14:paraId="6E9F6B8B">
      <w:pPr>
        <w:pStyle w:val="63"/>
        <w:shd w:val="clear" w:color="auto" w:fill="auto"/>
        <w:rPr>
          <w:rFonts w:hint="eastAsia"/>
          <w:color w:val="auto"/>
          <w:sz w:val="28"/>
          <w:szCs w:val="28"/>
          <w:highlight w:val="none"/>
        </w:rPr>
      </w:pPr>
      <w:r>
        <w:rPr>
          <w:rFonts w:hint="eastAsia"/>
          <w:color w:val="auto"/>
          <w:sz w:val="28"/>
          <w:szCs w:val="28"/>
          <w:highlight w:val="none"/>
        </w:rPr>
        <w:t>知识产权要求</w:t>
      </w:r>
    </w:p>
    <w:p w14:paraId="01D4E224">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服务方应保证其提供的产品、工具、模型、方法论、源代码、文档、知识资产及服务没有任何权利瑕疵，没有侵犯任何第三方权利。公司在使用该产品或服务的任何一部分时，免受第三方提出的任何侵犯其知识产权的权利主张。如果任何人对公司使用该产品及服务主张权利，由服务方负责处理一切纠纷及相关事宜，由此给公司造成的损失，由服务方承担。</w:t>
      </w:r>
    </w:p>
    <w:p w14:paraId="1A832C13">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在双方合作期间，</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利用</w:t>
      </w:r>
      <w:r>
        <w:rPr>
          <w:rFonts w:hint="eastAsia" w:ascii="Calibri" w:hAnsi="Calibri" w:cs="Times New Roman"/>
          <w:color w:val="auto"/>
          <w:kern w:val="2"/>
          <w:sz w:val="28"/>
          <w:szCs w:val="28"/>
          <w:highlight w:val="none"/>
          <w:lang w:val="en-US" w:eastAsia="zh-CN" w:bidi="ar-SA"/>
        </w:rPr>
        <w:t>服务</w:t>
      </w:r>
      <w:r>
        <w:rPr>
          <w:rFonts w:hint="eastAsia" w:ascii="Calibri" w:hAnsi="Calibri" w:eastAsia="宋体" w:cs="Times New Roman"/>
          <w:color w:val="auto"/>
          <w:kern w:val="2"/>
          <w:sz w:val="28"/>
          <w:szCs w:val="28"/>
          <w:highlight w:val="none"/>
          <w:lang w:val="en-US" w:eastAsia="zh-CN" w:bidi="ar-SA"/>
        </w:rPr>
        <w:t>方提交的技术服务工作成果所完成的新的技术成果，其知识产权、软著、专利归</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所有。</w:t>
      </w:r>
    </w:p>
    <w:p w14:paraId="73F19B88">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在双方合作期间，</w:t>
      </w:r>
      <w:r>
        <w:rPr>
          <w:rFonts w:hint="eastAsia" w:ascii="Calibri" w:hAnsi="Calibri" w:cs="Times New Roman"/>
          <w:color w:val="auto"/>
          <w:kern w:val="2"/>
          <w:sz w:val="28"/>
          <w:szCs w:val="28"/>
          <w:highlight w:val="none"/>
          <w:lang w:val="en-US" w:eastAsia="zh-CN" w:bidi="ar-SA"/>
        </w:rPr>
        <w:t>服务方</w:t>
      </w:r>
      <w:r>
        <w:rPr>
          <w:rFonts w:hint="eastAsia" w:ascii="Calibri" w:hAnsi="Calibri" w:eastAsia="宋体" w:cs="Times New Roman"/>
          <w:color w:val="auto"/>
          <w:kern w:val="2"/>
          <w:sz w:val="28"/>
          <w:szCs w:val="28"/>
          <w:highlight w:val="none"/>
          <w:lang w:val="en-US" w:eastAsia="zh-CN" w:bidi="ar-SA"/>
        </w:rPr>
        <w:t>利用</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提供的技术资料和工作条件所完成的新的技术成果，其知识产权、软著、专利归</w:t>
      </w:r>
      <w:r>
        <w:rPr>
          <w:rFonts w:hint="eastAsia" w:ascii="Calibri" w:hAnsi="Calibri" w:cs="Times New Roman"/>
          <w:color w:val="auto"/>
          <w:kern w:val="2"/>
          <w:sz w:val="28"/>
          <w:szCs w:val="28"/>
          <w:highlight w:val="none"/>
          <w:lang w:val="en-US" w:eastAsia="zh-CN" w:bidi="ar-SA"/>
        </w:rPr>
        <w:t>公司</w:t>
      </w:r>
      <w:r>
        <w:rPr>
          <w:rFonts w:hint="eastAsia" w:ascii="Calibri" w:hAnsi="Calibri" w:eastAsia="宋体" w:cs="Times New Roman"/>
          <w:color w:val="auto"/>
          <w:kern w:val="2"/>
          <w:sz w:val="28"/>
          <w:szCs w:val="28"/>
          <w:highlight w:val="none"/>
          <w:lang w:val="en-US" w:eastAsia="zh-CN" w:bidi="ar-SA"/>
        </w:rPr>
        <w:t>所有。</w:t>
      </w:r>
    </w:p>
    <w:p w14:paraId="2CDC3727">
      <w:pPr>
        <w:keepNext w:val="0"/>
        <w:keepLines w:val="0"/>
        <w:pageBreakBefore w:val="0"/>
        <w:widowControl w:val="0"/>
        <w:numPr>
          <w:ilvl w:val="2"/>
          <w:numId w:val="0"/>
        </w:numPr>
        <w:shd w:val="clear" w:color="auto" w:fill="auto"/>
        <w:tabs>
          <w:tab w:val="left" w:pos="420"/>
        </w:tabs>
        <w:kinsoku/>
        <w:wordWrap/>
        <w:overflowPunct/>
        <w:topLinePunct w:val="0"/>
        <w:autoSpaceDE/>
        <w:autoSpaceDN/>
        <w:bidi w:val="0"/>
        <w:adjustRightInd w:val="0"/>
        <w:snapToGrid/>
        <w:spacing w:line="480" w:lineRule="auto"/>
        <w:ind w:firstLine="560" w:firstLineChars="200"/>
        <w:textAlignment w:val="auto"/>
        <w:outlineLvl w:val="9"/>
        <w:rPr>
          <w:rFonts w:hint="eastAsia" w:ascii="Calibri" w:hAnsi="Calibri" w:eastAsia="宋体" w:cs="Times New Roman"/>
          <w:color w:val="auto"/>
          <w:kern w:val="2"/>
          <w:sz w:val="28"/>
          <w:szCs w:val="28"/>
          <w:highlight w:val="none"/>
          <w:lang w:val="en-US" w:eastAsia="zh-CN" w:bidi="ar-SA"/>
        </w:rPr>
      </w:pPr>
      <w:r>
        <w:rPr>
          <w:rFonts w:hint="eastAsia" w:ascii="Calibri" w:hAnsi="Calibri" w:eastAsia="宋体" w:cs="Times New Roman"/>
          <w:color w:val="auto"/>
          <w:kern w:val="2"/>
          <w:sz w:val="28"/>
          <w:szCs w:val="28"/>
          <w:highlight w:val="none"/>
          <w:lang w:val="en-US" w:eastAsia="zh-CN" w:bidi="ar-SA"/>
        </w:rPr>
        <w:t>未经公司书面许可，服务方及其任何人员均不得行使本项目工作成果的任何知识产权。</w:t>
      </w:r>
    </w:p>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90EFA">
    <w:pPr>
      <w:pStyle w:val="22"/>
      <w:ind w:left="0" w:leftChars="0" w:firstLine="0" w:firstLineChars="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12A70C">
                          <w:pPr>
                            <w:pStyle w:val="22"/>
                            <w:ind w:left="0" w:leftChars="0" w:firstLine="0" w:firstLineChars="0"/>
                          </w:pPr>
                          <w:r>
                            <w:fldChar w:fldCharType="begin"/>
                          </w:r>
                          <w:r>
                            <w:instrText xml:space="preserve">PAGE   \* MERGEFORMAT</w:instrText>
                          </w:r>
                          <w:r>
                            <w:fldChar w:fldCharType="separate"/>
                          </w:r>
                          <w:r>
                            <w:rPr>
                              <w:lang w:val="zh-CN"/>
                            </w:rP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12A70C">
                    <w:pPr>
                      <w:pStyle w:val="22"/>
                      <w:ind w:left="0" w:leftChars="0" w:firstLine="0" w:firstLineChars="0"/>
                    </w:pPr>
                    <w:r>
                      <w:fldChar w:fldCharType="begin"/>
                    </w:r>
                    <w:r>
                      <w:instrText xml:space="preserve">PAGE   \* MERGEFORMAT</w:instrText>
                    </w:r>
                    <w:r>
                      <w:fldChar w:fldCharType="separate"/>
                    </w:r>
                    <w:r>
                      <w:rPr>
                        <w:lang w:val="zh-CN"/>
                      </w:rPr>
                      <w:t>9</w:t>
                    </w:r>
                    <w:r>
                      <w:fldChar w:fldCharType="end"/>
                    </w:r>
                  </w:p>
                </w:txbxContent>
              </v:textbox>
            </v:shape>
          </w:pict>
        </mc:Fallback>
      </mc:AlternateContent>
    </w: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A4F44">
    <w:pPr>
      <w:pStyle w:val="23"/>
      <w:ind w:right="146" w:rightChars="0" w:firstLine="0" w:firstLineChars="0"/>
      <w:jc w:val="center"/>
      <w:rPr>
        <w:rFonts w:hint="default"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7CB372"/>
    <w:multiLevelType w:val="multilevel"/>
    <w:tmpl w:val="9F7CB372"/>
    <w:lvl w:ilvl="0" w:tentative="0">
      <w:start w:val="1"/>
      <w:numFmt w:val="decimal"/>
      <w:pStyle w:val="2"/>
      <w:lvlText w:val="%1"/>
      <w:lvlJc w:val="left"/>
      <w:pPr>
        <w:tabs>
          <w:tab w:val="left" w:pos="432"/>
        </w:tabs>
        <w:ind w:left="432" w:hanging="432"/>
      </w:pPr>
      <w:rPr>
        <w:rFonts w:hint="eastAsia"/>
      </w:rPr>
    </w:lvl>
    <w:lvl w:ilvl="1" w:tentative="0">
      <w:start w:val="1"/>
      <w:numFmt w:val="decimal"/>
      <w:pStyle w:val="63"/>
      <w:lvlText w:val="%1.%2"/>
      <w:lvlJc w:val="left"/>
      <w:pPr>
        <w:tabs>
          <w:tab w:val="left" w:pos="576"/>
        </w:tabs>
        <w:ind w:left="576" w:hanging="576"/>
      </w:pPr>
      <w:rPr>
        <w:rFonts w:hint="default"/>
        <w:lang w:val="sv-SE"/>
      </w:rPr>
    </w:lvl>
    <w:lvl w:ilvl="2" w:tentative="0">
      <w:start w:val="1"/>
      <w:numFmt w:val="decimal"/>
      <w:pStyle w:val="4"/>
      <w:lvlText w:val="%1.%2.%3"/>
      <w:lvlJc w:val="left"/>
      <w:pPr>
        <w:tabs>
          <w:tab w:val="left" w:pos="720"/>
        </w:tabs>
        <w:ind w:left="960" w:hanging="720"/>
      </w:pPr>
      <w:rPr>
        <w:rFonts w:hint="default" w:ascii="宋体" w:hAnsi="宋体" w:eastAsia="宋体" w:cs="宋体"/>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5"/>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wNmU2NmFjYWVmMDcwNzM0OGQ5ODQwODk5NjJhMjMifQ=="/>
    <w:docVar w:name="KSO_WPS_MARK_KEY" w:val="1df79558-47e7-47fd-a30a-f41b6a4069fb"/>
  </w:docVars>
  <w:rsids>
    <w:rsidRoot w:val="001D17B9"/>
    <w:rsid w:val="00005533"/>
    <w:rsid w:val="00007F53"/>
    <w:rsid w:val="000108AC"/>
    <w:rsid w:val="00011C7A"/>
    <w:rsid w:val="00016F03"/>
    <w:rsid w:val="00020E53"/>
    <w:rsid w:val="00022C27"/>
    <w:rsid w:val="00022CB8"/>
    <w:rsid w:val="000264A4"/>
    <w:rsid w:val="00026794"/>
    <w:rsid w:val="00027EC8"/>
    <w:rsid w:val="00027EE9"/>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59DC"/>
    <w:rsid w:val="00091759"/>
    <w:rsid w:val="0009247B"/>
    <w:rsid w:val="000924E4"/>
    <w:rsid w:val="0009366C"/>
    <w:rsid w:val="00093F10"/>
    <w:rsid w:val="000960CD"/>
    <w:rsid w:val="00096B77"/>
    <w:rsid w:val="000A3676"/>
    <w:rsid w:val="000A7A2E"/>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C7B"/>
    <w:rsid w:val="001052AE"/>
    <w:rsid w:val="001076B1"/>
    <w:rsid w:val="00111CBB"/>
    <w:rsid w:val="00114927"/>
    <w:rsid w:val="001156B4"/>
    <w:rsid w:val="00120124"/>
    <w:rsid w:val="00122DBE"/>
    <w:rsid w:val="0012352A"/>
    <w:rsid w:val="00124874"/>
    <w:rsid w:val="00125DD7"/>
    <w:rsid w:val="001274FB"/>
    <w:rsid w:val="00131360"/>
    <w:rsid w:val="00131CA0"/>
    <w:rsid w:val="00132B5A"/>
    <w:rsid w:val="001370D4"/>
    <w:rsid w:val="00137E5E"/>
    <w:rsid w:val="00140479"/>
    <w:rsid w:val="00141BF2"/>
    <w:rsid w:val="00150BD6"/>
    <w:rsid w:val="001512EE"/>
    <w:rsid w:val="00151F43"/>
    <w:rsid w:val="0015226E"/>
    <w:rsid w:val="001528CA"/>
    <w:rsid w:val="00154AD1"/>
    <w:rsid w:val="00155505"/>
    <w:rsid w:val="00155FBF"/>
    <w:rsid w:val="00157DED"/>
    <w:rsid w:val="00160891"/>
    <w:rsid w:val="00161EB9"/>
    <w:rsid w:val="001626FF"/>
    <w:rsid w:val="00167458"/>
    <w:rsid w:val="00167A46"/>
    <w:rsid w:val="00175110"/>
    <w:rsid w:val="00176176"/>
    <w:rsid w:val="00177FD7"/>
    <w:rsid w:val="001808B8"/>
    <w:rsid w:val="00181201"/>
    <w:rsid w:val="00183CE1"/>
    <w:rsid w:val="00183E96"/>
    <w:rsid w:val="00184DB1"/>
    <w:rsid w:val="00185DC2"/>
    <w:rsid w:val="00186A4F"/>
    <w:rsid w:val="00190BEF"/>
    <w:rsid w:val="001923FD"/>
    <w:rsid w:val="0019401C"/>
    <w:rsid w:val="00195A9B"/>
    <w:rsid w:val="001975A1"/>
    <w:rsid w:val="001A10CF"/>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6D7E"/>
    <w:rsid w:val="001E3ABC"/>
    <w:rsid w:val="001E53F0"/>
    <w:rsid w:val="001E573C"/>
    <w:rsid w:val="001E7587"/>
    <w:rsid w:val="001E7BB4"/>
    <w:rsid w:val="002004D9"/>
    <w:rsid w:val="00214BCA"/>
    <w:rsid w:val="00215110"/>
    <w:rsid w:val="002168F7"/>
    <w:rsid w:val="002175C5"/>
    <w:rsid w:val="002175D1"/>
    <w:rsid w:val="002218F9"/>
    <w:rsid w:val="00227314"/>
    <w:rsid w:val="002313F0"/>
    <w:rsid w:val="00232612"/>
    <w:rsid w:val="00232A6F"/>
    <w:rsid w:val="00234120"/>
    <w:rsid w:val="00243482"/>
    <w:rsid w:val="00244685"/>
    <w:rsid w:val="00246235"/>
    <w:rsid w:val="0025237D"/>
    <w:rsid w:val="00254802"/>
    <w:rsid w:val="002552A6"/>
    <w:rsid w:val="00260400"/>
    <w:rsid w:val="00261BEC"/>
    <w:rsid w:val="00263E21"/>
    <w:rsid w:val="002657E7"/>
    <w:rsid w:val="00266121"/>
    <w:rsid w:val="0026681E"/>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299D"/>
    <w:rsid w:val="00301734"/>
    <w:rsid w:val="003019BD"/>
    <w:rsid w:val="00302BD5"/>
    <w:rsid w:val="00302C3E"/>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D87"/>
    <w:rsid w:val="00353544"/>
    <w:rsid w:val="00354903"/>
    <w:rsid w:val="00355A90"/>
    <w:rsid w:val="003612CD"/>
    <w:rsid w:val="0037007E"/>
    <w:rsid w:val="003747B1"/>
    <w:rsid w:val="003758AB"/>
    <w:rsid w:val="003766F3"/>
    <w:rsid w:val="003805C0"/>
    <w:rsid w:val="003809C8"/>
    <w:rsid w:val="0038481D"/>
    <w:rsid w:val="00385EBF"/>
    <w:rsid w:val="0038641B"/>
    <w:rsid w:val="00387CB6"/>
    <w:rsid w:val="003960FC"/>
    <w:rsid w:val="00396D68"/>
    <w:rsid w:val="003978F7"/>
    <w:rsid w:val="003A1F19"/>
    <w:rsid w:val="003A4893"/>
    <w:rsid w:val="003B07B3"/>
    <w:rsid w:val="003B1D3D"/>
    <w:rsid w:val="003B3754"/>
    <w:rsid w:val="003B3AEE"/>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7574"/>
    <w:rsid w:val="004748D5"/>
    <w:rsid w:val="00474CB8"/>
    <w:rsid w:val="00481D03"/>
    <w:rsid w:val="00485537"/>
    <w:rsid w:val="00486033"/>
    <w:rsid w:val="00486F27"/>
    <w:rsid w:val="004925E7"/>
    <w:rsid w:val="00495D9F"/>
    <w:rsid w:val="00495E0B"/>
    <w:rsid w:val="00497F3F"/>
    <w:rsid w:val="004A5749"/>
    <w:rsid w:val="004B0579"/>
    <w:rsid w:val="004B2FFC"/>
    <w:rsid w:val="004B3590"/>
    <w:rsid w:val="004B5DF0"/>
    <w:rsid w:val="004B7EB7"/>
    <w:rsid w:val="004C0936"/>
    <w:rsid w:val="004C2B7B"/>
    <w:rsid w:val="004C3ED6"/>
    <w:rsid w:val="004C50CC"/>
    <w:rsid w:val="004D33F0"/>
    <w:rsid w:val="004D4B0F"/>
    <w:rsid w:val="004D4F7B"/>
    <w:rsid w:val="004D53D9"/>
    <w:rsid w:val="004D7DEE"/>
    <w:rsid w:val="004E3290"/>
    <w:rsid w:val="004E3476"/>
    <w:rsid w:val="004E798D"/>
    <w:rsid w:val="004F1226"/>
    <w:rsid w:val="004F52AD"/>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22B8"/>
    <w:rsid w:val="00533F61"/>
    <w:rsid w:val="00537F70"/>
    <w:rsid w:val="00541057"/>
    <w:rsid w:val="00541833"/>
    <w:rsid w:val="00542804"/>
    <w:rsid w:val="00543088"/>
    <w:rsid w:val="00543901"/>
    <w:rsid w:val="00544B6C"/>
    <w:rsid w:val="00545A9C"/>
    <w:rsid w:val="00547418"/>
    <w:rsid w:val="00551F10"/>
    <w:rsid w:val="0055350E"/>
    <w:rsid w:val="00554901"/>
    <w:rsid w:val="005557B8"/>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3AE9"/>
    <w:rsid w:val="005A6781"/>
    <w:rsid w:val="005B02BE"/>
    <w:rsid w:val="005B43F2"/>
    <w:rsid w:val="005B4715"/>
    <w:rsid w:val="005B6171"/>
    <w:rsid w:val="005B68AB"/>
    <w:rsid w:val="005C1BBD"/>
    <w:rsid w:val="005C4428"/>
    <w:rsid w:val="005C4D26"/>
    <w:rsid w:val="005C52E8"/>
    <w:rsid w:val="005C533B"/>
    <w:rsid w:val="005C7F1B"/>
    <w:rsid w:val="005D00B9"/>
    <w:rsid w:val="005D47E9"/>
    <w:rsid w:val="005D5C18"/>
    <w:rsid w:val="005E0F3A"/>
    <w:rsid w:val="005E1ECA"/>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776F"/>
    <w:rsid w:val="00643562"/>
    <w:rsid w:val="0064454A"/>
    <w:rsid w:val="00646B79"/>
    <w:rsid w:val="00647183"/>
    <w:rsid w:val="006512D4"/>
    <w:rsid w:val="00654E9A"/>
    <w:rsid w:val="00657C5C"/>
    <w:rsid w:val="0066612A"/>
    <w:rsid w:val="0067436B"/>
    <w:rsid w:val="00675B6B"/>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7CB1"/>
    <w:rsid w:val="006B5AA2"/>
    <w:rsid w:val="006B5E78"/>
    <w:rsid w:val="006B6398"/>
    <w:rsid w:val="006B7051"/>
    <w:rsid w:val="006B7CC2"/>
    <w:rsid w:val="006C0817"/>
    <w:rsid w:val="006D04FC"/>
    <w:rsid w:val="006D46F6"/>
    <w:rsid w:val="006D5278"/>
    <w:rsid w:val="006D6098"/>
    <w:rsid w:val="006E6FAE"/>
    <w:rsid w:val="006F0C5B"/>
    <w:rsid w:val="006F1276"/>
    <w:rsid w:val="006F49F3"/>
    <w:rsid w:val="006F53E3"/>
    <w:rsid w:val="006F6D9E"/>
    <w:rsid w:val="006F7231"/>
    <w:rsid w:val="00700EC1"/>
    <w:rsid w:val="007014D4"/>
    <w:rsid w:val="0070162A"/>
    <w:rsid w:val="007043AF"/>
    <w:rsid w:val="007063A7"/>
    <w:rsid w:val="0071524E"/>
    <w:rsid w:val="0071546C"/>
    <w:rsid w:val="00723F63"/>
    <w:rsid w:val="0072464C"/>
    <w:rsid w:val="0073240A"/>
    <w:rsid w:val="00735E63"/>
    <w:rsid w:val="0074607E"/>
    <w:rsid w:val="007509B9"/>
    <w:rsid w:val="00752399"/>
    <w:rsid w:val="007563CF"/>
    <w:rsid w:val="007610AE"/>
    <w:rsid w:val="00762ED9"/>
    <w:rsid w:val="00767D47"/>
    <w:rsid w:val="0077091C"/>
    <w:rsid w:val="007732A2"/>
    <w:rsid w:val="00773539"/>
    <w:rsid w:val="007744D4"/>
    <w:rsid w:val="00775BFA"/>
    <w:rsid w:val="007836F1"/>
    <w:rsid w:val="007851D4"/>
    <w:rsid w:val="00785C22"/>
    <w:rsid w:val="00790136"/>
    <w:rsid w:val="0079056F"/>
    <w:rsid w:val="007972AF"/>
    <w:rsid w:val="007A27F7"/>
    <w:rsid w:val="007A37E5"/>
    <w:rsid w:val="007B1901"/>
    <w:rsid w:val="007B2674"/>
    <w:rsid w:val="007B50CA"/>
    <w:rsid w:val="007B6EE9"/>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46E8"/>
    <w:rsid w:val="00847E52"/>
    <w:rsid w:val="0085140B"/>
    <w:rsid w:val="00853C60"/>
    <w:rsid w:val="008712A2"/>
    <w:rsid w:val="008712F0"/>
    <w:rsid w:val="00871AF2"/>
    <w:rsid w:val="00876DC7"/>
    <w:rsid w:val="00877D49"/>
    <w:rsid w:val="0088022F"/>
    <w:rsid w:val="00881792"/>
    <w:rsid w:val="008832AC"/>
    <w:rsid w:val="00894B8A"/>
    <w:rsid w:val="00895361"/>
    <w:rsid w:val="00896FBA"/>
    <w:rsid w:val="008972CF"/>
    <w:rsid w:val="00897C40"/>
    <w:rsid w:val="008A004D"/>
    <w:rsid w:val="008A276A"/>
    <w:rsid w:val="008A45CC"/>
    <w:rsid w:val="008A72E1"/>
    <w:rsid w:val="008B15DB"/>
    <w:rsid w:val="008B3AA2"/>
    <w:rsid w:val="008B40FB"/>
    <w:rsid w:val="008B7CF1"/>
    <w:rsid w:val="008C0750"/>
    <w:rsid w:val="008C284C"/>
    <w:rsid w:val="008C2D5C"/>
    <w:rsid w:val="008C3727"/>
    <w:rsid w:val="008E2635"/>
    <w:rsid w:val="008E2D2E"/>
    <w:rsid w:val="008E4C9C"/>
    <w:rsid w:val="008F0924"/>
    <w:rsid w:val="008F385A"/>
    <w:rsid w:val="008F41C8"/>
    <w:rsid w:val="008F60B3"/>
    <w:rsid w:val="0090259E"/>
    <w:rsid w:val="009058D2"/>
    <w:rsid w:val="00906671"/>
    <w:rsid w:val="00907A45"/>
    <w:rsid w:val="009103B6"/>
    <w:rsid w:val="00911BA1"/>
    <w:rsid w:val="00913569"/>
    <w:rsid w:val="0091572F"/>
    <w:rsid w:val="0091608C"/>
    <w:rsid w:val="009176C4"/>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4264"/>
    <w:rsid w:val="00977EFA"/>
    <w:rsid w:val="00981613"/>
    <w:rsid w:val="00981AB9"/>
    <w:rsid w:val="00983C5E"/>
    <w:rsid w:val="00983D0E"/>
    <w:rsid w:val="0099123C"/>
    <w:rsid w:val="0099202A"/>
    <w:rsid w:val="009A0574"/>
    <w:rsid w:val="009A16FF"/>
    <w:rsid w:val="009A3154"/>
    <w:rsid w:val="009A3567"/>
    <w:rsid w:val="009A3571"/>
    <w:rsid w:val="009A7388"/>
    <w:rsid w:val="009A7619"/>
    <w:rsid w:val="009B03D2"/>
    <w:rsid w:val="009C0337"/>
    <w:rsid w:val="009C1574"/>
    <w:rsid w:val="009C340A"/>
    <w:rsid w:val="009C3731"/>
    <w:rsid w:val="009C3C0D"/>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74AF"/>
    <w:rsid w:val="009F7765"/>
    <w:rsid w:val="009F7D04"/>
    <w:rsid w:val="009F7E48"/>
    <w:rsid w:val="00A03D4C"/>
    <w:rsid w:val="00A11116"/>
    <w:rsid w:val="00A12480"/>
    <w:rsid w:val="00A1499C"/>
    <w:rsid w:val="00A15768"/>
    <w:rsid w:val="00A158F1"/>
    <w:rsid w:val="00A207A4"/>
    <w:rsid w:val="00A243EF"/>
    <w:rsid w:val="00A248A9"/>
    <w:rsid w:val="00A30571"/>
    <w:rsid w:val="00A35560"/>
    <w:rsid w:val="00A40F7C"/>
    <w:rsid w:val="00A4239B"/>
    <w:rsid w:val="00A43656"/>
    <w:rsid w:val="00A506E4"/>
    <w:rsid w:val="00A55174"/>
    <w:rsid w:val="00A55807"/>
    <w:rsid w:val="00A5581B"/>
    <w:rsid w:val="00A55A6B"/>
    <w:rsid w:val="00A55C89"/>
    <w:rsid w:val="00A610C2"/>
    <w:rsid w:val="00A62CDE"/>
    <w:rsid w:val="00A63EA4"/>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497C"/>
    <w:rsid w:val="00B440C4"/>
    <w:rsid w:val="00B544EB"/>
    <w:rsid w:val="00B5558A"/>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D2C"/>
    <w:rsid w:val="00BC0FE0"/>
    <w:rsid w:val="00BC32FA"/>
    <w:rsid w:val="00BC5E67"/>
    <w:rsid w:val="00BD088C"/>
    <w:rsid w:val="00BD1236"/>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E014B"/>
    <w:rsid w:val="00CE111D"/>
    <w:rsid w:val="00CF12BE"/>
    <w:rsid w:val="00CF5EBB"/>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6D01"/>
    <w:rsid w:val="00D70C58"/>
    <w:rsid w:val="00D710F6"/>
    <w:rsid w:val="00D72AC4"/>
    <w:rsid w:val="00D75AB2"/>
    <w:rsid w:val="00D7639B"/>
    <w:rsid w:val="00D765C6"/>
    <w:rsid w:val="00D771AD"/>
    <w:rsid w:val="00D82237"/>
    <w:rsid w:val="00D84435"/>
    <w:rsid w:val="00D87BED"/>
    <w:rsid w:val="00D9182A"/>
    <w:rsid w:val="00D9238F"/>
    <w:rsid w:val="00D9458A"/>
    <w:rsid w:val="00D959E2"/>
    <w:rsid w:val="00D964FD"/>
    <w:rsid w:val="00D96AC2"/>
    <w:rsid w:val="00DA0CD3"/>
    <w:rsid w:val="00DA5C24"/>
    <w:rsid w:val="00DB445B"/>
    <w:rsid w:val="00DB7F81"/>
    <w:rsid w:val="00DC172F"/>
    <w:rsid w:val="00DD61FC"/>
    <w:rsid w:val="00DD6E51"/>
    <w:rsid w:val="00DD739D"/>
    <w:rsid w:val="00DD7905"/>
    <w:rsid w:val="00DE0591"/>
    <w:rsid w:val="00DE1C96"/>
    <w:rsid w:val="00DE23C0"/>
    <w:rsid w:val="00DF02F4"/>
    <w:rsid w:val="00DF0DDB"/>
    <w:rsid w:val="00DF20A1"/>
    <w:rsid w:val="00DF55A5"/>
    <w:rsid w:val="00DF6FE4"/>
    <w:rsid w:val="00DF7B6E"/>
    <w:rsid w:val="00E16982"/>
    <w:rsid w:val="00E20501"/>
    <w:rsid w:val="00E21CA3"/>
    <w:rsid w:val="00E23070"/>
    <w:rsid w:val="00E234E0"/>
    <w:rsid w:val="00E24217"/>
    <w:rsid w:val="00E25F55"/>
    <w:rsid w:val="00E300BF"/>
    <w:rsid w:val="00E30B2F"/>
    <w:rsid w:val="00E320F7"/>
    <w:rsid w:val="00E32B62"/>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84830"/>
    <w:rsid w:val="00E86658"/>
    <w:rsid w:val="00E96F4B"/>
    <w:rsid w:val="00EA0D96"/>
    <w:rsid w:val="00EA4160"/>
    <w:rsid w:val="00EA4761"/>
    <w:rsid w:val="00EA528D"/>
    <w:rsid w:val="00EA5B89"/>
    <w:rsid w:val="00EA5BC9"/>
    <w:rsid w:val="00EA5CE1"/>
    <w:rsid w:val="00EA6170"/>
    <w:rsid w:val="00EA69B0"/>
    <w:rsid w:val="00EB0015"/>
    <w:rsid w:val="00EB3EDB"/>
    <w:rsid w:val="00EB4A66"/>
    <w:rsid w:val="00EB55AD"/>
    <w:rsid w:val="00EB6E06"/>
    <w:rsid w:val="00EC1150"/>
    <w:rsid w:val="00EC5413"/>
    <w:rsid w:val="00EC5D5A"/>
    <w:rsid w:val="00EC5E5E"/>
    <w:rsid w:val="00EC7995"/>
    <w:rsid w:val="00EC79C1"/>
    <w:rsid w:val="00EC7A26"/>
    <w:rsid w:val="00ED0CC0"/>
    <w:rsid w:val="00ED15AF"/>
    <w:rsid w:val="00ED3BDC"/>
    <w:rsid w:val="00ED40D9"/>
    <w:rsid w:val="00ED44C8"/>
    <w:rsid w:val="00ED4F49"/>
    <w:rsid w:val="00ED51A8"/>
    <w:rsid w:val="00EE16AE"/>
    <w:rsid w:val="00EE38E6"/>
    <w:rsid w:val="00EE424D"/>
    <w:rsid w:val="00EF0753"/>
    <w:rsid w:val="00EF10C7"/>
    <w:rsid w:val="00EF141A"/>
    <w:rsid w:val="00EF42ED"/>
    <w:rsid w:val="00F03636"/>
    <w:rsid w:val="00F04D64"/>
    <w:rsid w:val="00F1029D"/>
    <w:rsid w:val="00F13DF6"/>
    <w:rsid w:val="00F1565B"/>
    <w:rsid w:val="00F21926"/>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61BDF"/>
    <w:rsid w:val="00F646B1"/>
    <w:rsid w:val="00F64D93"/>
    <w:rsid w:val="00F65EE5"/>
    <w:rsid w:val="00F66063"/>
    <w:rsid w:val="00F661D7"/>
    <w:rsid w:val="00F7427A"/>
    <w:rsid w:val="00F77564"/>
    <w:rsid w:val="00F8081B"/>
    <w:rsid w:val="00F82893"/>
    <w:rsid w:val="00F840CB"/>
    <w:rsid w:val="00F8562B"/>
    <w:rsid w:val="00F87216"/>
    <w:rsid w:val="00F94878"/>
    <w:rsid w:val="00F94A8B"/>
    <w:rsid w:val="00FB0ED0"/>
    <w:rsid w:val="00FB4F43"/>
    <w:rsid w:val="00FB630F"/>
    <w:rsid w:val="00FB7D83"/>
    <w:rsid w:val="00FC16A6"/>
    <w:rsid w:val="00FC4257"/>
    <w:rsid w:val="00FC43DE"/>
    <w:rsid w:val="00FC58D5"/>
    <w:rsid w:val="00FC7FB9"/>
    <w:rsid w:val="00FD2223"/>
    <w:rsid w:val="00FD54D1"/>
    <w:rsid w:val="00FE196C"/>
    <w:rsid w:val="00FE270D"/>
    <w:rsid w:val="00FE2D49"/>
    <w:rsid w:val="00FE4611"/>
    <w:rsid w:val="00FE5BDA"/>
    <w:rsid w:val="00FF1B27"/>
    <w:rsid w:val="00FF1DA9"/>
    <w:rsid w:val="01FE0BE2"/>
    <w:rsid w:val="024261A6"/>
    <w:rsid w:val="03797150"/>
    <w:rsid w:val="05AB5E10"/>
    <w:rsid w:val="05EC2979"/>
    <w:rsid w:val="06186E5D"/>
    <w:rsid w:val="06447E16"/>
    <w:rsid w:val="06B27FFC"/>
    <w:rsid w:val="06E92E82"/>
    <w:rsid w:val="07652E75"/>
    <w:rsid w:val="077E1B6C"/>
    <w:rsid w:val="088A258B"/>
    <w:rsid w:val="09185263"/>
    <w:rsid w:val="092E2FE0"/>
    <w:rsid w:val="09A264DC"/>
    <w:rsid w:val="0B84338B"/>
    <w:rsid w:val="0D8E6B48"/>
    <w:rsid w:val="0EEC540D"/>
    <w:rsid w:val="0F051445"/>
    <w:rsid w:val="0F7F6343"/>
    <w:rsid w:val="108D4A90"/>
    <w:rsid w:val="10A21FB1"/>
    <w:rsid w:val="111E19E6"/>
    <w:rsid w:val="112A34F8"/>
    <w:rsid w:val="11627CCB"/>
    <w:rsid w:val="12724F3C"/>
    <w:rsid w:val="12E666D9"/>
    <w:rsid w:val="144E5831"/>
    <w:rsid w:val="157E4AEB"/>
    <w:rsid w:val="15A60D42"/>
    <w:rsid w:val="15BB7DF7"/>
    <w:rsid w:val="164863F4"/>
    <w:rsid w:val="17265757"/>
    <w:rsid w:val="1904793D"/>
    <w:rsid w:val="1A793A61"/>
    <w:rsid w:val="1CC71CF1"/>
    <w:rsid w:val="1DA72C35"/>
    <w:rsid w:val="1E0930CB"/>
    <w:rsid w:val="1EB34921"/>
    <w:rsid w:val="1F6F1F2B"/>
    <w:rsid w:val="20297F5A"/>
    <w:rsid w:val="209F7A3B"/>
    <w:rsid w:val="21B3259E"/>
    <w:rsid w:val="21EE091E"/>
    <w:rsid w:val="22BD1205"/>
    <w:rsid w:val="23CF27A7"/>
    <w:rsid w:val="25F62E2D"/>
    <w:rsid w:val="26127ABA"/>
    <w:rsid w:val="26210BBE"/>
    <w:rsid w:val="277809B2"/>
    <w:rsid w:val="283427BA"/>
    <w:rsid w:val="28DE3FE3"/>
    <w:rsid w:val="28F02326"/>
    <w:rsid w:val="2B141BDE"/>
    <w:rsid w:val="2B6B5DBA"/>
    <w:rsid w:val="2B8646B9"/>
    <w:rsid w:val="2C407A5B"/>
    <w:rsid w:val="2D4A18E7"/>
    <w:rsid w:val="2E02460C"/>
    <w:rsid w:val="2EC8340B"/>
    <w:rsid w:val="2FDC754C"/>
    <w:rsid w:val="32B81081"/>
    <w:rsid w:val="33A12656"/>
    <w:rsid w:val="33E23F6F"/>
    <w:rsid w:val="33F7720E"/>
    <w:rsid w:val="349D79F8"/>
    <w:rsid w:val="34C57F1E"/>
    <w:rsid w:val="34C96E23"/>
    <w:rsid w:val="35011C26"/>
    <w:rsid w:val="353E78FC"/>
    <w:rsid w:val="373552B4"/>
    <w:rsid w:val="38380C12"/>
    <w:rsid w:val="384829D0"/>
    <w:rsid w:val="392822D8"/>
    <w:rsid w:val="3A3A4D57"/>
    <w:rsid w:val="3C0C1FB2"/>
    <w:rsid w:val="3C0D3506"/>
    <w:rsid w:val="3D373713"/>
    <w:rsid w:val="40E030B5"/>
    <w:rsid w:val="41110D78"/>
    <w:rsid w:val="41390199"/>
    <w:rsid w:val="42AD52B2"/>
    <w:rsid w:val="43BB0B5A"/>
    <w:rsid w:val="44916723"/>
    <w:rsid w:val="452B427C"/>
    <w:rsid w:val="46D560F0"/>
    <w:rsid w:val="47FB65EC"/>
    <w:rsid w:val="480F10F6"/>
    <w:rsid w:val="4A5D0A54"/>
    <w:rsid w:val="4A72164F"/>
    <w:rsid w:val="4AB935C3"/>
    <w:rsid w:val="4B2B74A1"/>
    <w:rsid w:val="4BFD3649"/>
    <w:rsid w:val="4C81122B"/>
    <w:rsid w:val="4EBA51D8"/>
    <w:rsid w:val="4EE44C81"/>
    <w:rsid w:val="518A6A30"/>
    <w:rsid w:val="519628F5"/>
    <w:rsid w:val="51D116E1"/>
    <w:rsid w:val="5263477D"/>
    <w:rsid w:val="54BC0F0D"/>
    <w:rsid w:val="55250E96"/>
    <w:rsid w:val="554A6079"/>
    <w:rsid w:val="55A57753"/>
    <w:rsid w:val="57164992"/>
    <w:rsid w:val="57CA41EB"/>
    <w:rsid w:val="58ED5B8B"/>
    <w:rsid w:val="58F1410D"/>
    <w:rsid w:val="590A6E98"/>
    <w:rsid w:val="5B905097"/>
    <w:rsid w:val="5C585E94"/>
    <w:rsid w:val="5CEA363E"/>
    <w:rsid w:val="5D5079CB"/>
    <w:rsid w:val="5F3C4C84"/>
    <w:rsid w:val="5FC33474"/>
    <w:rsid w:val="5FD900E3"/>
    <w:rsid w:val="617F42BF"/>
    <w:rsid w:val="61A97F30"/>
    <w:rsid w:val="61AE57C0"/>
    <w:rsid w:val="6269194F"/>
    <w:rsid w:val="635A1B7D"/>
    <w:rsid w:val="63DD7FF8"/>
    <w:rsid w:val="63EB2CF6"/>
    <w:rsid w:val="65256B3E"/>
    <w:rsid w:val="653B0E14"/>
    <w:rsid w:val="67EA112A"/>
    <w:rsid w:val="67F85C34"/>
    <w:rsid w:val="68055D20"/>
    <w:rsid w:val="68390689"/>
    <w:rsid w:val="689728F9"/>
    <w:rsid w:val="6A930356"/>
    <w:rsid w:val="6BC1204D"/>
    <w:rsid w:val="6E9C7E9D"/>
    <w:rsid w:val="6F2C22B0"/>
    <w:rsid w:val="70044E66"/>
    <w:rsid w:val="729948EB"/>
    <w:rsid w:val="75475A8E"/>
    <w:rsid w:val="755019C9"/>
    <w:rsid w:val="76242CF7"/>
    <w:rsid w:val="76A72E23"/>
    <w:rsid w:val="780C6F13"/>
    <w:rsid w:val="782660AD"/>
    <w:rsid w:val="79343C3C"/>
    <w:rsid w:val="7A1129C2"/>
    <w:rsid w:val="7A41771F"/>
    <w:rsid w:val="7C623988"/>
    <w:rsid w:val="7D613723"/>
    <w:rsid w:val="7F0A4E61"/>
    <w:rsid w:val="7F647B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5"/>
    <w:qFormat/>
    <w:uiPriority w:val="0"/>
    <w:pPr>
      <w:keepNext/>
      <w:keepLines/>
      <w:numPr>
        <w:ilvl w:val="0"/>
        <w:numId w:val="1"/>
      </w:numPr>
      <w:topLinePunct/>
      <w:adjustRightInd w:val="0"/>
      <w:snapToGrid w:val="0"/>
      <w:spacing w:line="480" w:lineRule="atLeast"/>
      <w:ind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39"/>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next w:val="16"/>
    <w:qFormat/>
    <w:uiPriority w:val="0"/>
    <w:pPr>
      <w:spacing w:after="120"/>
    </w:pPr>
    <w:rPr>
      <w:szCs w:val="24"/>
    </w:rPr>
  </w:style>
  <w:style w:type="paragraph" w:styleId="16">
    <w:name w:val="Title"/>
    <w:basedOn w:val="1"/>
    <w:next w:val="1"/>
    <w:qFormat/>
    <w:uiPriority w:val="0"/>
    <w:pPr>
      <w:pageBreakBefore/>
      <w:widowControl/>
      <w:spacing w:line="360" w:lineRule="auto"/>
      <w:jc w:val="center"/>
      <w:outlineLvl w:val="0"/>
    </w:pPr>
    <w:rPr>
      <w:rFonts w:ascii="宋体" w:hAnsi="宋体"/>
      <w:b/>
      <w:kern w:val="0"/>
      <w:sz w:val="32"/>
      <w:szCs w:val="32"/>
    </w:rPr>
  </w:style>
  <w:style w:type="paragraph" w:styleId="17">
    <w:name w:val="Body Text Indent"/>
    <w:basedOn w:val="1"/>
    <w:link w:val="40"/>
    <w:qFormat/>
    <w:uiPriority w:val="0"/>
    <w:pPr>
      <w:adjustRightInd w:val="0"/>
      <w:snapToGrid w:val="0"/>
      <w:spacing w:line="300" w:lineRule="auto"/>
      <w:ind w:firstLine="0" w:firstLineChars="0"/>
    </w:pPr>
    <w:rPr>
      <w:sz w:val="21"/>
      <w:szCs w:val="20"/>
      <w:lang w:eastAsia="zh-TW"/>
    </w:rPr>
  </w:style>
  <w:style w:type="paragraph" w:styleId="18">
    <w:name w:val="toc 5"/>
    <w:basedOn w:val="1"/>
    <w:next w:val="1"/>
    <w:qFormat/>
    <w:uiPriority w:val="0"/>
    <w:pPr>
      <w:ind w:left="960"/>
      <w:jc w:val="left"/>
    </w:pPr>
    <w:rPr>
      <w:rFonts w:ascii="Calibri" w:hAnsi="Calibri"/>
      <w:sz w:val="18"/>
      <w:szCs w:val="18"/>
    </w:rPr>
  </w:style>
  <w:style w:type="paragraph" w:styleId="19">
    <w:name w:val="toc 3"/>
    <w:basedOn w:val="1"/>
    <w:next w:val="1"/>
    <w:qFormat/>
    <w:uiPriority w:val="39"/>
    <w:pPr>
      <w:ind w:left="480"/>
      <w:jc w:val="left"/>
    </w:pPr>
    <w:rPr>
      <w:rFonts w:ascii="Calibri" w:hAnsi="Calibri"/>
      <w:i/>
      <w:iCs/>
      <w:sz w:val="20"/>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1"/>
    <w:qFormat/>
    <w:uiPriority w:val="0"/>
    <w:rPr>
      <w:sz w:val="18"/>
      <w:szCs w:val="18"/>
    </w:rPr>
  </w:style>
  <w:style w:type="paragraph" w:styleId="22">
    <w:name w:val="footer"/>
    <w:basedOn w:val="1"/>
    <w:link w:val="42"/>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3"/>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qFormat/>
    <w:uiPriority w:val="99"/>
  </w:style>
  <w:style w:type="character" w:styleId="34">
    <w:name w:val="annotation reference"/>
    <w:semiHidden/>
    <w:qFormat/>
    <w:uiPriority w:val="0"/>
    <w:rPr>
      <w:sz w:val="21"/>
      <w:szCs w:val="21"/>
    </w:rPr>
  </w:style>
  <w:style w:type="character" w:customStyle="1" w:styleId="35">
    <w:name w:val="标题 1 Char"/>
    <w:link w:val="2"/>
    <w:qFormat/>
    <w:uiPriority w:val="0"/>
    <w:rPr>
      <w:b/>
      <w:bCs/>
      <w:snapToGrid/>
      <w:sz w:val="28"/>
      <w:szCs w:val="28"/>
    </w:rPr>
  </w:style>
  <w:style w:type="character" w:customStyle="1" w:styleId="36">
    <w:name w:val="标题 3 Char"/>
    <w:link w:val="4"/>
    <w:qFormat/>
    <w:uiPriority w:val="0"/>
    <w:rPr>
      <w:b/>
      <w:bCs/>
      <w:kern w:val="2"/>
      <w:sz w:val="28"/>
      <w:szCs w:val="28"/>
      <w:lang w:val="sv-SE"/>
    </w:rPr>
  </w:style>
  <w:style w:type="character" w:customStyle="1" w:styleId="37">
    <w:name w:val="标题 5 Char"/>
    <w:link w:val="6"/>
    <w:qFormat/>
    <w:uiPriority w:val="0"/>
    <w:rPr>
      <w:b/>
      <w:bCs/>
      <w:kern w:val="44"/>
      <w:sz w:val="24"/>
      <w:szCs w:val="28"/>
    </w:rPr>
  </w:style>
  <w:style w:type="character" w:customStyle="1" w:styleId="38">
    <w:name w:val="标题 7 Char"/>
    <w:link w:val="8"/>
    <w:qFormat/>
    <w:uiPriority w:val="0"/>
    <w:rPr>
      <w:b/>
      <w:bCs/>
      <w:kern w:val="2"/>
      <w:sz w:val="24"/>
      <w:szCs w:val="24"/>
    </w:rPr>
  </w:style>
  <w:style w:type="character" w:customStyle="1" w:styleId="39">
    <w:name w:val="正文缩进 Char"/>
    <w:link w:val="12"/>
    <w:qFormat/>
    <w:uiPriority w:val="0"/>
    <w:rPr>
      <w:kern w:val="2"/>
      <w:sz w:val="21"/>
      <w:szCs w:val="24"/>
    </w:rPr>
  </w:style>
  <w:style w:type="character" w:customStyle="1" w:styleId="40">
    <w:name w:val="正文文本缩进 Char"/>
    <w:link w:val="17"/>
    <w:qFormat/>
    <w:uiPriority w:val="0"/>
    <w:rPr>
      <w:kern w:val="2"/>
      <w:sz w:val="21"/>
      <w:lang w:eastAsia="zh-TW"/>
    </w:rPr>
  </w:style>
  <w:style w:type="character" w:customStyle="1" w:styleId="41">
    <w:name w:val="批注框文本 Char"/>
    <w:link w:val="21"/>
    <w:qFormat/>
    <w:uiPriority w:val="0"/>
    <w:rPr>
      <w:kern w:val="2"/>
      <w:sz w:val="18"/>
      <w:szCs w:val="18"/>
    </w:rPr>
  </w:style>
  <w:style w:type="character" w:customStyle="1" w:styleId="42">
    <w:name w:val="页脚 Char"/>
    <w:link w:val="22"/>
    <w:qFormat/>
    <w:uiPriority w:val="99"/>
    <w:rPr>
      <w:kern w:val="2"/>
      <w:sz w:val="18"/>
      <w:szCs w:val="18"/>
    </w:rPr>
  </w:style>
  <w:style w:type="character" w:customStyle="1" w:styleId="43">
    <w:name w:val="页眉 Char"/>
    <w:link w:val="23"/>
    <w:qFormat/>
    <w:uiPriority w:val="99"/>
    <w:rPr>
      <w:kern w:val="2"/>
      <w:sz w:val="18"/>
      <w:szCs w:val="18"/>
    </w:rPr>
  </w:style>
  <w:style w:type="character" w:customStyle="1" w:styleId="44">
    <w:name w:val="GEDI一级项目编号 Char"/>
    <w:link w:val="45"/>
    <w:qFormat/>
    <w:uiPriority w:val="0"/>
    <w:rPr>
      <w:rFonts w:eastAsia="宋体"/>
      <w:kern w:val="2"/>
      <w:sz w:val="24"/>
      <w:szCs w:val="24"/>
      <w:lang w:val="en-US" w:eastAsia="zh-CN" w:bidi="ar-SA"/>
    </w:rPr>
  </w:style>
  <w:style w:type="paragraph" w:customStyle="1" w:styleId="45">
    <w:name w:val="GEDI一级项目编号"/>
    <w:basedOn w:val="1"/>
    <w:link w:val="44"/>
    <w:qFormat/>
    <w:uiPriority w:val="0"/>
    <w:pPr>
      <w:adjustRightInd w:val="0"/>
      <w:snapToGrid w:val="0"/>
      <w:spacing w:line="480" w:lineRule="atLeast"/>
      <w:ind w:firstLine="0" w:firstLineChars="0"/>
    </w:pPr>
  </w:style>
  <w:style w:type="character" w:customStyle="1" w:styleId="46">
    <w:name w:val="GEDI正文样式 Char"/>
    <w:link w:val="47"/>
    <w:qFormat/>
    <w:uiPriority w:val="0"/>
    <w:rPr>
      <w:rFonts w:eastAsia="宋体"/>
      <w:kern w:val="2"/>
      <w:sz w:val="24"/>
      <w:szCs w:val="24"/>
      <w:lang w:val="en-US" w:eastAsia="zh-CN" w:bidi="ar-SA"/>
    </w:rPr>
  </w:style>
  <w:style w:type="paragraph" w:customStyle="1" w:styleId="47">
    <w:name w:val="GEDI正文样式"/>
    <w:basedOn w:val="1"/>
    <w:link w:val="46"/>
    <w:qFormat/>
    <w:uiPriority w:val="0"/>
    <w:pPr>
      <w:adjustRightInd w:val="0"/>
      <w:snapToGrid w:val="0"/>
      <w:spacing w:line="480" w:lineRule="atLeast"/>
      <w:ind w:firstLine="480"/>
    </w:pPr>
  </w:style>
  <w:style w:type="character" w:customStyle="1" w:styleId="48">
    <w:name w:val="GEDI正文(无编号) Char"/>
    <w:link w:val="49"/>
    <w:qFormat/>
    <w:uiPriority w:val="0"/>
    <w:rPr>
      <w:rFonts w:hAnsi="宋体"/>
      <w:kern w:val="2"/>
      <w:sz w:val="24"/>
    </w:rPr>
  </w:style>
  <w:style w:type="paragraph" w:customStyle="1" w:styleId="49">
    <w:name w:val="GEDI正文(无编号)"/>
    <w:basedOn w:val="1"/>
    <w:link w:val="48"/>
    <w:qFormat/>
    <w:uiPriority w:val="0"/>
    <w:pPr>
      <w:adjustRightInd w:val="0"/>
      <w:snapToGrid w:val="0"/>
      <w:ind w:left="420" w:firstLine="0" w:firstLineChars="0"/>
    </w:pPr>
    <w:rPr>
      <w:rFonts w:hAnsi="宋体"/>
      <w:szCs w:val="20"/>
    </w:rPr>
  </w:style>
  <w:style w:type="character" w:customStyle="1" w:styleId="50">
    <w:name w:val="封面副标题 Char"/>
    <w:link w:val="51"/>
    <w:qFormat/>
    <w:uiPriority w:val="0"/>
    <w:rPr>
      <w:rFonts w:ascii="Arial" w:hAnsi="Arial" w:eastAsia="黑体"/>
      <w:sz w:val="32"/>
      <w:szCs w:val="24"/>
      <w:lang w:val="en-US" w:eastAsia="zh-CN" w:bidi="ar-SA"/>
    </w:rPr>
  </w:style>
  <w:style w:type="paragraph" w:customStyle="1" w:styleId="51">
    <w:name w:val="封面副标题"/>
    <w:link w:val="50"/>
    <w:qFormat/>
    <w:uiPriority w:val="0"/>
    <w:pPr>
      <w:spacing w:line="360" w:lineRule="auto"/>
      <w:jc w:val="center"/>
    </w:pPr>
    <w:rPr>
      <w:rFonts w:ascii="Arial" w:hAnsi="Arial" w:eastAsia="黑体" w:cs="Times New Roman"/>
      <w:sz w:val="32"/>
      <w:szCs w:val="24"/>
      <w:lang w:val="en-US" w:eastAsia="zh-CN" w:bidi="ar-SA"/>
    </w:rPr>
  </w:style>
  <w:style w:type="character" w:customStyle="1" w:styleId="52">
    <w:name w:val="无间隔 Char"/>
    <w:link w:val="53"/>
    <w:qFormat/>
    <w:uiPriority w:val="1"/>
    <w:rPr>
      <w:rFonts w:ascii="Calibri" w:hAnsi="Calibri"/>
      <w:sz w:val="22"/>
      <w:szCs w:val="22"/>
      <w:lang w:bidi="ar-SA"/>
    </w:rPr>
  </w:style>
  <w:style w:type="paragraph" w:styleId="53">
    <w:name w:val="No Spacing"/>
    <w:link w:val="52"/>
    <w:qFormat/>
    <w:uiPriority w:val="1"/>
    <w:rPr>
      <w:rFonts w:ascii="Calibri" w:hAnsi="Calibri" w:eastAsia="宋体" w:cs="Times New Roman"/>
      <w:sz w:val="22"/>
      <w:szCs w:val="22"/>
      <w:lang w:val="en-US" w:eastAsia="zh-CN" w:bidi="ar-SA"/>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p0"/>
    <w:basedOn w:val="1"/>
    <w:qFormat/>
    <w:uiPriority w:val="0"/>
    <w:pPr>
      <w:widowControl/>
      <w:spacing w:line="360" w:lineRule="auto"/>
      <w:ind w:firstLine="0" w:firstLineChars="0"/>
    </w:pPr>
    <w:rPr>
      <w:kern w:val="0"/>
    </w:rPr>
  </w:style>
  <w:style w:type="paragraph" w:customStyle="1" w:styleId="56">
    <w:name w:val="封面标题"/>
    <w:qFormat/>
    <w:uiPriority w:val="0"/>
    <w:pPr>
      <w:spacing w:line="360" w:lineRule="auto"/>
      <w:jc w:val="center"/>
    </w:pPr>
    <w:rPr>
      <w:rFonts w:ascii="Arial" w:hAnsi="Arial" w:eastAsia="黑体" w:cs="Times New Roman"/>
      <w:sz w:val="48"/>
      <w:szCs w:val="48"/>
      <w:lang w:val="en-US" w:eastAsia="zh-CN" w:bidi="ar-SA"/>
    </w:rPr>
  </w:style>
  <w:style w:type="paragraph" w:styleId="57">
    <w:name w:val="List Paragraph"/>
    <w:basedOn w:val="1"/>
    <w:qFormat/>
    <w:uiPriority w:val="34"/>
    <w:pPr>
      <w:ind w:firstLine="420"/>
    </w:pPr>
  </w:style>
  <w:style w:type="paragraph" w:customStyle="1" w:styleId="58">
    <w:name w:val="正文加粗"/>
    <w:basedOn w:val="1"/>
    <w:qFormat/>
    <w:uiPriority w:val="0"/>
    <w:pPr>
      <w:spacing w:line="240" w:lineRule="auto"/>
      <w:ind w:firstLine="0" w:firstLineChars="0"/>
    </w:pPr>
    <w:rPr>
      <w:rFonts w:cs="宋体"/>
      <w:b/>
      <w:bCs/>
      <w:sz w:val="21"/>
      <w:szCs w:val="20"/>
    </w:rPr>
  </w:style>
  <w:style w:type="paragraph" w:customStyle="1" w:styleId="59">
    <w:name w:val="目录 21"/>
    <w:basedOn w:val="1"/>
    <w:next w:val="1"/>
    <w:qFormat/>
    <w:uiPriority w:val="0"/>
    <w:pPr>
      <w:spacing w:before="100" w:beforeAutospacing="1" w:after="100" w:afterAutospacing="1"/>
      <w:ind w:left="420" w:leftChars="200"/>
    </w:pPr>
  </w:style>
  <w:style w:type="paragraph" w:customStyle="1" w:styleId="60">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1">
    <w:name w:val=" Char"/>
    <w:basedOn w:val="1"/>
    <w:qFormat/>
    <w:uiPriority w:val="0"/>
    <w:pPr>
      <w:spacing w:line="240" w:lineRule="auto"/>
      <w:ind w:firstLine="0" w:firstLineChars="0"/>
    </w:pPr>
    <w:rPr>
      <w:rFonts w:ascii="Tahoma" w:hAnsi="Tahoma"/>
      <w:szCs w:val="20"/>
    </w:rPr>
  </w:style>
  <w:style w:type="paragraph" w:customStyle="1" w:styleId="62">
    <w:name w:val="_Style 1"/>
    <w:basedOn w:val="1"/>
    <w:qFormat/>
    <w:uiPriority w:val="34"/>
    <w:pPr>
      <w:ind w:firstLine="420"/>
    </w:pPr>
  </w:style>
  <w:style w:type="paragraph" w:customStyle="1" w:styleId="63">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64">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5">
    <w:name w:val="园点"/>
    <w:basedOn w:val="1"/>
    <w:qFormat/>
    <w:uiPriority w:val="0"/>
    <w:pPr>
      <w:numPr>
        <w:ilvl w:val="0"/>
        <w:numId w:val="2"/>
      </w:numPr>
      <w:spacing w:line="360" w:lineRule="auto"/>
      <w:ind w:firstLineChars="0"/>
    </w:pPr>
    <w:rPr>
      <w:rFonts w:ascii="宋体" w:hAnsi="宋体"/>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2378</Words>
  <Characters>2642</Characters>
  <Lines>43</Lines>
  <Paragraphs>12</Paragraphs>
  <TotalTime>1</TotalTime>
  <ScaleCrop>false</ScaleCrop>
  <LinksUpToDate>false</LinksUpToDate>
  <CharactersWithSpaces>2675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2014-11-04T08:07:00Z</dcterms:created>
  <dc:creator>王海吉</dc:creator>
  <cp:lastModifiedBy>杨文标</cp:lastModifiedBy>
  <cp:lastPrinted>2014-05-06T02:19:00Z</cp:lastPrinted>
  <dcterms:modified xsi:type="dcterms:W3CDTF">2026-07-13T07:33:52Z</dcterms:modified>
  <dc:title>1</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45C39DA63CB7498BAC29269A1F4866DE</vt:lpwstr>
  </property>
  <property fmtid="{D5CDD505-2E9C-101B-9397-08002B2CF9AE}" pid="4" name="KSOTemplateDocerSaveRecord">
    <vt:lpwstr>eyJoZGlkIjoiMzEwNTM5NzYwMDRjMzkwZTVkZjY2ODkwMGIxNGU0OTUiLCJ1c2VySWQiOiIxNDYwNjQ1OTc4In0=</vt:lpwstr>
  </property>
</Properties>
</file>