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eastAsia" w:ascii="宋体" w:hAnsi="宋体"/>
          <w:b/>
          <w:u w:val="single"/>
        </w:rPr>
      </w:pPr>
      <w:bookmarkStart w:id="2634" w:name="_GoBack"/>
      <w:bookmarkEnd w:id="2634"/>
    </w:p>
    <w:p>
      <w:pPr>
        <w:spacing w:line="360" w:lineRule="auto"/>
        <w:rPr>
          <w:rFonts w:hint="eastAsia" w:ascii="宋体" w:hAnsi="宋体"/>
          <w:b/>
          <w:sz w:val="28"/>
          <w:szCs w:val="28"/>
        </w:rPr>
      </w:pPr>
      <w:r>
        <w:rPr>
          <w:rFonts w:hint="eastAsia" w:ascii="宋体" w:hAnsi="宋体"/>
          <w:b/>
          <w:sz w:val="28"/>
          <w:szCs w:val="28"/>
        </w:rPr>
        <w:t>项目名称</w:t>
      </w:r>
      <w:bookmarkStart w:id="0" w:name="OLE_LINK1"/>
      <w:r>
        <w:rPr>
          <w:rFonts w:hint="eastAsia" w:ascii="宋体" w:hAnsi="宋体"/>
          <w:b/>
          <w:sz w:val="28"/>
          <w:szCs w:val="28"/>
          <w:u w:val="single"/>
        </w:rPr>
        <w:t>:2026-2028年度劳务用工服务采购</w:t>
      </w:r>
    </w:p>
    <w:bookmarkEnd w:id="0"/>
    <w:p>
      <w:pPr>
        <w:spacing w:line="360" w:lineRule="auto"/>
        <w:rPr>
          <w:rFonts w:hint="eastAsia" w:ascii="宋体" w:hAnsi="宋体"/>
          <w:sz w:val="28"/>
          <w:szCs w:val="28"/>
        </w:rPr>
      </w:pPr>
      <w:r>
        <w:rPr>
          <w:rFonts w:hint="eastAsia" w:ascii="宋体" w:hAnsi="宋体"/>
          <w:b/>
          <w:sz w:val="28"/>
          <w:szCs w:val="28"/>
        </w:rPr>
        <w:t>项目编号：</w:t>
      </w:r>
      <w:r>
        <w:rPr>
          <w:rFonts w:hint="eastAsia" w:ascii="宋体" w:hAnsi="宋体"/>
          <w:b/>
          <w:sz w:val="28"/>
          <w:szCs w:val="28"/>
          <w:u w:val="single"/>
        </w:rPr>
        <w:t>ZB202614</w:t>
      </w:r>
    </w:p>
    <w:p>
      <w:pPr>
        <w:spacing w:line="400" w:lineRule="exact"/>
        <w:jc w:val="center"/>
        <w:rPr>
          <w:rFonts w:hint="eastAsia" w:ascii="宋体" w:hAnsi="宋体"/>
          <w:b/>
          <w:u w:val="single"/>
        </w:rPr>
      </w:pPr>
    </w:p>
    <w:p>
      <w:pPr>
        <w:spacing w:line="400" w:lineRule="exact"/>
        <w:jc w:val="center"/>
        <w:rPr>
          <w:rFonts w:hint="eastAsia" w:ascii="宋体" w:hAnsi="宋体"/>
          <w:b/>
          <w:u w:val="single"/>
        </w:rPr>
      </w:pPr>
    </w:p>
    <w:p>
      <w:pPr>
        <w:pStyle w:val="2"/>
      </w:pPr>
    </w:p>
    <w:p>
      <w:pPr>
        <w:spacing w:line="400" w:lineRule="exact"/>
        <w:jc w:val="center"/>
        <w:rPr>
          <w:rFonts w:hint="eastAsia" w:ascii="宋体" w:hAnsi="宋体"/>
          <w:b/>
          <w:u w:val="single"/>
        </w:rPr>
      </w:pPr>
      <w:bookmarkStart w:id="1" w:name="_Hlk46473036"/>
      <w:bookmarkEnd w:id="1"/>
    </w:p>
    <w:p>
      <w:pPr>
        <w:jc w:val="center"/>
        <w:rPr>
          <w:rFonts w:hint="eastAsia" w:ascii="宋体" w:hAnsi="宋体"/>
          <w:b/>
          <w:u w:val="single"/>
        </w:rPr>
      </w:pPr>
    </w:p>
    <w:p>
      <w:pPr>
        <w:jc w:val="center"/>
        <w:rPr>
          <w:rFonts w:hint="eastAsia" w:ascii="宋体" w:hAnsi="宋体"/>
          <w:b/>
          <w:u w:val="single"/>
        </w:rPr>
      </w:pPr>
    </w:p>
    <w:p>
      <w:pPr>
        <w:jc w:val="center"/>
        <w:rPr>
          <w:rFonts w:hint="eastAsia" w:ascii="宋体" w:hAnsi="宋体" w:cs="宋体"/>
          <w:b/>
          <w:bCs/>
          <w:spacing w:val="40"/>
          <w:sz w:val="52"/>
        </w:rPr>
      </w:pPr>
      <w:r>
        <w:rPr>
          <w:rFonts w:hint="eastAsia" w:ascii="宋体" w:hAnsi="宋体" w:cs="宋体"/>
          <w:b/>
          <w:bCs/>
          <w:spacing w:val="40"/>
          <w:sz w:val="52"/>
        </w:rPr>
        <w:t>招标文件</w:t>
      </w:r>
    </w:p>
    <w:p>
      <w:pPr>
        <w:spacing w:after="120"/>
        <w:jc w:val="center"/>
        <w:rPr>
          <w:rFonts w:hint="eastAsia" w:ascii="宋体" w:hAnsi="宋体"/>
          <w:b/>
        </w:rPr>
      </w:pPr>
    </w:p>
    <w:p>
      <w:pPr>
        <w:spacing w:after="120"/>
        <w:jc w:val="center"/>
        <w:rPr>
          <w:rFonts w:hint="eastAsia" w:ascii="宋体" w:hAnsi="宋体"/>
          <w:b/>
        </w:rPr>
      </w:pPr>
    </w:p>
    <w:p>
      <w:pPr>
        <w:spacing w:after="120"/>
        <w:jc w:val="center"/>
        <w:rPr>
          <w:rFonts w:hint="eastAsia" w:ascii="宋体" w:hAnsi="宋体"/>
          <w:b/>
        </w:rPr>
      </w:pPr>
    </w:p>
    <w:p>
      <w:pPr>
        <w:spacing w:after="120"/>
        <w:jc w:val="center"/>
        <w:rPr>
          <w:rFonts w:hint="eastAsia" w:ascii="宋体" w:hAnsi="宋体"/>
          <w:b/>
        </w:rPr>
      </w:pPr>
    </w:p>
    <w:p>
      <w:pPr>
        <w:spacing w:after="120"/>
        <w:jc w:val="center"/>
        <w:rPr>
          <w:rFonts w:hint="eastAsia" w:ascii="宋体" w:hAnsi="宋体"/>
          <w:b/>
        </w:rPr>
      </w:pPr>
    </w:p>
    <w:p>
      <w:pPr>
        <w:spacing w:after="120" w:line="400" w:lineRule="exact"/>
        <w:jc w:val="center"/>
        <w:rPr>
          <w:rFonts w:hint="eastAsia" w:ascii="宋体" w:hAnsi="宋体"/>
          <w:b/>
          <w:sz w:val="30"/>
        </w:rPr>
      </w:pPr>
    </w:p>
    <w:p>
      <w:pPr>
        <w:spacing w:after="120" w:line="400" w:lineRule="exact"/>
        <w:jc w:val="center"/>
        <w:rPr>
          <w:rFonts w:hint="eastAsia" w:ascii="宋体" w:hAnsi="宋体"/>
          <w:b/>
          <w:sz w:val="24"/>
        </w:rPr>
      </w:pPr>
    </w:p>
    <w:p>
      <w:pPr>
        <w:spacing w:after="120" w:line="400" w:lineRule="exact"/>
        <w:jc w:val="center"/>
        <w:rPr>
          <w:rFonts w:hint="eastAsia" w:ascii="宋体" w:hAnsi="宋体"/>
          <w:b/>
          <w:sz w:val="24"/>
        </w:rPr>
      </w:pPr>
    </w:p>
    <w:p>
      <w:pPr>
        <w:spacing w:after="120" w:line="400" w:lineRule="exact"/>
        <w:jc w:val="center"/>
        <w:rPr>
          <w:rFonts w:hint="eastAsia" w:ascii="宋体" w:hAnsi="宋体"/>
          <w:b/>
          <w:sz w:val="24"/>
        </w:rPr>
      </w:pPr>
    </w:p>
    <w:p>
      <w:pPr>
        <w:spacing w:line="360" w:lineRule="auto"/>
        <w:rPr>
          <w:rFonts w:hint="eastAsia" w:ascii="宋体" w:hAnsi="宋体"/>
        </w:rPr>
      </w:pPr>
    </w:p>
    <w:p>
      <w:pPr>
        <w:tabs>
          <w:tab w:val="left" w:pos="6000"/>
        </w:tabs>
        <w:spacing w:line="360" w:lineRule="auto"/>
        <w:rPr>
          <w:rFonts w:hint="eastAsia" w:ascii="宋体" w:hAnsi="宋体"/>
          <w:sz w:val="28"/>
          <w:szCs w:val="28"/>
        </w:rPr>
      </w:pPr>
      <w:r>
        <w:rPr>
          <w:rFonts w:ascii="宋体" w:hAnsi="宋体"/>
          <w:sz w:val="28"/>
          <w:szCs w:val="28"/>
        </w:rPr>
        <w:tab/>
      </w:r>
    </w:p>
    <w:p>
      <w:pPr>
        <w:spacing w:line="360" w:lineRule="auto"/>
        <w:jc w:val="center"/>
        <w:rPr>
          <w:rFonts w:hint="eastAsia" w:ascii="宋体" w:hAnsi="宋体"/>
          <w:b/>
          <w:sz w:val="28"/>
          <w:szCs w:val="28"/>
        </w:rPr>
      </w:pPr>
      <w:r>
        <w:rPr>
          <w:rFonts w:hint="eastAsia" w:ascii="宋体" w:hAnsi="宋体"/>
          <w:b/>
          <w:sz w:val="28"/>
          <w:szCs w:val="28"/>
        </w:rPr>
        <w:t>广东省南方传媒发行物流有限公司</w:t>
      </w:r>
    </w:p>
    <w:p>
      <w:pPr>
        <w:spacing w:line="360" w:lineRule="auto"/>
        <w:ind w:firstLine="3360" w:firstLineChars="1200"/>
        <w:rPr>
          <w:rFonts w:hint="eastAsia" w:ascii="宋体" w:hAnsi="宋体"/>
          <w:b/>
          <w:sz w:val="28"/>
          <w:szCs w:val="28"/>
        </w:rPr>
      </w:pPr>
      <w:r>
        <w:rPr>
          <w:rFonts w:hint="eastAsia" w:ascii="宋体" w:hAnsi="宋体"/>
          <w:b/>
          <w:sz w:val="28"/>
          <w:szCs w:val="28"/>
          <w:u w:val="single"/>
        </w:rPr>
        <w:t>2026</w:t>
      </w:r>
      <w:r>
        <w:rPr>
          <w:rFonts w:hint="eastAsia" w:ascii="宋体" w:hAnsi="宋体"/>
          <w:b/>
          <w:sz w:val="28"/>
          <w:szCs w:val="28"/>
        </w:rPr>
        <w:t>年</w:t>
      </w:r>
      <w:r>
        <w:rPr>
          <w:rFonts w:hint="eastAsia" w:ascii="宋体" w:hAnsi="宋体"/>
          <w:b/>
          <w:sz w:val="28"/>
          <w:szCs w:val="28"/>
          <w:u w:val="single"/>
        </w:rPr>
        <w:t>9</w:t>
      </w:r>
      <w:r>
        <w:rPr>
          <w:rFonts w:hint="eastAsia" w:ascii="宋体" w:hAnsi="宋体"/>
          <w:b/>
          <w:sz w:val="28"/>
          <w:szCs w:val="28"/>
        </w:rPr>
        <w:t>月</w:t>
      </w:r>
    </w:p>
    <w:p>
      <w:pPr>
        <w:widowControl/>
        <w:jc w:val="left"/>
        <w:rPr>
          <w:rFonts w:hint="eastAsia" w:ascii="黑体" w:hAnsi="黑体" w:eastAsia="黑体"/>
          <w:sz w:val="24"/>
        </w:rPr>
      </w:pPr>
      <w:r>
        <w:rPr>
          <w:rFonts w:ascii="黑体" w:hAnsi="黑体" w:eastAsia="黑体"/>
          <w:sz w:val="24"/>
        </w:rPr>
        <w:br w:type="page"/>
      </w:r>
    </w:p>
    <w:p>
      <w:pPr>
        <w:spacing w:after="120" w:line="400" w:lineRule="exact"/>
        <w:jc w:val="center"/>
        <w:rPr>
          <w:rFonts w:hint="eastAsia" w:ascii="宋体" w:hAnsi="宋体" w:cs="宋体"/>
          <w:b/>
          <w:sz w:val="32"/>
          <w:szCs w:val="32"/>
        </w:rPr>
      </w:pPr>
      <w:r>
        <w:rPr>
          <w:rFonts w:hint="eastAsia" w:ascii="宋体" w:hAnsi="宋体" w:cs="宋体"/>
          <w:b/>
          <w:sz w:val="32"/>
          <w:szCs w:val="32"/>
        </w:rPr>
        <w:t>目  录</w:t>
      </w:r>
    </w:p>
    <w:p>
      <w:pPr>
        <w:pStyle w:val="28"/>
        <w:tabs>
          <w:tab w:val="right" w:leader="dot" w:pos="8880"/>
          <w:tab w:val="clear" w:pos="567"/>
          <w:tab w:val="clear" w:pos="709"/>
          <w:tab w:val="clear" w:pos="8505"/>
        </w:tabs>
        <w:spacing w:line="400" w:lineRule="exact"/>
        <w:rPr>
          <w:rFonts w:hint="eastAsia" w:cs="宋体"/>
          <w:szCs w:val="21"/>
        </w:rPr>
      </w:pPr>
      <w:r>
        <w:fldChar w:fldCharType="begin"/>
      </w:r>
      <w:r>
        <w:instrText xml:space="preserve"> HYPERLINK \l "_Toc7975" </w:instrText>
      </w:r>
      <w:r>
        <w:fldChar w:fldCharType="separate"/>
      </w:r>
      <w:r>
        <w:rPr>
          <w:rFonts w:hint="eastAsia" w:cs="宋体"/>
          <w:szCs w:val="21"/>
        </w:rPr>
        <w:t>招标文件</w:t>
      </w:r>
      <w:r>
        <w:rPr>
          <w:rFonts w:hint="eastAsia" w:cs="宋体"/>
          <w:szCs w:val="21"/>
        </w:rPr>
        <w:tab/>
      </w:r>
      <w:r>
        <w:rPr>
          <w:rFonts w:hint="eastAsia" w:cs="宋体"/>
          <w:szCs w:val="21"/>
        </w:rPr>
        <w:fldChar w:fldCharType="end"/>
      </w:r>
      <w:r>
        <w:rPr>
          <w:rFonts w:hint="eastAsia" w:cs="宋体"/>
          <w:szCs w:val="21"/>
        </w:rPr>
        <w:t>1</w:t>
      </w:r>
    </w:p>
    <w:p>
      <w:pPr>
        <w:pStyle w:val="28"/>
        <w:tabs>
          <w:tab w:val="right" w:leader="dot" w:pos="8504"/>
          <w:tab w:val="clear" w:pos="567"/>
          <w:tab w:val="clear" w:pos="709"/>
          <w:tab w:val="clear" w:pos="8505"/>
        </w:tabs>
        <w:spacing w:line="400" w:lineRule="exact"/>
        <w:rPr>
          <w:rFonts w:hint="eastAsia" w:cs="宋体"/>
          <w:bCs/>
          <w:szCs w:val="21"/>
        </w:rPr>
      </w:pPr>
      <w:r>
        <w:fldChar w:fldCharType="begin"/>
      </w:r>
      <w:r>
        <w:instrText xml:space="preserve"> HYPERLINK \l "_Toc32056" </w:instrText>
      </w:r>
      <w:r>
        <w:fldChar w:fldCharType="separate"/>
      </w:r>
      <w:r>
        <w:rPr>
          <w:rFonts w:hint="eastAsia" w:cs="宋体"/>
          <w:szCs w:val="21"/>
        </w:rPr>
        <w:t>目   录</w:t>
      </w:r>
      <w:r>
        <w:rPr>
          <w:rFonts w:hint="eastAsia" w:cs="宋体"/>
          <w:szCs w:val="21"/>
        </w:rPr>
        <w:tab/>
      </w:r>
      <w:r>
        <w:rPr>
          <w:rFonts w:hint="eastAsia" w:cs="宋体"/>
          <w:szCs w:val="21"/>
        </w:rPr>
        <w:t xml:space="preserve"> </w:t>
      </w:r>
      <w:r>
        <w:rPr>
          <w:rFonts w:hint="eastAsia" w:cs="宋体"/>
          <w:szCs w:val="21"/>
        </w:rPr>
        <w:fldChar w:fldCharType="end"/>
      </w:r>
      <w:r>
        <w:rPr>
          <w:rFonts w:hint="eastAsia" w:cs="宋体"/>
          <w:szCs w:val="21"/>
        </w:rPr>
        <w:t>1</w:t>
      </w:r>
    </w:p>
    <w:p>
      <w:pPr>
        <w:pStyle w:val="28"/>
        <w:tabs>
          <w:tab w:val="right" w:leader="dot" w:pos="8504"/>
          <w:tab w:val="clear" w:pos="567"/>
          <w:tab w:val="clear" w:pos="709"/>
          <w:tab w:val="clear" w:pos="8505"/>
        </w:tabs>
        <w:rPr>
          <w:rFonts w:hint="eastAsia"/>
        </w:rPr>
      </w:pPr>
      <w:r>
        <w:rPr>
          <w:rFonts w:hint="eastAsia" w:cs="宋体"/>
          <w:bCs/>
          <w:szCs w:val="21"/>
        </w:rPr>
        <w:fldChar w:fldCharType="begin"/>
      </w:r>
      <w:r>
        <w:rPr>
          <w:rFonts w:hint="eastAsia" w:cs="宋体"/>
          <w:bCs/>
          <w:szCs w:val="21"/>
        </w:rPr>
        <w:instrText xml:space="preserve"> TOC \o "1-3" \h \z \u </w:instrText>
      </w:r>
      <w:r>
        <w:rPr>
          <w:rFonts w:hint="eastAsia" w:cs="宋体"/>
          <w:bCs/>
          <w:szCs w:val="21"/>
        </w:rPr>
        <w:fldChar w:fldCharType="separate"/>
      </w:r>
      <w:r>
        <w:fldChar w:fldCharType="begin"/>
      </w:r>
      <w:r>
        <w:instrText xml:space="preserve"> HYPERLINK \l "_Toc28520" </w:instrText>
      </w:r>
      <w:r>
        <w:fldChar w:fldCharType="separate"/>
      </w:r>
      <w:r>
        <w:rPr>
          <w:rFonts w:hint="eastAsia"/>
        </w:rPr>
        <w:t>第一章 招标公告</w:t>
      </w:r>
      <w:r>
        <w:tab/>
      </w:r>
      <w:r>
        <w:fldChar w:fldCharType="begin"/>
      </w:r>
      <w:r>
        <w:instrText xml:space="preserve"> PAGEREF _Toc28520 \h </w:instrText>
      </w:r>
      <w:r>
        <w:fldChar w:fldCharType="separate"/>
      </w:r>
      <w:r>
        <w:t>6</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"_Toc11176" </w:instrText>
      </w:r>
      <w:r>
        <w:fldChar w:fldCharType="separate"/>
      </w:r>
      <w:r>
        <w:rPr>
          <w:rFonts w:hint="eastAsia"/>
        </w:rPr>
        <w:t>1.</w:t>
      </w:r>
      <w:r>
        <w:t xml:space="preserve"> 项目概况</w:t>
      </w:r>
      <w:r>
        <w:tab/>
      </w:r>
      <w:r>
        <w:fldChar w:fldCharType="begin"/>
      </w:r>
      <w:r>
        <w:instrText xml:space="preserve"> PAGEREF _Toc11176 \h </w:instrText>
      </w:r>
      <w:r>
        <w:fldChar w:fldCharType="separate"/>
      </w:r>
      <w:r>
        <w:t>6</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"_Toc2431" </w:instrText>
      </w:r>
      <w:r>
        <w:fldChar w:fldCharType="separate"/>
      </w:r>
      <w:r>
        <w:rPr>
          <w:rFonts w:hint="eastAsia" w:ascii="宋体" w:hAnsi="宋体" w:cs="宋体"/>
        </w:rPr>
        <w:t>2. 投标人资格要求</w:t>
      </w:r>
      <w:r>
        <w:tab/>
      </w:r>
      <w:r>
        <w:fldChar w:fldCharType="begin"/>
      </w:r>
      <w:r>
        <w:instrText xml:space="preserve"> PAGEREF _Toc2431 \h </w:instrText>
      </w:r>
      <w:r>
        <w:fldChar w:fldCharType="separate"/>
      </w:r>
      <w:r>
        <w:t>7</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"_Toc9183" </w:instrText>
      </w:r>
      <w:r>
        <w:fldChar w:fldCharType="separate"/>
      </w:r>
      <w:r>
        <w:rPr>
          <w:rFonts w:hint="eastAsia" w:ascii="宋体" w:hAnsi="宋体" w:cs="宋体"/>
        </w:rPr>
        <w:t>3．报名方式</w:t>
      </w:r>
      <w:r>
        <w:tab/>
      </w:r>
      <w:r>
        <w:fldChar w:fldCharType="begin"/>
      </w:r>
      <w:r>
        <w:instrText xml:space="preserve"> PAGEREF _Toc9183 \h </w:instrText>
      </w:r>
      <w:r>
        <w:fldChar w:fldCharType="separate"/>
      </w:r>
      <w:r>
        <w:t>7</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"_Toc27933" </w:instrText>
      </w:r>
      <w:r>
        <w:fldChar w:fldCharType="separate"/>
      </w:r>
      <w:r>
        <w:rPr>
          <w:rFonts w:hint="eastAsia" w:ascii="宋体" w:hAnsi="宋体" w:cs="宋体"/>
        </w:rPr>
        <w:t>4.投标保证金缴纳</w:t>
      </w:r>
      <w:r>
        <w:tab/>
      </w:r>
      <w:r>
        <w:fldChar w:fldCharType="begin"/>
      </w:r>
      <w:r>
        <w:instrText xml:space="preserve"> PAGEREF _Toc27933 \h </w:instrText>
      </w:r>
      <w:r>
        <w:fldChar w:fldCharType="separate"/>
      </w:r>
      <w:r>
        <w:t>8</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"_Toc20948" </w:instrText>
      </w:r>
      <w:r>
        <w:fldChar w:fldCharType="separate"/>
      </w:r>
      <w:r>
        <w:rPr>
          <w:rFonts w:hint="eastAsia" w:ascii="宋体" w:hAnsi="宋体" w:cs="宋体"/>
        </w:rPr>
        <w:t>5.资格审查方式</w:t>
      </w:r>
      <w:r>
        <w:tab/>
      </w:r>
      <w:r>
        <w:fldChar w:fldCharType="begin"/>
      </w:r>
      <w:r>
        <w:instrText xml:space="preserve"> PAGEREF _Toc20948 \h </w:instrText>
      </w:r>
      <w:r>
        <w:fldChar w:fldCharType="separate"/>
      </w:r>
      <w:r>
        <w:t>8</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"_Toc27974" </w:instrText>
      </w:r>
      <w:r>
        <w:fldChar w:fldCharType="separate"/>
      </w:r>
      <w:r>
        <w:rPr>
          <w:rFonts w:hint="eastAsia" w:ascii="宋体" w:hAnsi="宋体" w:cs="宋体"/>
        </w:rPr>
        <w:t>6.招标文件的获取</w:t>
      </w:r>
      <w:r>
        <w:tab/>
      </w:r>
      <w:r>
        <w:fldChar w:fldCharType="begin"/>
      </w:r>
      <w:r>
        <w:instrText xml:space="preserve"> PAGEREF _Toc27974 \h </w:instrText>
      </w:r>
      <w:r>
        <w:fldChar w:fldCharType="separate"/>
      </w:r>
      <w:r>
        <w:t>8</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"_Toc11434" </w:instrText>
      </w:r>
      <w:r>
        <w:fldChar w:fldCharType="separate"/>
      </w:r>
      <w:r>
        <w:rPr>
          <w:rFonts w:hint="eastAsia"/>
        </w:rPr>
        <w:t>7.发布招标公告时间：从2026年</w:t>
      </w:r>
      <w:r>
        <w:rPr>
          <w:rFonts w:hint="eastAsia"/>
          <w:lang w:eastAsia="zh-CN"/>
        </w:rPr>
        <w:t>9月22日</w:t>
      </w:r>
      <w:r>
        <w:rPr>
          <w:rFonts w:hint="eastAsia"/>
        </w:rPr>
        <w:t>至2026年</w:t>
      </w:r>
      <w:r>
        <w:rPr>
          <w:rFonts w:hint="eastAsia"/>
          <w:lang w:val="en-US" w:eastAsia="zh-CN"/>
        </w:rPr>
        <w:t>10月12日</w:t>
      </w:r>
      <w:r>
        <w:rPr>
          <w:rFonts w:hint="eastAsia"/>
        </w:rPr>
        <w:t>14时。</w:t>
      </w:r>
      <w:r>
        <w:tab/>
      </w:r>
      <w:r>
        <w:fldChar w:fldCharType="begin"/>
      </w:r>
      <w:r>
        <w:instrText xml:space="preserve"> PAGEREF _Toc11434 \h </w:instrText>
      </w:r>
      <w:r>
        <w:fldChar w:fldCharType="separate"/>
      </w:r>
      <w:r>
        <w:t>8</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"_Toc19749" </w:instrText>
      </w:r>
      <w:r>
        <w:fldChar w:fldCharType="separate"/>
      </w:r>
      <w:r>
        <w:rPr>
          <w:rFonts w:hint="eastAsia"/>
        </w:rPr>
        <w:t>8.投标文件递交截止时间</w:t>
      </w:r>
      <w:r>
        <w:tab/>
      </w:r>
      <w:r>
        <w:fldChar w:fldCharType="begin"/>
      </w:r>
      <w:r>
        <w:instrText xml:space="preserve"> PAGEREF _Toc19749 \h </w:instrText>
      </w:r>
      <w:r>
        <w:fldChar w:fldCharType="separate"/>
      </w:r>
      <w:r>
        <w:t>8</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"_Toc13230" </w:instrText>
      </w:r>
      <w:r>
        <w:fldChar w:fldCharType="separate"/>
      </w:r>
      <w:r>
        <w:rPr>
          <w:rFonts w:hint="eastAsia"/>
        </w:rPr>
        <w:t>9.开标时间与地点</w:t>
      </w:r>
      <w:r>
        <w:tab/>
      </w:r>
      <w:r>
        <w:fldChar w:fldCharType="begin"/>
      </w:r>
      <w:r>
        <w:instrText xml:space="preserve"> PAGEREF _Toc13230 \h </w:instrText>
      </w:r>
      <w:r>
        <w:fldChar w:fldCharType="separate"/>
      </w:r>
      <w:r>
        <w:t>9</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"_Toc15453" </w:instrText>
      </w:r>
      <w:r>
        <w:fldChar w:fldCharType="separate"/>
      </w:r>
      <w:r>
        <w:rPr>
          <w:rFonts w:hint="eastAsia"/>
        </w:rPr>
        <w:t>10.发布公告的媒介</w:t>
      </w:r>
      <w:r>
        <w:tab/>
      </w:r>
      <w:r>
        <w:fldChar w:fldCharType="begin"/>
      </w:r>
      <w:r>
        <w:instrText xml:space="preserve"> PAGEREF _Toc15453 \h </w:instrText>
      </w:r>
      <w:r>
        <w:fldChar w:fldCharType="separate"/>
      </w:r>
      <w:r>
        <w:t>9</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"_Toc28897" </w:instrText>
      </w:r>
      <w:r>
        <w:fldChar w:fldCharType="separate"/>
      </w:r>
      <w:r>
        <w:rPr>
          <w:rFonts w:hint="eastAsia"/>
        </w:rPr>
        <w:t>11</w:t>
      </w:r>
      <w:r>
        <w:t>. 联系方式</w:t>
      </w:r>
      <w:r>
        <w:tab/>
      </w:r>
      <w:r>
        <w:fldChar w:fldCharType="begin"/>
      </w:r>
      <w:r>
        <w:instrText xml:space="preserve"> PAGEREF _Toc28897 \h </w:instrText>
      </w:r>
      <w:r>
        <w:fldChar w:fldCharType="separate"/>
      </w:r>
      <w:r>
        <w:t>9</w:t>
      </w:r>
      <w:r>
        <w:fldChar w:fldCharType="end"/>
      </w:r>
      <w:r>
        <w:fldChar w:fldCharType="end"/>
      </w:r>
    </w:p>
    <w:p>
      <w:pPr>
        <w:pStyle w:val="20"/>
        <w:tabs>
          <w:tab w:val="right" w:leader="dot" w:pos="8504"/>
        </w:tabs>
      </w:pPr>
      <w:r>
        <w:fldChar w:fldCharType="begin"/>
      </w:r>
      <w:r>
        <w:instrText xml:space="preserve"> HYPERLINK \l "_Toc7504" </w:instrText>
      </w:r>
      <w:r>
        <w:fldChar w:fldCharType="separate"/>
      </w:r>
      <w:r>
        <w:rPr>
          <w:rFonts w:hint="eastAsia"/>
        </w:rPr>
        <w:t>附件：投标申请表</w:t>
      </w:r>
      <w:r>
        <w:tab/>
      </w:r>
      <w:r>
        <w:fldChar w:fldCharType="begin"/>
      </w:r>
      <w:r>
        <w:instrText xml:space="preserve"> PAGEREF _Toc7504 \h </w:instrText>
      </w:r>
      <w:r>
        <w:fldChar w:fldCharType="separate"/>
      </w:r>
      <w:r>
        <w:t>11</w:t>
      </w:r>
      <w:r>
        <w:fldChar w:fldCharType="end"/>
      </w:r>
      <w:r>
        <w:fldChar w:fldCharType="end"/>
      </w:r>
    </w:p>
    <w:p>
      <w:pPr>
        <w:pStyle w:val="20"/>
        <w:tabs>
          <w:tab w:val="right" w:leader="dot" w:pos="8504"/>
        </w:tabs>
      </w:pPr>
      <w:r>
        <w:fldChar w:fldCharType="begin"/>
      </w:r>
      <w:r>
        <w:instrText xml:space="preserve"> HYPERLINK \l "_Toc22785" </w:instrText>
      </w:r>
      <w:r>
        <w:fldChar w:fldCharType="separate"/>
      </w:r>
      <w:r>
        <w:rPr>
          <w:rFonts w:hint="eastAsia"/>
        </w:rPr>
        <w:t>投标申请表</w:t>
      </w:r>
      <w:r>
        <w:tab/>
      </w:r>
      <w:r>
        <w:fldChar w:fldCharType="begin"/>
      </w:r>
      <w:r>
        <w:instrText xml:space="preserve"> PAGEREF _Toc22785 \h </w:instrText>
      </w:r>
      <w:r>
        <w:fldChar w:fldCharType="separate"/>
      </w:r>
      <w:r>
        <w:t>11</w:t>
      </w:r>
      <w:r>
        <w:fldChar w:fldCharType="end"/>
      </w:r>
      <w:r>
        <w:fldChar w:fldCharType="end"/>
      </w:r>
    </w:p>
    <w:p>
      <w:pPr>
        <w:pStyle w:val="28"/>
        <w:tabs>
          <w:tab w:val="right" w:leader="dot" w:pos="8504"/>
          <w:tab w:val="clear" w:pos="567"/>
          <w:tab w:val="clear" w:pos="709"/>
          <w:tab w:val="clear" w:pos="8505"/>
        </w:tabs>
        <w:rPr>
          <w:rFonts w:hint="eastAsia"/>
        </w:rPr>
      </w:pPr>
      <w:r>
        <w:fldChar w:fldCharType="begin"/>
      </w:r>
      <w:r>
        <w:instrText xml:space="preserve"> HYPERLINK \l "_Toc17952" </w:instrText>
      </w:r>
      <w:r>
        <w:fldChar w:fldCharType="separate"/>
      </w:r>
      <w:r>
        <w:rPr>
          <w:rFonts w:hint="eastAsia"/>
        </w:rPr>
        <w:t>第二章 投标人须知</w:t>
      </w:r>
      <w:r>
        <w:tab/>
      </w:r>
      <w:r>
        <w:fldChar w:fldCharType="begin"/>
      </w:r>
      <w:r>
        <w:instrText xml:space="preserve"> PAGEREF _Toc17952 \h </w:instrText>
      </w:r>
      <w:r>
        <w:fldChar w:fldCharType="separate"/>
      </w:r>
      <w:r>
        <w:t>12</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"_Toc13467" </w:instrText>
      </w:r>
      <w:r>
        <w:fldChar w:fldCharType="separate"/>
      </w:r>
      <w:r>
        <w:rPr>
          <w:rFonts w:hint="eastAsia" w:ascii="宋体" w:hAnsi="宋体"/>
        </w:rPr>
        <w:t>投标人须知前附表</w:t>
      </w:r>
      <w:r>
        <w:tab/>
      </w:r>
      <w:r>
        <w:fldChar w:fldCharType="begin"/>
      </w:r>
      <w:r>
        <w:instrText xml:space="preserve"> PAGEREF _Toc13467 \h </w:instrText>
      </w:r>
      <w:r>
        <w:fldChar w:fldCharType="separate"/>
      </w:r>
      <w:r>
        <w:t>12</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"_Toc17492" </w:instrText>
      </w:r>
      <w:r>
        <w:fldChar w:fldCharType="separate"/>
      </w:r>
      <w:r>
        <w:rPr>
          <w:rFonts w:hint="eastAsia"/>
        </w:rPr>
        <w:t>1. 总则</w:t>
      </w:r>
      <w:r>
        <w:tab/>
      </w:r>
      <w:r>
        <w:fldChar w:fldCharType="begin"/>
      </w:r>
      <w:r>
        <w:instrText xml:space="preserve"> PAGEREF _Toc17492 \h </w:instrText>
      </w:r>
      <w:r>
        <w:fldChar w:fldCharType="separate"/>
      </w:r>
      <w:r>
        <w:t>14</w:t>
      </w:r>
      <w:r>
        <w:fldChar w:fldCharType="end"/>
      </w:r>
      <w:r>
        <w:fldChar w:fldCharType="end"/>
      </w:r>
    </w:p>
    <w:p>
      <w:pPr>
        <w:pStyle w:val="20"/>
        <w:tabs>
          <w:tab w:val="right" w:leader="dot" w:pos="8504"/>
        </w:tabs>
      </w:pPr>
      <w:r>
        <w:fldChar w:fldCharType="begin"/>
      </w:r>
      <w:r>
        <w:instrText xml:space="preserve"> HYPERLINK \l "_Toc27292" </w:instrText>
      </w:r>
      <w:r>
        <w:fldChar w:fldCharType="separate"/>
      </w:r>
      <w:r>
        <w:rPr>
          <w:rFonts w:hint="eastAsia"/>
        </w:rPr>
        <w:t>1.1 项目概况</w:t>
      </w:r>
      <w:r>
        <w:tab/>
      </w:r>
      <w:r>
        <w:fldChar w:fldCharType="begin"/>
      </w:r>
      <w:r>
        <w:instrText xml:space="preserve"> PAGEREF _Toc27292 \h </w:instrText>
      </w:r>
      <w:r>
        <w:fldChar w:fldCharType="separate"/>
      </w:r>
      <w:r>
        <w:t>14</w:t>
      </w:r>
      <w:r>
        <w:fldChar w:fldCharType="end"/>
      </w:r>
      <w:r>
        <w:fldChar w:fldCharType="end"/>
      </w:r>
    </w:p>
    <w:p>
      <w:pPr>
        <w:pStyle w:val="20"/>
        <w:tabs>
          <w:tab w:val="right" w:leader="dot" w:pos="8504"/>
        </w:tabs>
      </w:pPr>
      <w:r>
        <w:fldChar w:fldCharType="begin"/>
      </w:r>
      <w:r>
        <w:instrText xml:space="preserve"> HYPERLINK \l "_Toc25025" </w:instrText>
      </w:r>
      <w:r>
        <w:fldChar w:fldCharType="separate"/>
      </w:r>
      <w:r>
        <w:rPr>
          <w:rFonts w:hint="eastAsia"/>
        </w:rPr>
        <w:t>1.2 资金来源和落实情况</w:t>
      </w:r>
      <w:r>
        <w:tab/>
      </w:r>
      <w:r>
        <w:fldChar w:fldCharType="begin"/>
      </w:r>
      <w:r>
        <w:instrText xml:space="preserve"> PAGEREF _Toc25025 \h </w:instrText>
      </w:r>
      <w:r>
        <w:fldChar w:fldCharType="separate"/>
      </w:r>
      <w:r>
        <w:t>14</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"_Toc13341" </w:instrText>
      </w:r>
      <w:r>
        <w:fldChar w:fldCharType="separate"/>
      </w:r>
      <w:r>
        <w:rPr>
          <w:rFonts w:hint="eastAsia" w:ascii="宋体" w:hAnsi="宋体"/>
        </w:rPr>
        <w:t>1.3 本项目范围、质量要求</w:t>
      </w:r>
      <w:r>
        <w:tab/>
      </w:r>
      <w:r>
        <w:fldChar w:fldCharType="begin"/>
      </w:r>
      <w:r>
        <w:instrText xml:space="preserve"> PAGEREF _Toc13341 \h </w:instrText>
      </w:r>
      <w:r>
        <w:fldChar w:fldCharType="separate"/>
      </w:r>
      <w:r>
        <w:t>14</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"_Toc32258" </w:instrText>
      </w:r>
      <w:r>
        <w:fldChar w:fldCharType="separate"/>
      </w:r>
      <w:r>
        <w:rPr>
          <w:rFonts w:hint="eastAsia" w:ascii="宋体" w:hAnsi="宋体"/>
        </w:rPr>
        <w:t>1.4 投标人资格要求</w:t>
      </w:r>
      <w:r>
        <w:tab/>
      </w:r>
      <w:r>
        <w:fldChar w:fldCharType="begin"/>
      </w:r>
      <w:r>
        <w:instrText xml:space="preserve"> PAGEREF _Toc32258 \h </w:instrText>
      </w:r>
      <w:r>
        <w:fldChar w:fldCharType="separate"/>
      </w:r>
      <w:r>
        <w:t>14</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"_Toc27098" </w:instrText>
      </w:r>
      <w:r>
        <w:fldChar w:fldCharType="separate"/>
      </w:r>
      <w:r>
        <w:rPr>
          <w:rFonts w:hint="eastAsia" w:ascii="宋体" w:hAnsi="宋体"/>
        </w:rPr>
        <w:t>1.5 费用承担</w:t>
      </w:r>
      <w:r>
        <w:tab/>
      </w:r>
      <w:r>
        <w:fldChar w:fldCharType="begin"/>
      </w:r>
      <w:r>
        <w:instrText xml:space="preserve"> PAGEREF _Toc27098 \h </w:instrText>
      </w:r>
      <w:r>
        <w:fldChar w:fldCharType="separate"/>
      </w:r>
      <w:r>
        <w:t>15</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"_Toc10833" </w:instrText>
      </w:r>
      <w:r>
        <w:fldChar w:fldCharType="separate"/>
      </w:r>
      <w:r>
        <w:rPr>
          <w:rFonts w:hint="eastAsia" w:ascii="宋体" w:hAnsi="宋体"/>
        </w:rPr>
        <w:t>1.6 保密</w:t>
      </w:r>
      <w:r>
        <w:tab/>
      </w:r>
      <w:r>
        <w:fldChar w:fldCharType="begin"/>
      </w:r>
      <w:r>
        <w:instrText xml:space="preserve"> PAGEREF _Toc10833 \h </w:instrText>
      </w:r>
      <w:r>
        <w:fldChar w:fldCharType="separate"/>
      </w:r>
      <w:r>
        <w:t>15</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"_Toc10234" </w:instrText>
      </w:r>
      <w:r>
        <w:fldChar w:fldCharType="separate"/>
      </w:r>
      <w:r>
        <w:rPr>
          <w:rFonts w:hint="eastAsia" w:ascii="宋体" w:hAnsi="宋体"/>
        </w:rPr>
        <w:t>1.7 语言文字</w:t>
      </w:r>
      <w:r>
        <w:tab/>
      </w:r>
      <w:r>
        <w:fldChar w:fldCharType="begin"/>
      </w:r>
      <w:r>
        <w:instrText xml:space="preserve"> PAGEREF _Toc10234 \h </w:instrText>
      </w:r>
      <w:r>
        <w:fldChar w:fldCharType="separate"/>
      </w:r>
      <w:r>
        <w:t>15</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"_Toc12401" </w:instrText>
      </w:r>
      <w:r>
        <w:fldChar w:fldCharType="separate"/>
      </w:r>
      <w:r>
        <w:rPr>
          <w:rFonts w:hint="eastAsia" w:ascii="宋体" w:hAnsi="宋体"/>
        </w:rPr>
        <w:t>1.8 计量单位</w:t>
      </w:r>
      <w:r>
        <w:tab/>
      </w:r>
      <w:r>
        <w:fldChar w:fldCharType="begin"/>
      </w:r>
      <w:r>
        <w:instrText xml:space="preserve"> PAGEREF _Toc12401 \h </w:instrText>
      </w:r>
      <w:r>
        <w:fldChar w:fldCharType="separate"/>
      </w:r>
      <w:r>
        <w:t>15</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"_Toc1129" </w:instrText>
      </w:r>
      <w:r>
        <w:fldChar w:fldCharType="separate"/>
      </w:r>
      <w:r>
        <w:rPr>
          <w:rFonts w:hint="eastAsia" w:ascii="宋体" w:hAnsi="宋体"/>
        </w:rPr>
        <w:t>2. 招标文件</w:t>
      </w:r>
      <w:r>
        <w:tab/>
      </w:r>
      <w:r>
        <w:fldChar w:fldCharType="begin"/>
      </w:r>
      <w:r>
        <w:instrText xml:space="preserve"> PAGEREF _Toc1129 \h </w:instrText>
      </w:r>
      <w:r>
        <w:fldChar w:fldCharType="separate"/>
      </w:r>
      <w:r>
        <w:t>15</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"_Toc11096" </w:instrText>
      </w:r>
      <w:r>
        <w:fldChar w:fldCharType="separate"/>
      </w:r>
      <w:r>
        <w:rPr>
          <w:rFonts w:hint="eastAsia" w:ascii="宋体" w:hAnsi="宋体"/>
        </w:rPr>
        <w:t>2.1 招标文件的组成</w:t>
      </w:r>
      <w:r>
        <w:tab/>
      </w:r>
      <w:r>
        <w:fldChar w:fldCharType="begin"/>
      </w:r>
      <w:r>
        <w:instrText xml:space="preserve"> PAGEREF _Toc11096 \h </w:instrText>
      </w:r>
      <w:r>
        <w:fldChar w:fldCharType="separate"/>
      </w:r>
      <w:r>
        <w:t>15</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"_Toc19769" </w:instrText>
      </w:r>
      <w:r>
        <w:fldChar w:fldCharType="separate"/>
      </w:r>
      <w:r>
        <w:rPr>
          <w:rFonts w:hint="eastAsia" w:ascii="宋体" w:hAnsi="宋体"/>
        </w:rPr>
        <w:t>2.2 招标文件的澄清</w:t>
      </w:r>
      <w:r>
        <w:tab/>
      </w:r>
      <w:r>
        <w:fldChar w:fldCharType="begin"/>
      </w:r>
      <w:r>
        <w:instrText xml:space="preserve"> PAGEREF _Toc19769 \h </w:instrText>
      </w:r>
      <w:r>
        <w:fldChar w:fldCharType="separate"/>
      </w:r>
      <w:r>
        <w:t>15</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"_Toc6451" </w:instrText>
      </w:r>
      <w:r>
        <w:fldChar w:fldCharType="separate"/>
      </w:r>
      <w:r>
        <w:rPr>
          <w:rFonts w:hint="eastAsia" w:ascii="宋体" w:hAnsi="宋体"/>
        </w:rPr>
        <w:t>2.3 招标文件的修改</w:t>
      </w:r>
      <w:r>
        <w:tab/>
      </w:r>
      <w:r>
        <w:fldChar w:fldCharType="begin"/>
      </w:r>
      <w:r>
        <w:instrText xml:space="preserve"> PAGEREF _Toc6451 \h </w:instrText>
      </w:r>
      <w:r>
        <w:fldChar w:fldCharType="separate"/>
      </w:r>
      <w:r>
        <w:t>16</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"_Toc23811" </w:instrText>
      </w:r>
      <w:r>
        <w:fldChar w:fldCharType="separate"/>
      </w:r>
      <w:r>
        <w:rPr>
          <w:rFonts w:hint="eastAsia" w:ascii="宋体" w:hAnsi="宋体"/>
        </w:rPr>
        <w:t>2.4 招标文件的异议</w:t>
      </w:r>
      <w:r>
        <w:tab/>
      </w:r>
      <w:r>
        <w:fldChar w:fldCharType="begin"/>
      </w:r>
      <w:r>
        <w:instrText xml:space="preserve"> PAGEREF _Toc23811 \h </w:instrText>
      </w:r>
      <w:r>
        <w:fldChar w:fldCharType="separate"/>
      </w:r>
      <w:r>
        <w:t>16</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"_Toc14166" </w:instrText>
      </w:r>
      <w:r>
        <w:fldChar w:fldCharType="separate"/>
      </w:r>
      <w:r>
        <w:rPr>
          <w:rFonts w:hint="eastAsia" w:ascii="宋体" w:hAnsi="宋体"/>
        </w:rPr>
        <w:t>3. 投标文件</w:t>
      </w:r>
      <w:r>
        <w:tab/>
      </w:r>
      <w:r>
        <w:fldChar w:fldCharType="begin"/>
      </w:r>
      <w:r>
        <w:instrText xml:space="preserve"> PAGEREF _Toc14166 \h </w:instrText>
      </w:r>
      <w:r>
        <w:fldChar w:fldCharType="separate"/>
      </w:r>
      <w:r>
        <w:t>16</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"_Toc15494" </w:instrText>
      </w:r>
      <w:r>
        <w:fldChar w:fldCharType="separate"/>
      </w:r>
      <w:r>
        <w:rPr>
          <w:rFonts w:hint="eastAsia" w:ascii="宋体" w:hAnsi="宋体"/>
        </w:rPr>
        <w:t>3.1 投标文件的组成</w:t>
      </w:r>
      <w:r>
        <w:tab/>
      </w:r>
      <w:r>
        <w:fldChar w:fldCharType="begin"/>
      </w:r>
      <w:r>
        <w:instrText xml:space="preserve"> PAGEREF _Toc15494 \h </w:instrText>
      </w:r>
      <w:r>
        <w:fldChar w:fldCharType="separate"/>
      </w:r>
      <w:r>
        <w:t>16</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"_Toc8237" </w:instrText>
      </w:r>
      <w:r>
        <w:fldChar w:fldCharType="separate"/>
      </w:r>
      <w:r>
        <w:rPr>
          <w:rFonts w:hint="eastAsia" w:ascii="宋体" w:hAnsi="宋体"/>
        </w:rPr>
        <w:t>3.2 投标报价</w:t>
      </w:r>
      <w:r>
        <w:tab/>
      </w:r>
      <w:r>
        <w:fldChar w:fldCharType="begin"/>
      </w:r>
      <w:r>
        <w:instrText xml:space="preserve"> PAGEREF _Toc8237 \h </w:instrText>
      </w:r>
      <w:r>
        <w:fldChar w:fldCharType="separate"/>
      </w:r>
      <w:r>
        <w:t>16</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"_Toc19585" </w:instrText>
      </w:r>
      <w:r>
        <w:fldChar w:fldCharType="separate"/>
      </w:r>
      <w:r>
        <w:rPr>
          <w:rFonts w:hint="eastAsia" w:ascii="宋体" w:hAnsi="宋体"/>
        </w:rPr>
        <w:t>3.3 投标文件有效期</w:t>
      </w:r>
      <w:r>
        <w:tab/>
      </w:r>
      <w:r>
        <w:fldChar w:fldCharType="begin"/>
      </w:r>
      <w:r>
        <w:instrText xml:space="preserve"> PAGEREF _Toc19585 \h </w:instrText>
      </w:r>
      <w:r>
        <w:fldChar w:fldCharType="separate"/>
      </w:r>
      <w:r>
        <w:t>17</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"_Toc28377" </w:instrText>
      </w:r>
      <w:r>
        <w:fldChar w:fldCharType="separate"/>
      </w:r>
      <w:r>
        <w:rPr>
          <w:rFonts w:hint="eastAsia" w:ascii="宋体" w:hAnsi="宋体"/>
        </w:rPr>
        <w:t>3.4投标文件的编制</w:t>
      </w:r>
      <w:r>
        <w:tab/>
      </w:r>
      <w:r>
        <w:fldChar w:fldCharType="begin"/>
      </w:r>
      <w:r>
        <w:instrText xml:space="preserve"> PAGEREF _Toc28377 \h </w:instrText>
      </w:r>
      <w:r>
        <w:fldChar w:fldCharType="separate"/>
      </w:r>
      <w:r>
        <w:t>17</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"_Toc19014" </w:instrText>
      </w:r>
      <w:r>
        <w:fldChar w:fldCharType="separate"/>
      </w:r>
      <w:r>
        <w:rPr>
          <w:rFonts w:hint="eastAsia" w:ascii="宋体" w:hAnsi="宋体"/>
        </w:rPr>
        <w:t>4. 投标</w:t>
      </w:r>
      <w:r>
        <w:tab/>
      </w:r>
      <w:r>
        <w:fldChar w:fldCharType="begin"/>
      </w:r>
      <w:r>
        <w:instrText xml:space="preserve"> PAGEREF _Toc19014 \h </w:instrText>
      </w:r>
      <w:r>
        <w:fldChar w:fldCharType="separate"/>
      </w:r>
      <w:r>
        <w:t>17</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"_Toc1870" </w:instrText>
      </w:r>
      <w:r>
        <w:fldChar w:fldCharType="separate"/>
      </w:r>
      <w:r>
        <w:rPr>
          <w:rFonts w:hint="eastAsia" w:ascii="宋体" w:hAnsi="宋体"/>
        </w:rPr>
        <w:t>4.1 投标文件的密封和标记</w:t>
      </w:r>
      <w:r>
        <w:tab/>
      </w:r>
      <w:r>
        <w:fldChar w:fldCharType="begin"/>
      </w:r>
      <w:r>
        <w:instrText xml:space="preserve"> PAGEREF _Toc1870 \h </w:instrText>
      </w:r>
      <w:r>
        <w:fldChar w:fldCharType="separate"/>
      </w:r>
      <w:r>
        <w:t>17</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"_Toc24123" </w:instrText>
      </w:r>
      <w:r>
        <w:fldChar w:fldCharType="separate"/>
      </w:r>
      <w:r>
        <w:rPr>
          <w:rFonts w:hint="eastAsia" w:ascii="宋体" w:hAnsi="宋体"/>
        </w:rPr>
        <w:t>4.2 投标文件的递交</w:t>
      </w:r>
      <w:r>
        <w:tab/>
      </w:r>
      <w:r>
        <w:fldChar w:fldCharType="begin"/>
      </w:r>
      <w:r>
        <w:instrText xml:space="preserve"> PAGEREF _Toc24123 \h </w:instrText>
      </w:r>
      <w:r>
        <w:fldChar w:fldCharType="separate"/>
      </w:r>
      <w:r>
        <w:t>17</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"_Toc31638" </w:instrText>
      </w:r>
      <w:r>
        <w:fldChar w:fldCharType="separate"/>
      </w:r>
      <w:r>
        <w:rPr>
          <w:rFonts w:hint="eastAsia" w:ascii="宋体" w:hAnsi="宋体"/>
        </w:rPr>
        <w:t>4.3 投标文件的修改与撤回</w:t>
      </w:r>
      <w:r>
        <w:tab/>
      </w:r>
      <w:r>
        <w:fldChar w:fldCharType="begin"/>
      </w:r>
      <w:r>
        <w:instrText xml:space="preserve"> PAGEREF _Toc31638 \h </w:instrText>
      </w:r>
      <w:r>
        <w:fldChar w:fldCharType="separate"/>
      </w:r>
      <w:r>
        <w:t>18</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"_Toc6293" </w:instrText>
      </w:r>
      <w:r>
        <w:fldChar w:fldCharType="separate"/>
      </w:r>
      <w:r>
        <w:rPr>
          <w:rFonts w:hint="eastAsia"/>
        </w:rPr>
        <w:t>4.4 投标保证金</w:t>
      </w:r>
      <w:r>
        <w:tab/>
      </w:r>
      <w:r>
        <w:fldChar w:fldCharType="begin"/>
      </w:r>
      <w:r>
        <w:instrText xml:space="preserve"> PAGEREF _Toc6293 \h </w:instrText>
      </w:r>
      <w:r>
        <w:fldChar w:fldCharType="separate"/>
      </w:r>
      <w:r>
        <w:t>18</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"_Toc4120" </w:instrText>
      </w:r>
      <w:r>
        <w:fldChar w:fldCharType="separate"/>
      </w:r>
      <w:r>
        <w:rPr>
          <w:rFonts w:hint="eastAsia" w:ascii="宋体" w:hAnsi="宋体"/>
        </w:rPr>
        <w:t>5. 招标</w:t>
      </w:r>
      <w:r>
        <w:tab/>
      </w:r>
      <w:r>
        <w:fldChar w:fldCharType="begin"/>
      </w:r>
      <w:r>
        <w:instrText xml:space="preserve"> PAGEREF _Toc4120 \h </w:instrText>
      </w:r>
      <w:r>
        <w:fldChar w:fldCharType="separate"/>
      </w:r>
      <w:r>
        <w:t>19</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"_Toc29948" </w:instrText>
      </w:r>
      <w:r>
        <w:fldChar w:fldCharType="separate"/>
      </w:r>
      <w:r>
        <w:rPr>
          <w:rFonts w:hint="eastAsia" w:ascii="宋体" w:hAnsi="宋体"/>
        </w:rPr>
        <w:t>5.1 开标时间和地点</w:t>
      </w:r>
      <w:r>
        <w:tab/>
      </w:r>
      <w:r>
        <w:fldChar w:fldCharType="begin"/>
      </w:r>
      <w:r>
        <w:instrText xml:space="preserve"> PAGEREF _Toc29948 \h </w:instrText>
      </w:r>
      <w:r>
        <w:fldChar w:fldCharType="separate"/>
      </w:r>
      <w:r>
        <w:t>19</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"_Toc32569" </w:instrText>
      </w:r>
      <w:r>
        <w:fldChar w:fldCharType="separate"/>
      </w:r>
      <w:r>
        <w:rPr>
          <w:rFonts w:hint="eastAsia" w:ascii="宋体" w:hAnsi="宋体"/>
        </w:rPr>
        <w:t>5.2 开标程序</w:t>
      </w:r>
      <w:r>
        <w:tab/>
      </w:r>
      <w:r>
        <w:fldChar w:fldCharType="begin"/>
      </w:r>
      <w:r>
        <w:instrText xml:space="preserve"> PAGEREF _Toc32569 \h </w:instrText>
      </w:r>
      <w:r>
        <w:fldChar w:fldCharType="separate"/>
      </w:r>
      <w:r>
        <w:t>19</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"_Toc9272" </w:instrText>
      </w:r>
      <w:r>
        <w:fldChar w:fldCharType="separate"/>
      </w:r>
      <w:r>
        <w:rPr>
          <w:rFonts w:hint="eastAsia" w:ascii="宋体" w:hAnsi="宋体"/>
        </w:rPr>
        <w:t>6. 评审</w:t>
      </w:r>
      <w:r>
        <w:tab/>
      </w:r>
      <w:r>
        <w:fldChar w:fldCharType="begin"/>
      </w:r>
      <w:r>
        <w:instrText xml:space="preserve"> PAGEREF _Toc9272 \h </w:instrText>
      </w:r>
      <w:r>
        <w:fldChar w:fldCharType="separate"/>
      </w:r>
      <w:r>
        <w:t>19</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"_Toc24266" </w:instrText>
      </w:r>
      <w:r>
        <w:fldChar w:fldCharType="separate"/>
      </w:r>
      <w:r>
        <w:rPr>
          <w:rFonts w:hint="eastAsia" w:ascii="宋体" w:hAnsi="宋体"/>
        </w:rPr>
        <w:t>6.1 评标委员会</w:t>
      </w:r>
      <w:r>
        <w:tab/>
      </w:r>
      <w:r>
        <w:fldChar w:fldCharType="begin"/>
      </w:r>
      <w:r>
        <w:instrText xml:space="preserve"> PAGEREF _Toc24266 \h </w:instrText>
      </w:r>
      <w:r>
        <w:fldChar w:fldCharType="separate"/>
      </w:r>
      <w:r>
        <w:t>19</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"_Toc5205" </w:instrText>
      </w:r>
      <w:r>
        <w:fldChar w:fldCharType="separate"/>
      </w:r>
      <w:r>
        <w:rPr>
          <w:rFonts w:hint="eastAsia" w:ascii="宋体" w:hAnsi="宋体"/>
        </w:rPr>
        <w:t>6.2 评审原则</w:t>
      </w:r>
      <w:r>
        <w:tab/>
      </w:r>
      <w:r>
        <w:fldChar w:fldCharType="begin"/>
      </w:r>
      <w:r>
        <w:instrText xml:space="preserve"> PAGEREF _Toc5205 \h </w:instrText>
      </w:r>
      <w:r>
        <w:fldChar w:fldCharType="separate"/>
      </w:r>
      <w:r>
        <w:t>19</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"_Toc24097" </w:instrText>
      </w:r>
      <w:r>
        <w:fldChar w:fldCharType="separate"/>
      </w:r>
      <w:r>
        <w:rPr>
          <w:rFonts w:hint="eastAsia" w:ascii="宋体" w:hAnsi="宋体"/>
        </w:rPr>
        <w:t>6.3 评审</w:t>
      </w:r>
      <w:r>
        <w:tab/>
      </w:r>
      <w:r>
        <w:fldChar w:fldCharType="begin"/>
      </w:r>
      <w:r>
        <w:instrText xml:space="preserve"> PAGEREF _Toc24097 \h </w:instrText>
      </w:r>
      <w:r>
        <w:fldChar w:fldCharType="separate"/>
      </w:r>
      <w:r>
        <w:t>19</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"_Toc13028" </w:instrText>
      </w:r>
      <w:r>
        <w:fldChar w:fldCharType="separate"/>
      </w:r>
      <w:r>
        <w:rPr>
          <w:rFonts w:hint="eastAsia" w:ascii="宋体" w:hAnsi="宋体"/>
        </w:rPr>
        <w:t>7. 合同授予</w:t>
      </w:r>
      <w:r>
        <w:tab/>
      </w:r>
      <w:r>
        <w:fldChar w:fldCharType="begin"/>
      </w:r>
      <w:r>
        <w:instrText xml:space="preserve"> PAGEREF _Toc13028 \h </w:instrText>
      </w:r>
      <w:r>
        <w:fldChar w:fldCharType="separate"/>
      </w:r>
      <w:r>
        <w:t>20</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"_Toc2518" </w:instrText>
      </w:r>
      <w:r>
        <w:fldChar w:fldCharType="separate"/>
      </w:r>
      <w:r>
        <w:rPr>
          <w:rFonts w:hint="eastAsia" w:ascii="宋体" w:hAnsi="宋体"/>
        </w:rPr>
        <w:t>7.1 确定服务商方式</w:t>
      </w:r>
      <w:r>
        <w:tab/>
      </w:r>
      <w:r>
        <w:fldChar w:fldCharType="begin"/>
      </w:r>
      <w:r>
        <w:instrText xml:space="preserve"> PAGEREF _Toc2518 \h </w:instrText>
      </w:r>
      <w:r>
        <w:fldChar w:fldCharType="separate"/>
      </w:r>
      <w:r>
        <w:t>20</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"_Toc576" </w:instrText>
      </w:r>
      <w:r>
        <w:fldChar w:fldCharType="separate"/>
      </w:r>
      <w:r>
        <w:rPr>
          <w:rFonts w:hint="eastAsia" w:ascii="宋体" w:hAnsi="宋体"/>
        </w:rPr>
        <w:t>7.2 服务商库及候选人公示</w:t>
      </w:r>
      <w:r>
        <w:tab/>
      </w:r>
      <w:r>
        <w:fldChar w:fldCharType="begin"/>
      </w:r>
      <w:r>
        <w:instrText xml:space="preserve"> PAGEREF _Toc576 \h </w:instrText>
      </w:r>
      <w:r>
        <w:fldChar w:fldCharType="separate"/>
      </w:r>
      <w:r>
        <w:t>20</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"_Toc27250" </w:instrText>
      </w:r>
      <w:r>
        <w:fldChar w:fldCharType="separate"/>
      </w:r>
      <w:r>
        <w:rPr>
          <w:rFonts w:hint="eastAsia" w:ascii="宋体" w:hAnsi="宋体"/>
        </w:rPr>
        <w:t>7.3 招标结果异议</w:t>
      </w:r>
      <w:r>
        <w:tab/>
      </w:r>
      <w:r>
        <w:fldChar w:fldCharType="begin"/>
      </w:r>
      <w:r>
        <w:instrText xml:space="preserve"> PAGEREF _Toc27250 \h </w:instrText>
      </w:r>
      <w:r>
        <w:fldChar w:fldCharType="separate"/>
      </w:r>
      <w:r>
        <w:t>20</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"_Toc8704" </w:instrText>
      </w:r>
      <w:r>
        <w:fldChar w:fldCharType="separate"/>
      </w:r>
      <w:r>
        <w:rPr>
          <w:rFonts w:hint="eastAsia" w:ascii="宋体" w:hAnsi="宋体"/>
        </w:rPr>
        <w:t>7.4 服务商候选人履约能力审查</w:t>
      </w:r>
      <w:r>
        <w:tab/>
      </w:r>
      <w:r>
        <w:fldChar w:fldCharType="begin"/>
      </w:r>
      <w:r>
        <w:instrText xml:space="preserve"> PAGEREF _Toc8704 \h </w:instrText>
      </w:r>
      <w:r>
        <w:fldChar w:fldCharType="separate"/>
      </w:r>
      <w:r>
        <w:t>20</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"_Toc11267" </w:instrText>
      </w:r>
      <w:r>
        <w:fldChar w:fldCharType="separate"/>
      </w:r>
      <w:r>
        <w:rPr>
          <w:rFonts w:hint="eastAsia" w:ascii="宋体" w:hAnsi="宋体"/>
        </w:rPr>
        <w:t>7.5确认通知</w:t>
      </w:r>
      <w:r>
        <w:tab/>
      </w:r>
      <w:r>
        <w:fldChar w:fldCharType="begin"/>
      </w:r>
      <w:r>
        <w:instrText xml:space="preserve"> PAGEREF _Toc11267 \h </w:instrText>
      </w:r>
      <w:r>
        <w:fldChar w:fldCharType="separate"/>
      </w:r>
      <w:r>
        <w:t>20</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"_Toc17765" </w:instrText>
      </w:r>
      <w:r>
        <w:fldChar w:fldCharType="separate"/>
      </w:r>
      <w:r>
        <w:rPr>
          <w:rFonts w:hint="eastAsia" w:ascii="宋体" w:hAnsi="宋体"/>
        </w:rPr>
        <w:t>7.6 签订合同</w:t>
      </w:r>
      <w:r>
        <w:tab/>
      </w:r>
      <w:r>
        <w:fldChar w:fldCharType="begin"/>
      </w:r>
      <w:r>
        <w:instrText xml:space="preserve"> PAGEREF _Toc17765 \h </w:instrText>
      </w:r>
      <w:r>
        <w:fldChar w:fldCharType="separate"/>
      </w:r>
      <w:r>
        <w:t>20</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"_Toc4781" </w:instrText>
      </w:r>
      <w:r>
        <w:fldChar w:fldCharType="separate"/>
      </w:r>
      <w:r>
        <w:rPr>
          <w:rFonts w:hint="eastAsia" w:ascii="宋体" w:hAnsi="宋体"/>
        </w:rPr>
        <w:t>8.守则和监督</w:t>
      </w:r>
      <w:r>
        <w:tab/>
      </w:r>
      <w:r>
        <w:fldChar w:fldCharType="begin"/>
      </w:r>
      <w:r>
        <w:instrText xml:space="preserve"> PAGEREF _Toc4781 \h </w:instrText>
      </w:r>
      <w:r>
        <w:fldChar w:fldCharType="separate"/>
      </w:r>
      <w:r>
        <w:t>20</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"_Toc18490" </w:instrText>
      </w:r>
      <w:r>
        <w:fldChar w:fldCharType="separate"/>
      </w:r>
      <w:r>
        <w:rPr>
          <w:rFonts w:hint="eastAsia" w:ascii="宋体" w:hAnsi="宋体"/>
        </w:rPr>
        <w:t>8.1 对招标人的要求</w:t>
      </w:r>
      <w:r>
        <w:tab/>
      </w:r>
      <w:r>
        <w:fldChar w:fldCharType="begin"/>
      </w:r>
      <w:r>
        <w:instrText xml:space="preserve"> PAGEREF _Toc18490 \h </w:instrText>
      </w:r>
      <w:r>
        <w:fldChar w:fldCharType="separate"/>
      </w:r>
      <w:r>
        <w:t>20</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"_Toc21079" </w:instrText>
      </w:r>
      <w:r>
        <w:fldChar w:fldCharType="separate"/>
      </w:r>
      <w:r>
        <w:rPr>
          <w:rFonts w:hint="eastAsia" w:ascii="宋体" w:hAnsi="宋体"/>
        </w:rPr>
        <w:t>8.2 对投标人的要求</w:t>
      </w:r>
      <w:r>
        <w:tab/>
      </w:r>
      <w:r>
        <w:fldChar w:fldCharType="begin"/>
      </w:r>
      <w:r>
        <w:instrText xml:space="preserve"> PAGEREF _Toc21079 \h </w:instrText>
      </w:r>
      <w:r>
        <w:fldChar w:fldCharType="separate"/>
      </w:r>
      <w:r>
        <w:t>20</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"_Toc27363" </w:instrText>
      </w:r>
      <w:r>
        <w:fldChar w:fldCharType="separate"/>
      </w:r>
      <w:r>
        <w:rPr>
          <w:rFonts w:hint="eastAsia" w:ascii="宋体" w:hAnsi="宋体"/>
        </w:rPr>
        <w:t>8.3 对评标委员会成员的要求</w:t>
      </w:r>
      <w:r>
        <w:tab/>
      </w:r>
      <w:r>
        <w:fldChar w:fldCharType="begin"/>
      </w:r>
      <w:r>
        <w:instrText xml:space="preserve"> PAGEREF _Toc27363 \h </w:instrText>
      </w:r>
      <w:r>
        <w:fldChar w:fldCharType="separate"/>
      </w:r>
      <w:r>
        <w:t>21</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"_Toc8709" </w:instrText>
      </w:r>
      <w:r>
        <w:fldChar w:fldCharType="separate"/>
      </w:r>
      <w:r>
        <w:rPr>
          <w:rFonts w:hint="eastAsia" w:ascii="宋体" w:hAnsi="宋体"/>
        </w:rPr>
        <w:t>8.4 对与评审活动有关的工作人员的要求</w:t>
      </w:r>
      <w:r>
        <w:tab/>
      </w:r>
      <w:r>
        <w:fldChar w:fldCharType="begin"/>
      </w:r>
      <w:r>
        <w:instrText xml:space="preserve"> PAGEREF _Toc8709 \h </w:instrText>
      </w:r>
      <w:r>
        <w:fldChar w:fldCharType="separate"/>
      </w:r>
      <w:r>
        <w:t>21</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"_Toc16586" </w:instrText>
      </w:r>
      <w:r>
        <w:fldChar w:fldCharType="separate"/>
      </w:r>
      <w:r>
        <w:rPr>
          <w:rFonts w:hint="eastAsia" w:ascii="宋体" w:hAnsi="宋体"/>
        </w:rPr>
        <w:t>8.5 投诉</w:t>
      </w:r>
      <w:r>
        <w:tab/>
      </w:r>
      <w:r>
        <w:fldChar w:fldCharType="begin"/>
      </w:r>
      <w:r>
        <w:instrText xml:space="preserve"> PAGEREF _Toc16586 \h </w:instrText>
      </w:r>
      <w:r>
        <w:fldChar w:fldCharType="separate"/>
      </w:r>
      <w:r>
        <w:t>21</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"_Toc6995" </w:instrText>
      </w:r>
      <w:r>
        <w:fldChar w:fldCharType="separate"/>
      </w:r>
      <w:r>
        <w:rPr>
          <w:rFonts w:hint="eastAsia"/>
        </w:rPr>
        <w:t>附件一：开标记录表</w:t>
      </w:r>
      <w:r>
        <w:tab/>
      </w:r>
      <w:r>
        <w:fldChar w:fldCharType="begin"/>
      </w:r>
      <w:r>
        <w:instrText xml:space="preserve"> PAGEREF _Toc6995 \h </w:instrText>
      </w:r>
      <w:r>
        <w:fldChar w:fldCharType="separate"/>
      </w:r>
      <w:r>
        <w:t>22</w:t>
      </w:r>
      <w:r>
        <w:fldChar w:fldCharType="end"/>
      </w:r>
      <w:r>
        <w:fldChar w:fldCharType="end"/>
      </w:r>
    </w:p>
    <w:p>
      <w:pPr>
        <w:pStyle w:val="28"/>
        <w:tabs>
          <w:tab w:val="right" w:leader="dot" w:pos="8504"/>
          <w:tab w:val="clear" w:pos="567"/>
          <w:tab w:val="clear" w:pos="709"/>
          <w:tab w:val="clear" w:pos="8505"/>
        </w:tabs>
        <w:rPr>
          <w:rFonts w:hint="eastAsia"/>
        </w:rPr>
      </w:pPr>
      <w:r>
        <w:fldChar w:fldCharType="begin"/>
      </w:r>
      <w:r>
        <w:instrText xml:space="preserve"> HYPERLINK \l "_Toc17849" </w:instrText>
      </w:r>
      <w:r>
        <w:fldChar w:fldCharType="separate"/>
      </w:r>
      <w:r>
        <w:rPr>
          <w:rFonts w:hint="eastAsia"/>
        </w:rPr>
        <w:t>第三章 评审办法（综合评估法）</w:t>
      </w:r>
      <w:r>
        <w:tab/>
      </w:r>
      <w:r>
        <w:fldChar w:fldCharType="begin"/>
      </w:r>
      <w:r>
        <w:instrText xml:space="preserve"> PAGEREF _Toc17849 \h </w:instrText>
      </w:r>
      <w:r>
        <w:fldChar w:fldCharType="separate"/>
      </w:r>
      <w:r>
        <w:t>23</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"_Toc5218" </w:instrText>
      </w:r>
      <w:r>
        <w:fldChar w:fldCharType="separate"/>
      </w:r>
      <w:r>
        <w:rPr>
          <w:rFonts w:hint="eastAsia"/>
        </w:rPr>
        <w:t>1. 评审方法：综合评估法（适用于所有标段）</w:t>
      </w:r>
      <w:r>
        <w:tab/>
      </w:r>
      <w:r>
        <w:fldChar w:fldCharType="begin"/>
      </w:r>
      <w:r>
        <w:instrText xml:space="preserve"> PAGEREF _Toc5218 \h </w:instrText>
      </w:r>
      <w:r>
        <w:fldChar w:fldCharType="separate"/>
      </w:r>
      <w:r>
        <w:t>23</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"_Toc6064" </w:instrText>
      </w:r>
      <w:r>
        <w:fldChar w:fldCharType="separate"/>
      </w:r>
      <w:r>
        <w:t>2. 评审标准</w:t>
      </w:r>
      <w:r>
        <w:tab/>
      </w:r>
      <w:r>
        <w:fldChar w:fldCharType="begin"/>
      </w:r>
      <w:r>
        <w:instrText xml:space="preserve"> PAGEREF _Toc6064 \h </w:instrText>
      </w:r>
      <w:r>
        <w:fldChar w:fldCharType="separate"/>
      </w:r>
      <w:r>
        <w:t>23</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"_Toc20570" </w:instrText>
      </w:r>
      <w:r>
        <w:fldChar w:fldCharType="separate"/>
      </w:r>
      <w:r>
        <w:rPr>
          <w:rFonts w:hint="eastAsia"/>
        </w:rPr>
        <w:t>3. 评审程序</w:t>
      </w:r>
      <w:r>
        <w:tab/>
      </w:r>
      <w:r>
        <w:fldChar w:fldCharType="begin"/>
      </w:r>
      <w:r>
        <w:instrText xml:space="preserve"> PAGEREF _Toc20570 \h </w:instrText>
      </w:r>
      <w:r>
        <w:fldChar w:fldCharType="separate"/>
      </w:r>
      <w:r>
        <w:t>23</w:t>
      </w:r>
      <w:r>
        <w:fldChar w:fldCharType="end"/>
      </w:r>
      <w:r>
        <w:fldChar w:fldCharType="end"/>
      </w:r>
    </w:p>
    <w:p>
      <w:pPr>
        <w:pStyle w:val="28"/>
        <w:tabs>
          <w:tab w:val="right" w:leader="dot" w:pos="8504"/>
          <w:tab w:val="clear" w:pos="567"/>
          <w:tab w:val="clear" w:pos="709"/>
          <w:tab w:val="clear" w:pos="8505"/>
        </w:tabs>
        <w:rPr>
          <w:rFonts w:hint="eastAsia"/>
        </w:rPr>
      </w:pPr>
      <w:r>
        <w:fldChar w:fldCharType="begin"/>
      </w:r>
      <w:r>
        <w:instrText xml:space="preserve"> HYPERLINK \l "_Toc27983" </w:instrText>
      </w:r>
      <w:r>
        <w:fldChar w:fldCharType="separate"/>
      </w:r>
      <w:r>
        <w:rPr>
          <w:rFonts w:hint="eastAsia"/>
        </w:rPr>
        <w:t>第五章  投标报价</w:t>
      </w:r>
      <w:r>
        <w:tab/>
      </w:r>
      <w:r>
        <w:fldChar w:fldCharType="begin"/>
      </w:r>
      <w:r>
        <w:instrText xml:space="preserve"> PAGEREF _Toc27983 \h </w:instrText>
      </w:r>
      <w:r>
        <w:fldChar w:fldCharType="separate"/>
      </w:r>
      <w:r>
        <w:t>38</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"_Toc21891" </w:instrText>
      </w:r>
      <w:r>
        <w:fldChar w:fldCharType="separate"/>
      </w:r>
      <w:r>
        <w:rPr>
          <w:rFonts w:hint="eastAsia" w:ascii="宋体" w:hAnsi="宋体" w:cs="宋体"/>
        </w:rPr>
        <w:t>1. 投标报价表（标段1）</w:t>
      </w:r>
      <w:r>
        <w:tab/>
      </w:r>
      <w:r>
        <w:fldChar w:fldCharType="begin"/>
      </w:r>
      <w:r>
        <w:instrText xml:space="preserve"> PAGEREF _Toc21891 \h </w:instrText>
      </w:r>
      <w:r>
        <w:fldChar w:fldCharType="separate"/>
      </w:r>
      <w:r>
        <w:t>38</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"_Toc25566" </w:instrText>
      </w:r>
      <w:r>
        <w:fldChar w:fldCharType="separate"/>
      </w:r>
      <w:r>
        <w:rPr>
          <w:rFonts w:hint="eastAsia" w:ascii="宋体" w:hAnsi="宋体" w:cs="宋体"/>
        </w:rPr>
        <w:t>备注:报价说明</w:t>
      </w:r>
      <w:r>
        <w:tab/>
      </w:r>
      <w:r>
        <w:fldChar w:fldCharType="begin"/>
      </w:r>
      <w:r>
        <w:instrText xml:space="preserve"> PAGEREF _Toc25566 \h </w:instrText>
      </w:r>
      <w:r>
        <w:fldChar w:fldCharType="separate"/>
      </w:r>
      <w:r>
        <w:t>38</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"_Toc5978" </w:instrText>
      </w:r>
      <w:r>
        <w:fldChar w:fldCharType="separate"/>
      </w:r>
      <w:r>
        <w:rPr>
          <w:rFonts w:hint="eastAsia" w:ascii="宋体" w:hAnsi="宋体" w:cs="宋体"/>
        </w:rPr>
        <w:t>2. 投标报价表（标段2）</w:t>
      </w:r>
      <w:r>
        <w:tab/>
      </w:r>
      <w:r>
        <w:fldChar w:fldCharType="begin"/>
      </w:r>
      <w:r>
        <w:instrText xml:space="preserve"> PAGEREF _Toc5978 \h </w:instrText>
      </w:r>
      <w:r>
        <w:fldChar w:fldCharType="separate"/>
      </w:r>
      <w:r>
        <w:t>39</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"_Toc1772" </w:instrText>
      </w:r>
      <w:r>
        <w:fldChar w:fldCharType="separate"/>
      </w:r>
      <w:r>
        <w:rPr>
          <w:rFonts w:hint="eastAsia" w:ascii="宋体" w:hAnsi="宋体" w:cs="宋体"/>
        </w:rPr>
        <w:t>备注:报价说明</w:t>
      </w:r>
      <w:r>
        <w:tab/>
      </w:r>
      <w:r>
        <w:fldChar w:fldCharType="begin"/>
      </w:r>
      <w:r>
        <w:instrText xml:space="preserve"> PAGEREF _Toc1772 \h </w:instrText>
      </w:r>
      <w:r>
        <w:fldChar w:fldCharType="separate"/>
      </w:r>
      <w:r>
        <w:t>39</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"_Toc26898" </w:instrText>
      </w:r>
      <w:r>
        <w:fldChar w:fldCharType="separate"/>
      </w:r>
      <w:r>
        <w:rPr>
          <w:rFonts w:hint="eastAsia" w:ascii="宋体" w:hAnsi="宋体" w:cs="宋体"/>
        </w:rPr>
        <w:t>3. 投标报价表（标段3）</w:t>
      </w:r>
      <w:r>
        <w:tab/>
      </w:r>
      <w:r>
        <w:fldChar w:fldCharType="begin"/>
      </w:r>
      <w:r>
        <w:instrText xml:space="preserve"> PAGEREF _Toc26898 \h </w:instrText>
      </w:r>
      <w:r>
        <w:fldChar w:fldCharType="separate"/>
      </w:r>
      <w:r>
        <w:t>40</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"_Toc830" </w:instrText>
      </w:r>
      <w:r>
        <w:fldChar w:fldCharType="separate"/>
      </w:r>
      <w:r>
        <w:rPr>
          <w:rFonts w:hint="eastAsia" w:ascii="宋体" w:hAnsi="宋体" w:cs="宋体"/>
        </w:rPr>
        <w:t>备注:报价说明</w:t>
      </w:r>
      <w:r>
        <w:tab/>
      </w:r>
      <w:r>
        <w:fldChar w:fldCharType="begin"/>
      </w:r>
      <w:r>
        <w:instrText xml:space="preserve"> PAGEREF _Toc830 \h </w:instrText>
      </w:r>
      <w:r>
        <w:fldChar w:fldCharType="separate"/>
      </w:r>
      <w:r>
        <w:t>40</w:t>
      </w:r>
      <w:r>
        <w:fldChar w:fldCharType="end"/>
      </w:r>
      <w:r>
        <w:fldChar w:fldCharType="end"/>
      </w:r>
    </w:p>
    <w:p>
      <w:pPr>
        <w:pStyle w:val="28"/>
        <w:tabs>
          <w:tab w:val="right" w:leader="dot" w:pos="8504"/>
          <w:tab w:val="clear" w:pos="567"/>
          <w:tab w:val="clear" w:pos="709"/>
          <w:tab w:val="clear" w:pos="8505"/>
        </w:tabs>
        <w:rPr>
          <w:rFonts w:hint="eastAsia"/>
        </w:rPr>
      </w:pPr>
      <w:r>
        <w:fldChar w:fldCharType="begin"/>
      </w:r>
      <w:r>
        <w:instrText xml:space="preserve"> HYPERLINK \l "_Toc7387" </w:instrText>
      </w:r>
      <w:r>
        <w:fldChar w:fldCharType="separate"/>
      </w:r>
      <w:r>
        <w:rPr>
          <w:rFonts w:hint="eastAsia"/>
        </w:rPr>
        <w:t>第六章 项目要求</w:t>
      </w:r>
      <w:r>
        <w:tab/>
      </w:r>
      <w:r>
        <w:fldChar w:fldCharType="begin"/>
      </w:r>
      <w:r>
        <w:instrText xml:space="preserve"> PAGEREF _Toc7387 \h </w:instrText>
      </w:r>
      <w:r>
        <w:fldChar w:fldCharType="separate"/>
      </w:r>
      <w:r>
        <w:t>42</w:t>
      </w:r>
      <w:r>
        <w:fldChar w:fldCharType="end"/>
      </w:r>
      <w:r>
        <w:fldChar w:fldCharType="end"/>
      </w:r>
    </w:p>
    <w:p>
      <w:pPr>
        <w:pStyle w:val="28"/>
        <w:tabs>
          <w:tab w:val="right" w:leader="dot" w:pos="8504"/>
          <w:tab w:val="clear" w:pos="567"/>
          <w:tab w:val="clear" w:pos="709"/>
          <w:tab w:val="clear" w:pos="8505"/>
        </w:tabs>
        <w:rPr>
          <w:rFonts w:hint="eastAsia"/>
        </w:rPr>
      </w:pPr>
      <w:r>
        <w:fldChar w:fldCharType="begin"/>
      </w:r>
      <w:r>
        <w:instrText xml:space="preserve"> HYPERLINK \l "_Toc25472" </w:instrText>
      </w:r>
      <w:r>
        <w:fldChar w:fldCharType="separate"/>
      </w:r>
      <w:r>
        <w:rPr>
          <w:rFonts w:hint="eastAsia"/>
        </w:rPr>
        <w:t>第七章  投标文件格式</w:t>
      </w:r>
      <w:r>
        <w:tab/>
      </w:r>
      <w:r>
        <w:fldChar w:fldCharType="begin"/>
      </w:r>
      <w:r>
        <w:instrText xml:space="preserve"> PAGEREF _Toc25472 \h </w:instrText>
      </w:r>
      <w:r>
        <w:fldChar w:fldCharType="separate"/>
      </w:r>
      <w:r>
        <w:t>43</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"_Toc10231" </w:instrText>
      </w:r>
      <w:r>
        <w:fldChar w:fldCharType="separate"/>
      </w:r>
      <w:r>
        <w:rPr>
          <w:rFonts w:hint="eastAsia"/>
        </w:rPr>
        <w:t>投标文件目录</w:t>
      </w:r>
      <w:r>
        <w:tab/>
      </w:r>
      <w:r>
        <w:fldChar w:fldCharType="begin"/>
      </w:r>
      <w:r>
        <w:instrText xml:space="preserve"> PAGEREF _Toc10231 \h </w:instrText>
      </w:r>
      <w:r>
        <w:fldChar w:fldCharType="separate"/>
      </w:r>
      <w:r>
        <w:t>44</w:t>
      </w:r>
      <w:r>
        <w:fldChar w:fldCharType="end"/>
      </w:r>
      <w:r>
        <w:fldChar w:fldCharType="end"/>
      </w:r>
    </w:p>
    <w:p>
      <w:pPr>
        <w:pStyle w:val="20"/>
        <w:tabs>
          <w:tab w:val="right" w:leader="dot" w:pos="8504"/>
        </w:tabs>
      </w:pPr>
      <w:r>
        <w:fldChar w:fldCharType="begin"/>
      </w:r>
      <w:r>
        <w:instrText xml:space="preserve"> HYPERLINK \l "_Toc29969" </w:instrText>
      </w:r>
      <w:r>
        <w:fldChar w:fldCharType="separate"/>
      </w:r>
      <w:r>
        <w:rPr>
          <w:rFonts w:hint="eastAsia"/>
        </w:rPr>
        <w:t>1、投标函</w:t>
      </w:r>
      <w:r>
        <w:tab/>
      </w:r>
      <w:r>
        <w:fldChar w:fldCharType="begin"/>
      </w:r>
      <w:r>
        <w:instrText xml:space="preserve"> PAGEREF _Toc29969 \h </w:instrText>
      </w:r>
      <w:r>
        <w:fldChar w:fldCharType="separate"/>
      </w:r>
      <w:r>
        <w:t>45</w:t>
      </w:r>
      <w:r>
        <w:fldChar w:fldCharType="end"/>
      </w:r>
      <w:r>
        <w:fldChar w:fldCharType="end"/>
      </w:r>
    </w:p>
    <w:p>
      <w:pPr>
        <w:pStyle w:val="20"/>
        <w:tabs>
          <w:tab w:val="right" w:leader="dot" w:pos="8504"/>
        </w:tabs>
      </w:pPr>
      <w:r>
        <w:fldChar w:fldCharType="begin"/>
      </w:r>
      <w:r>
        <w:instrText xml:space="preserve"> HYPERLINK \l "_Toc21296" </w:instrText>
      </w:r>
      <w:r>
        <w:fldChar w:fldCharType="separate"/>
      </w:r>
      <w:r>
        <w:rPr>
          <w:rFonts w:hint="eastAsia"/>
        </w:rPr>
        <w:t>4、法定代表人授权书</w:t>
      </w:r>
      <w:r>
        <w:tab/>
      </w:r>
      <w:r>
        <w:fldChar w:fldCharType="begin"/>
      </w:r>
      <w:r>
        <w:instrText xml:space="preserve"> PAGEREF _Toc21296 \h </w:instrText>
      </w:r>
      <w:r>
        <w:fldChar w:fldCharType="separate"/>
      </w:r>
      <w:r>
        <w:t>48</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"_Toc27064" </w:instrText>
      </w:r>
      <w:r>
        <w:fldChar w:fldCharType="separate"/>
      </w:r>
      <w:r>
        <w:rPr>
          <w:szCs w:val="28"/>
        </w:rPr>
        <w:t>（总公司授权分公司</w:t>
      </w:r>
      <w:r>
        <w:rPr>
          <w:rFonts w:hint="eastAsia"/>
          <w:szCs w:val="28"/>
        </w:rPr>
        <w:t>投标</w:t>
      </w:r>
      <w:r>
        <w:rPr>
          <w:szCs w:val="28"/>
        </w:rPr>
        <w:t>时使用）</w:t>
      </w:r>
      <w:r>
        <w:tab/>
      </w:r>
      <w:r>
        <w:fldChar w:fldCharType="begin"/>
      </w:r>
      <w:r>
        <w:instrText xml:space="preserve"> PAGEREF _Toc27064 \h </w:instrText>
      </w:r>
      <w:r>
        <w:fldChar w:fldCharType="separate"/>
      </w:r>
      <w:r>
        <w:t>48</w:t>
      </w:r>
      <w:r>
        <w:fldChar w:fldCharType="end"/>
      </w:r>
      <w:r>
        <w:fldChar w:fldCharType="end"/>
      </w:r>
    </w:p>
    <w:p>
      <w:pPr>
        <w:pStyle w:val="20"/>
        <w:tabs>
          <w:tab w:val="right" w:leader="dot" w:pos="8504"/>
        </w:tabs>
      </w:pPr>
      <w:r>
        <w:fldChar w:fldCharType="begin"/>
      </w:r>
      <w:r>
        <w:instrText xml:space="preserve"> HYPERLINK \l "_Toc10953" </w:instrText>
      </w:r>
      <w:r>
        <w:fldChar w:fldCharType="separate"/>
      </w:r>
      <w:r>
        <w:rPr>
          <w:rFonts w:hint="eastAsia"/>
        </w:rPr>
        <w:t>5、分公司负责人授权书</w:t>
      </w:r>
      <w:r>
        <w:tab/>
      </w:r>
      <w:r>
        <w:fldChar w:fldCharType="begin"/>
      </w:r>
      <w:r>
        <w:instrText xml:space="preserve"> PAGEREF _Toc10953 \h </w:instrText>
      </w:r>
      <w:r>
        <w:fldChar w:fldCharType="separate"/>
      </w:r>
      <w:r>
        <w:t>49</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"_Toc4563" </w:instrText>
      </w:r>
      <w:r>
        <w:fldChar w:fldCharType="separate"/>
      </w:r>
      <w:r>
        <w:rPr>
          <w:rFonts w:hint="eastAsia"/>
          <w:szCs w:val="28"/>
        </w:rPr>
        <w:t>（总公司授权分公司投标时使用）</w:t>
      </w:r>
      <w:r>
        <w:tab/>
      </w:r>
      <w:r>
        <w:fldChar w:fldCharType="begin"/>
      </w:r>
      <w:r>
        <w:instrText xml:space="preserve"> PAGEREF _Toc4563 \h </w:instrText>
      </w:r>
      <w:r>
        <w:fldChar w:fldCharType="separate"/>
      </w:r>
      <w:r>
        <w:t>49</w:t>
      </w:r>
      <w:r>
        <w:fldChar w:fldCharType="end"/>
      </w:r>
      <w:r>
        <w:fldChar w:fldCharType="end"/>
      </w:r>
    </w:p>
    <w:p>
      <w:pPr>
        <w:pStyle w:val="20"/>
        <w:tabs>
          <w:tab w:val="right" w:leader="dot" w:pos="8504"/>
        </w:tabs>
      </w:pPr>
      <w:r>
        <w:fldChar w:fldCharType="begin"/>
      </w:r>
      <w:r>
        <w:instrText xml:space="preserve"> HYPERLINK \l "_Toc21940" </w:instrText>
      </w:r>
      <w:r>
        <w:fldChar w:fldCharType="separate"/>
      </w:r>
      <w:r>
        <w:rPr>
          <w:rFonts w:hint="eastAsia" w:cs="Times New Roman"/>
          <w:szCs w:val="20"/>
          <w:lang w:bidi="ar"/>
        </w:rPr>
        <w:t>6</w:t>
      </w:r>
      <w:r>
        <w:rPr>
          <w:rFonts w:hint="eastAsia"/>
          <w:lang w:bidi="ar"/>
        </w:rPr>
        <w:t>、信用记录承诺函</w:t>
      </w:r>
      <w:r>
        <w:tab/>
      </w:r>
      <w:r>
        <w:fldChar w:fldCharType="begin"/>
      </w:r>
      <w:r>
        <w:instrText xml:space="preserve"> PAGEREF _Toc21940 \h </w:instrText>
      </w:r>
      <w:r>
        <w:fldChar w:fldCharType="separate"/>
      </w:r>
      <w:r>
        <w:t>50</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"_Toc15998" </w:instrText>
      </w:r>
      <w:r>
        <w:fldChar w:fldCharType="separate"/>
      </w:r>
      <w:r>
        <w:rPr>
          <w:rFonts w:hint="eastAsia"/>
          <w:szCs w:val="21"/>
        </w:rPr>
        <w:t>二、投标文件正文</w:t>
      </w:r>
      <w:r>
        <w:tab/>
      </w:r>
      <w:r>
        <w:fldChar w:fldCharType="begin"/>
      </w:r>
      <w:r>
        <w:instrText xml:space="preserve"> PAGEREF _Toc15998 \h </w:instrText>
      </w:r>
      <w:r>
        <w:fldChar w:fldCharType="separate"/>
      </w:r>
      <w:r>
        <w:t>52</w:t>
      </w:r>
      <w:r>
        <w:fldChar w:fldCharType="end"/>
      </w:r>
      <w:r>
        <w:fldChar w:fldCharType="end"/>
      </w:r>
    </w:p>
    <w:p>
      <w:pPr>
        <w:pStyle w:val="20"/>
        <w:tabs>
          <w:tab w:val="right" w:leader="dot" w:pos="8504"/>
        </w:tabs>
      </w:pPr>
      <w:r>
        <w:fldChar w:fldCharType="begin"/>
      </w:r>
      <w:r>
        <w:instrText xml:space="preserve"> HYPERLINK \l "_Toc18571" </w:instrText>
      </w:r>
      <w:r>
        <w:fldChar w:fldCharType="separate"/>
      </w:r>
      <w:r>
        <w:rPr>
          <w:rFonts w:hint="eastAsia" w:ascii="黑体" w:hAnsi="Times New Roman" w:eastAsia="黑体" w:cs="Times New Roman"/>
          <w:szCs w:val="20"/>
        </w:rPr>
        <w:t>1、</w:t>
      </w:r>
      <w:r>
        <w:rPr>
          <w:rFonts w:hint="eastAsia"/>
          <w:lang w:bidi="ar"/>
        </w:rPr>
        <w:t>评审索引表</w:t>
      </w:r>
      <w:r>
        <w:tab/>
      </w:r>
      <w:r>
        <w:fldChar w:fldCharType="begin"/>
      </w:r>
      <w:r>
        <w:instrText xml:space="preserve"> PAGEREF _Toc18571 \h </w:instrText>
      </w:r>
      <w:r>
        <w:fldChar w:fldCharType="separate"/>
      </w:r>
      <w:r>
        <w:t>52</w:t>
      </w:r>
      <w:r>
        <w:fldChar w:fldCharType="end"/>
      </w:r>
      <w:r>
        <w:fldChar w:fldCharType="end"/>
      </w:r>
    </w:p>
    <w:p>
      <w:pPr>
        <w:pStyle w:val="20"/>
        <w:tabs>
          <w:tab w:val="right" w:leader="dot" w:pos="8504"/>
        </w:tabs>
      </w:pPr>
      <w:r>
        <w:fldChar w:fldCharType="begin"/>
      </w:r>
      <w:r>
        <w:instrText xml:space="preserve"> HYPERLINK \l "_Toc30743" </w:instrText>
      </w:r>
      <w:r>
        <w:fldChar w:fldCharType="separate"/>
      </w:r>
      <w:r>
        <w:rPr>
          <w:rFonts w:hint="eastAsia"/>
        </w:rPr>
        <w:t>2、投标保证金缴纳凭证（银行转账复印件证明）</w:t>
      </w:r>
      <w:r>
        <w:tab/>
      </w:r>
      <w:r>
        <w:fldChar w:fldCharType="begin"/>
      </w:r>
      <w:r>
        <w:instrText xml:space="preserve"> PAGEREF _Toc30743 \h </w:instrText>
      </w:r>
      <w:r>
        <w:fldChar w:fldCharType="separate"/>
      </w:r>
      <w:r>
        <w:t>53</w:t>
      </w:r>
      <w:r>
        <w:fldChar w:fldCharType="end"/>
      </w:r>
      <w:r>
        <w:fldChar w:fldCharType="end"/>
      </w:r>
    </w:p>
    <w:p>
      <w:pPr>
        <w:pStyle w:val="20"/>
        <w:tabs>
          <w:tab w:val="right" w:leader="dot" w:pos="8504"/>
        </w:tabs>
      </w:pPr>
      <w:r>
        <w:fldChar w:fldCharType="begin"/>
      </w:r>
      <w:r>
        <w:instrText xml:space="preserve"> HYPERLINK \l "_Toc28557" </w:instrText>
      </w:r>
      <w:r>
        <w:fldChar w:fldCharType="separate"/>
      </w:r>
      <w:r>
        <w:rPr>
          <w:rFonts w:hint="eastAsia"/>
        </w:rPr>
        <w:t>退</w:t>
      </w:r>
      <w:r>
        <w:t>投标保证金</w:t>
      </w:r>
      <w:r>
        <w:rPr>
          <w:rFonts w:hint="eastAsia"/>
        </w:rPr>
        <w:t>说明</w:t>
      </w:r>
      <w:r>
        <w:tab/>
      </w:r>
      <w:r>
        <w:fldChar w:fldCharType="begin"/>
      </w:r>
      <w:r>
        <w:instrText xml:space="preserve"> PAGEREF _Toc28557 \h </w:instrText>
      </w:r>
      <w:r>
        <w:fldChar w:fldCharType="separate"/>
      </w:r>
      <w:r>
        <w:t>53</w:t>
      </w:r>
      <w:r>
        <w:fldChar w:fldCharType="end"/>
      </w:r>
      <w:r>
        <w:fldChar w:fldCharType="end"/>
      </w:r>
    </w:p>
    <w:p>
      <w:pPr>
        <w:pStyle w:val="20"/>
        <w:tabs>
          <w:tab w:val="right" w:leader="dot" w:pos="8504"/>
        </w:tabs>
      </w:pPr>
      <w:r>
        <w:fldChar w:fldCharType="begin"/>
      </w:r>
      <w:r>
        <w:instrText xml:space="preserve"> HYPERLINK \l "_Toc26955" </w:instrText>
      </w:r>
      <w:r>
        <w:fldChar w:fldCharType="separate"/>
      </w:r>
      <w:r>
        <w:rPr>
          <w:rFonts w:hint="eastAsia" w:ascii="宋体" w:hAnsi="宋体" w:cs="Times New Roman"/>
          <w:szCs w:val="24"/>
        </w:rPr>
        <w:t>日  期 ：</w:t>
      </w:r>
      <w:r>
        <w:tab/>
      </w:r>
      <w:r>
        <w:fldChar w:fldCharType="begin"/>
      </w:r>
      <w:r>
        <w:instrText xml:space="preserve"> PAGEREF _Toc26955 \h </w:instrText>
      </w:r>
      <w:r>
        <w:fldChar w:fldCharType="separate"/>
      </w:r>
      <w:r>
        <w:t>53</w:t>
      </w:r>
      <w:r>
        <w:fldChar w:fldCharType="end"/>
      </w:r>
      <w:r>
        <w:fldChar w:fldCharType="end"/>
      </w:r>
    </w:p>
    <w:p>
      <w:pPr>
        <w:pStyle w:val="20"/>
        <w:tabs>
          <w:tab w:val="right" w:leader="dot" w:pos="8504"/>
        </w:tabs>
      </w:pPr>
      <w:r>
        <w:fldChar w:fldCharType="begin"/>
      </w:r>
      <w:r>
        <w:instrText xml:space="preserve"> HYPERLINK \l "_Toc17499" </w:instrText>
      </w:r>
      <w:r>
        <w:fldChar w:fldCharType="separate"/>
      </w:r>
      <w:r>
        <w:rPr>
          <w:rFonts w:hint="eastAsia"/>
        </w:rPr>
        <w:t>3、投标报价表（格式见第五章投标报价）</w:t>
      </w:r>
      <w:r>
        <w:tab/>
      </w:r>
      <w:r>
        <w:fldChar w:fldCharType="begin"/>
      </w:r>
      <w:r>
        <w:instrText xml:space="preserve"> PAGEREF _Toc17499 \h </w:instrText>
      </w:r>
      <w:r>
        <w:fldChar w:fldCharType="separate"/>
      </w:r>
      <w:r>
        <w:t>54</w:t>
      </w:r>
      <w:r>
        <w:fldChar w:fldCharType="end"/>
      </w:r>
      <w:r>
        <w:fldChar w:fldCharType="end"/>
      </w:r>
    </w:p>
    <w:p>
      <w:pPr>
        <w:pStyle w:val="20"/>
        <w:tabs>
          <w:tab w:val="right" w:leader="dot" w:pos="8504"/>
        </w:tabs>
      </w:pPr>
      <w:r>
        <w:fldChar w:fldCharType="begin"/>
      </w:r>
      <w:r>
        <w:instrText xml:space="preserve"> HYPERLINK \l "_Toc24641" </w:instrText>
      </w:r>
      <w:r>
        <w:fldChar w:fldCharType="separate"/>
      </w:r>
      <w:r>
        <w:rPr>
          <w:rFonts w:hint="eastAsia"/>
        </w:rPr>
        <w:t>4、企业简介表（</w:t>
      </w:r>
      <w:r>
        <w:rPr>
          <w:rFonts w:hint="eastAsia" w:ascii="宋体" w:hAnsi="宋体" w:cs="宋体"/>
          <w:szCs w:val="21"/>
        </w:rPr>
        <w:t>简要介绍企业规模、财务状况情况等资料</w:t>
      </w:r>
      <w:r>
        <w:rPr>
          <w:rFonts w:hint="eastAsia"/>
        </w:rPr>
        <w:t>）</w:t>
      </w:r>
      <w:r>
        <w:tab/>
      </w:r>
      <w:r>
        <w:fldChar w:fldCharType="begin"/>
      </w:r>
      <w:r>
        <w:instrText xml:space="preserve"> PAGEREF _Toc24641 \h </w:instrText>
      </w:r>
      <w:r>
        <w:fldChar w:fldCharType="separate"/>
      </w:r>
      <w:r>
        <w:t>54</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"_Toc13181" </w:instrText>
      </w:r>
      <w:r>
        <w:fldChar w:fldCharType="separate"/>
      </w:r>
      <w:r>
        <w:rPr>
          <w:rFonts w:hint="eastAsia" w:ascii="宋体" w:hAnsi="宋体"/>
        </w:rPr>
        <w:t>5、同类业绩表</w:t>
      </w:r>
      <w:r>
        <w:tab/>
      </w:r>
      <w:r>
        <w:fldChar w:fldCharType="begin"/>
      </w:r>
      <w:r>
        <w:instrText xml:space="preserve"> PAGEREF _Toc13181 \h </w:instrText>
      </w:r>
      <w:r>
        <w:fldChar w:fldCharType="separate"/>
      </w:r>
      <w:r>
        <w:t>54</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"_Toc31342" </w:instrText>
      </w:r>
      <w:r>
        <w:fldChar w:fldCharType="separate"/>
      </w:r>
      <w:r>
        <w:rPr>
          <w:rFonts w:hint="eastAsia" w:ascii="宋体" w:hAnsi="宋体"/>
        </w:rPr>
        <w:t>6、</w:t>
      </w:r>
      <w:r>
        <w:rPr>
          <w:rFonts w:hint="eastAsia" w:ascii="宋体" w:hAnsi="宋体"/>
          <w:szCs w:val="32"/>
        </w:rPr>
        <w:t>公司服务团队素质及</w:t>
      </w:r>
      <w:r>
        <w:rPr>
          <w:rFonts w:hint="eastAsia" w:ascii="宋体" w:hAnsi="宋体"/>
        </w:rPr>
        <w:t>本项目负责人情况表</w:t>
      </w:r>
      <w:r>
        <w:tab/>
      </w:r>
      <w:r>
        <w:fldChar w:fldCharType="begin"/>
      </w:r>
      <w:r>
        <w:instrText xml:space="preserve"> PAGEREF _Toc31342 \h </w:instrText>
      </w:r>
      <w:r>
        <w:fldChar w:fldCharType="separate"/>
      </w:r>
      <w:r>
        <w:t>56</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"_Toc862" </w:instrText>
      </w:r>
      <w:r>
        <w:fldChar w:fldCharType="separate"/>
      </w:r>
      <w:r>
        <w:rPr>
          <w:rFonts w:hint="eastAsia" w:ascii="宋体" w:hAnsi="宋体" w:cs="宋体"/>
        </w:rPr>
        <w:t>7、外包服务方案</w:t>
      </w:r>
      <w:r>
        <w:tab/>
      </w:r>
      <w:r>
        <w:fldChar w:fldCharType="begin"/>
      </w:r>
      <w:r>
        <w:instrText xml:space="preserve"> PAGEREF _Toc862 \h </w:instrText>
      </w:r>
      <w:r>
        <w:fldChar w:fldCharType="separate"/>
      </w:r>
      <w:r>
        <w:t>56</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"_Toc12340" </w:instrText>
      </w:r>
      <w:r>
        <w:fldChar w:fldCharType="separate"/>
      </w:r>
      <w:r>
        <w:rPr>
          <w:rFonts w:hint="eastAsia" w:ascii="宋体" w:hAnsi="宋体" w:cs="宋体"/>
          <w:bCs/>
          <w:szCs w:val="32"/>
        </w:rPr>
        <w:t>8、</w:t>
      </w:r>
      <w:r>
        <w:rPr>
          <w:rFonts w:hint="eastAsia" w:ascii="宋体" w:hAnsi="宋体"/>
          <w:szCs w:val="32"/>
          <w:lang w:bidi="ar"/>
        </w:rPr>
        <w:t>企业荣誉情况</w:t>
      </w:r>
      <w:r>
        <w:tab/>
      </w:r>
      <w:r>
        <w:fldChar w:fldCharType="begin"/>
      </w:r>
      <w:r>
        <w:instrText xml:space="preserve"> PAGEREF _Toc12340 \h </w:instrText>
      </w:r>
      <w:r>
        <w:fldChar w:fldCharType="separate"/>
      </w:r>
      <w:r>
        <w:t>56</w:t>
      </w:r>
      <w:r>
        <w:fldChar w:fldCharType="end"/>
      </w:r>
      <w:r>
        <w:fldChar w:fldCharType="end"/>
      </w:r>
    </w:p>
    <w:p>
      <w:pPr>
        <w:pStyle w:val="35"/>
        <w:tabs>
          <w:tab w:val="right" w:leader="dot" w:pos="8504"/>
          <w:tab w:val="clear" w:pos="567"/>
          <w:tab w:val="clear" w:pos="8505"/>
          <w:tab w:val="clear" w:pos="9628"/>
        </w:tabs>
      </w:pPr>
      <w:r>
        <w:fldChar w:fldCharType="begin"/>
      </w:r>
      <w:r>
        <w:instrText xml:space="preserve"> HYPERLINK \l "_Toc28656" </w:instrText>
      </w:r>
      <w:r>
        <w:fldChar w:fldCharType="separate"/>
      </w:r>
      <w:r>
        <w:rPr>
          <w:rFonts w:hint="eastAsia" w:ascii="宋体" w:hAnsi="宋体"/>
          <w:bCs/>
          <w:szCs w:val="32"/>
        </w:rPr>
        <w:t>9、投标人认为需要补充的其他资料（由投标人自行补充）</w:t>
      </w:r>
      <w:r>
        <w:tab/>
      </w:r>
      <w:r>
        <w:fldChar w:fldCharType="begin"/>
      </w:r>
      <w:r>
        <w:instrText xml:space="preserve"> PAGEREF _Toc28656 \h </w:instrText>
      </w:r>
      <w:r>
        <w:fldChar w:fldCharType="separate"/>
      </w:r>
      <w:r>
        <w:t>56</w:t>
      </w:r>
      <w:r>
        <w:fldChar w:fldCharType="end"/>
      </w:r>
      <w:r>
        <w:fldChar w:fldCharType="end"/>
      </w:r>
    </w:p>
    <w:p>
      <w:pPr>
        <w:spacing w:after="120" w:line="400" w:lineRule="exact"/>
        <w:jc w:val="left"/>
        <w:rPr>
          <w:rFonts w:hint="eastAsia" w:ascii="宋体" w:hAnsi="宋体" w:cs="宋体"/>
          <w:sz w:val="24"/>
        </w:rPr>
        <w:sectPr>
          <w:footerReference r:id="rId3" w:type="default"/>
          <w:pgSz w:w="11906" w:h="16838"/>
          <w:pgMar w:top="1440" w:right="1701" w:bottom="1440" w:left="1701" w:header="851" w:footer="992" w:gutter="0"/>
          <w:pgNumType w:start="1"/>
          <w:cols w:space="720" w:num="1"/>
          <w:docGrid w:type="linesAndChars" w:linePitch="380" w:charSpace="0"/>
        </w:sectPr>
      </w:pPr>
      <w:r>
        <w:rPr>
          <w:rFonts w:hint="eastAsia" w:ascii="宋体" w:hAnsi="宋体" w:cs="宋体"/>
          <w:szCs w:val="21"/>
        </w:rPr>
        <w:fldChar w:fldCharType="end"/>
      </w:r>
    </w:p>
    <w:p>
      <w:pPr>
        <w:pStyle w:val="4"/>
        <w:spacing w:line="496" w:lineRule="exact"/>
        <w:jc w:val="center"/>
        <w:rPr>
          <w:rFonts w:hint="eastAsia" w:ascii="宋体" w:hAnsi="宋体"/>
          <w:sz w:val="36"/>
          <w:szCs w:val="36"/>
        </w:rPr>
      </w:pPr>
      <w:bookmarkStart w:id="2" w:name="_Toc4128"/>
      <w:bookmarkStart w:id="3" w:name="_Toc6011"/>
      <w:bookmarkStart w:id="4" w:name="_Toc13711"/>
      <w:bookmarkStart w:id="5" w:name="_Toc23321"/>
      <w:bookmarkStart w:id="6" w:name="_Toc26984"/>
      <w:bookmarkStart w:id="7" w:name="_Toc28023"/>
      <w:bookmarkStart w:id="8" w:name="_Toc16451"/>
      <w:bookmarkStart w:id="9" w:name="_Toc15080"/>
      <w:bookmarkStart w:id="10" w:name="_Toc26307"/>
      <w:bookmarkStart w:id="11" w:name="_Toc247096243"/>
      <w:bookmarkStart w:id="12" w:name="_Toc23174"/>
      <w:bookmarkStart w:id="13" w:name="_Toc5917"/>
      <w:bookmarkStart w:id="14" w:name="_Toc28639"/>
      <w:bookmarkStart w:id="15" w:name="_Toc15739"/>
      <w:bookmarkStart w:id="16" w:name="_Toc246996900"/>
      <w:bookmarkStart w:id="17" w:name="_Toc24400"/>
      <w:bookmarkStart w:id="18" w:name="_Toc18836"/>
      <w:bookmarkStart w:id="19" w:name="_Toc247085671"/>
      <w:bookmarkStart w:id="20" w:name="_Toc22973"/>
      <w:bookmarkStart w:id="21" w:name="_Toc20600"/>
      <w:bookmarkStart w:id="22" w:name="_Toc246996157"/>
      <w:bookmarkStart w:id="23" w:name="_Toc7029"/>
      <w:bookmarkStart w:id="24" w:name="_Toc22857"/>
      <w:bookmarkStart w:id="25" w:name="_Toc4916"/>
      <w:bookmarkStart w:id="26" w:name="_Toc14383"/>
      <w:bookmarkStart w:id="27" w:name="_Toc13142"/>
      <w:bookmarkStart w:id="28" w:name="_Toc3392"/>
      <w:bookmarkStart w:id="29" w:name="_Toc9032"/>
      <w:bookmarkStart w:id="30" w:name="_Toc19112"/>
      <w:bookmarkStart w:id="31" w:name="_Toc457992942"/>
      <w:bookmarkStart w:id="32" w:name="_Toc1959"/>
      <w:bookmarkStart w:id="33" w:name="_Toc26899"/>
      <w:bookmarkStart w:id="34" w:name="_Toc28520"/>
      <w:bookmarkStart w:id="35" w:name="_Toc16735"/>
      <w:bookmarkStart w:id="36" w:name="_Toc31661"/>
      <w:bookmarkStart w:id="37" w:name="_Toc22564"/>
      <w:bookmarkStart w:id="38" w:name="_Toc447265797"/>
      <w:bookmarkStart w:id="39" w:name="_Toc7924"/>
      <w:bookmarkStart w:id="40" w:name="_Toc447265497"/>
      <w:bookmarkStart w:id="41" w:name="_Toc56432210"/>
      <w:bookmarkStart w:id="42" w:name="_Toc447265211"/>
      <w:bookmarkStart w:id="43" w:name="_Toc447188662"/>
      <w:r>
        <w:rPr>
          <w:rFonts w:hint="eastAsia" w:ascii="宋体" w:hAnsi="宋体"/>
        </w:rPr>
        <w:t>第一章 招标公告</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5"/>
        <w:spacing w:line="496" w:lineRule="exact"/>
        <w:jc w:val="left"/>
      </w:pPr>
      <w:bookmarkStart w:id="44" w:name="_Toc15596"/>
      <w:bookmarkStart w:id="45" w:name="_Toc25870"/>
      <w:bookmarkStart w:id="46" w:name="_Toc16929"/>
      <w:bookmarkStart w:id="47" w:name="_Toc23462"/>
      <w:bookmarkStart w:id="48" w:name="_Toc19761"/>
      <w:bookmarkStart w:id="49" w:name="_Toc29798"/>
      <w:bookmarkStart w:id="50" w:name="_Toc28313"/>
      <w:bookmarkStart w:id="51" w:name="_Toc11176"/>
      <w:bookmarkStart w:id="52" w:name="_Toc28556"/>
      <w:bookmarkStart w:id="53" w:name="_Toc16003"/>
      <w:bookmarkStart w:id="54" w:name="_Toc173"/>
      <w:bookmarkStart w:id="55" w:name="_Toc20724"/>
      <w:bookmarkStart w:id="56" w:name="_Toc3019"/>
      <w:bookmarkStart w:id="57" w:name="_Toc30947"/>
      <w:bookmarkStart w:id="58" w:name="_Toc31366"/>
      <w:bookmarkStart w:id="59" w:name="_Toc11464"/>
      <w:bookmarkStart w:id="60" w:name="_Toc14399"/>
      <w:bookmarkStart w:id="61" w:name="_Toc22611"/>
      <w:bookmarkStart w:id="62" w:name="_Toc247085672"/>
      <w:bookmarkStart w:id="63" w:name="_Toc12045"/>
      <w:bookmarkStart w:id="64" w:name="_Toc30533"/>
      <w:bookmarkStart w:id="65" w:name="_Toc15995063"/>
      <w:bookmarkStart w:id="66" w:name="_Toc11925"/>
      <w:bookmarkStart w:id="67" w:name="_Toc457992943"/>
      <w:bookmarkStart w:id="68" w:name="_Toc5243"/>
      <w:bookmarkStart w:id="69" w:name="_Toc16351"/>
      <w:bookmarkStart w:id="70" w:name="_Toc152045513"/>
      <w:bookmarkStart w:id="71" w:name="_Toc246996901"/>
      <w:bookmarkStart w:id="72" w:name="_Toc5915"/>
      <w:bookmarkStart w:id="73" w:name="_Toc10402"/>
      <w:bookmarkStart w:id="74" w:name="_Toc8830"/>
      <w:bookmarkStart w:id="75" w:name="_Toc23323"/>
      <w:bookmarkStart w:id="76" w:name="_Toc12384"/>
      <w:bookmarkStart w:id="77" w:name="_Toc246996158"/>
      <w:bookmarkStart w:id="78" w:name="_Toc12019"/>
      <w:bookmarkStart w:id="79" w:name="_Toc1831"/>
      <w:bookmarkStart w:id="80" w:name="_Toc28855"/>
      <w:bookmarkStart w:id="81" w:name="_Toc24552"/>
      <w:bookmarkStart w:id="82" w:name="_Toc152042289"/>
      <w:bookmarkStart w:id="83" w:name="_Toc8872"/>
      <w:bookmarkStart w:id="84" w:name="_Toc6208"/>
      <w:bookmarkStart w:id="85" w:name="_Toc179632529"/>
      <w:bookmarkStart w:id="86" w:name="_Toc4823"/>
      <w:bookmarkStart w:id="87" w:name="_Toc1709"/>
      <w:bookmarkStart w:id="88" w:name="_Toc2630"/>
      <w:bookmarkStart w:id="89" w:name="_Toc152045512"/>
      <w:bookmarkStart w:id="90" w:name="_Toc436215709"/>
      <w:bookmarkStart w:id="91" w:name="_Toc24995"/>
      <w:bookmarkStart w:id="92" w:name="_Toc24283"/>
      <w:bookmarkStart w:id="93" w:name="_Toc722"/>
      <w:bookmarkStart w:id="94" w:name="_Toc17745"/>
      <w:bookmarkStart w:id="95" w:name="_Toc31802"/>
      <w:bookmarkStart w:id="96" w:name="_Toc7350"/>
      <w:bookmarkStart w:id="97" w:name="_Toc17323"/>
      <w:bookmarkStart w:id="98" w:name="_Toc18279"/>
      <w:bookmarkStart w:id="99" w:name="_Toc144974480"/>
      <w:bookmarkStart w:id="100" w:name="_Toc179632528"/>
      <w:bookmarkStart w:id="101" w:name="_Toc435178352"/>
      <w:bookmarkStart w:id="102" w:name="_Toc930"/>
      <w:bookmarkStart w:id="103" w:name="_Toc2785"/>
      <w:bookmarkStart w:id="104" w:name="_Toc246996159"/>
      <w:bookmarkStart w:id="105" w:name="_Toc144974481"/>
      <w:bookmarkStart w:id="106" w:name="_Toc247085673"/>
      <w:bookmarkStart w:id="107" w:name="_Toc1193"/>
      <w:bookmarkStart w:id="108" w:name="_Toc27392"/>
      <w:bookmarkStart w:id="109" w:name="_Toc22196"/>
      <w:bookmarkStart w:id="110" w:name="_Toc24405"/>
      <w:bookmarkStart w:id="111" w:name="_Toc1206"/>
      <w:bookmarkStart w:id="112" w:name="_Toc5969"/>
      <w:bookmarkStart w:id="113" w:name="_Toc496601919"/>
      <w:bookmarkStart w:id="114" w:name="_Toc246996902"/>
      <w:bookmarkStart w:id="115" w:name="_Toc152042288"/>
      <w:bookmarkStart w:id="116" w:name="_Toc17787"/>
      <w:bookmarkStart w:id="117" w:name="_Toc2937"/>
      <w:bookmarkStart w:id="118" w:name="_Toc12484"/>
      <w:r>
        <w:rPr>
          <w:rFonts w:hint="eastAsia"/>
        </w:rPr>
        <w:t>1.</w:t>
      </w:r>
      <w:r>
        <w:t xml:space="preserve"> </w:t>
      </w:r>
      <w:bookmarkStart w:id="119" w:name="_Toc10537"/>
      <w:bookmarkStart w:id="120" w:name="_Toc32155"/>
      <w:r>
        <w:t>项目概况</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119"/>
      <w:bookmarkEnd w:id="120"/>
    </w:p>
    <w:p>
      <w:pPr>
        <w:pStyle w:val="75"/>
        <w:adjustRightInd w:val="0"/>
        <w:snapToGrid w:val="0"/>
        <w:spacing w:line="496" w:lineRule="exact"/>
        <w:ind w:firstLine="480"/>
        <w:jc w:val="left"/>
        <w:rPr>
          <w:rFonts w:hint="eastAsia" w:ascii="宋体" w:hAnsi="宋体" w:cs="宋体"/>
          <w:sz w:val="24"/>
        </w:rPr>
      </w:pPr>
      <w:r>
        <w:rPr>
          <w:rFonts w:hint="eastAsia" w:ascii="宋体" w:hAnsi="宋体" w:cs="宋体"/>
          <w:sz w:val="24"/>
        </w:rPr>
        <w:t xml:space="preserve">1.1 </w:t>
      </w:r>
      <w:r>
        <w:rPr>
          <w:rFonts w:ascii="宋体" w:hAnsi="宋体" w:cs="宋体"/>
          <w:sz w:val="24"/>
        </w:rPr>
        <w:t>广东省南方传媒发行物流有限公司拟通过招标方式选择202</w:t>
      </w:r>
      <w:r>
        <w:rPr>
          <w:rFonts w:hint="eastAsia" w:ascii="宋体" w:hAnsi="宋体" w:cs="宋体"/>
          <w:sz w:val="24"/>
        </w:rPr>
        <w:t>6</w:t>
      </w:r>
      <w:r>
        <w:rPr>
          <w:rFonts w:ascii="宋体" w:hAnsi="宋体" w:cs="宋体"/>
          <w:sz w:val="24"/>
        </w:rPr>
        <w:t>-202</w:t>
      </w:r>
      <w:r>
        <w:rPr>
          <w:rFonts w:hint="eastAsia" w:ascii="宋体" w:hAnsi="宋体" w:cs="宋体"/>
          <w:sz w:val="24"/>
        </w:rPr>
        <w:t>8</w:t>
      </w:r>
      <w:r>
        <w:rPr>
          <w:rFonts w:ascii="宋体" w:hAnsi="宋体" w:cs="宋体"/>
          <w:sz w:val="24"/>
        </w:rPr>
        <w:t>年度劳务用工服务单位。项目资金已落实，具备招标条件，现进行公开招标，特邀请有意向且具有提供标的物</w:t>
      </w:r>
      <w:r>
        <w:rPr>
          <w:rFonts w:hint="eastAsia" w:ascii="宋体" w:hAnsi="宋体" w:cs="宋体"/>
          <w:sz w:val="24"/>
        </w:rPr>
        <w:t>服务</w:t>
      </w:r>
      <w:r>
        <w:rPr>
          <w:rFonts w:ascii="宋体" w:hAnsi="宋体" w:cs="宋体"/>
          <w:sz w:val="24"/>
        </w:rPr>
        <w:t>能力的潜在投标人（以下简称投标人）投标。</w:t>
      </w:r>
    </w:p>
    <w:p>
      <w:pPr>
        <w:pStyle w:val="75"/>
        <w:adjustRightInd w:val="0"/>
        <w:snapToGrid w:val="0"/>
        <w:spacing w:line="496" w:lineRule="exact"/>
        <w:ind w:firstLine="484" w:firstLineChars="202"/>
        <w:jc w:val="left"/>
        <w:rPr>
          <w:rFonts w:hint="eastAsia" w:ascii="宋体" w:hAnsi="宋体" w:cs="宋体"/>
          <w:sz w:val="24"/>
        </w:rPr>
      </w:pPr>
      <w:r>
        <w:rPr>
          <w:rFonts w:ascii="宋体" w:hAnsi="宋体" w:cs="宋体"/>
          <w:sz w:val="24"/>
        </w:rPr>
        <w:t>1.2 服务期限：自合同生效之日起一年。本项目为框架协议式招标，业务量预计约为</w:t>
      </w:r>
      <w:r>
        <w:rPr>
          <w:rFonts w:hint="eastAsia" w:ascii="宋体" w:hAnsi="宋体" w:cs="宋体"/>
          <w:sz w:val="24"/>
        </w:rPr>
        <w:t>322.33</w:t>
      </w:r>
      <w:r>
        <w:rPr>
          <w:rFonts w:ascii="宋体" w:hAnsi="宋体" w:cs="宋体"/>
          <w:sz w:val="24"/>
        </w:rPr>
        <w:t>万元/年，</w:t>
      </w:r>
      <w:r>
        <w:rPr>
          <w:rFonts w:hint="eastAsia" w:ascii="宋体" w:hAnsi="宋体" w:cs="宋体"/>
          <w:sz w:val="24"/>
        </w:rPr>
        <w:t>合同期一年，若双方合作满意，经招标人同意可续签一年，</w:t>
      </w:r>
      <w:r>
        <w:rPr>
          <w:rFonts w:ascii="宋体" w:hAnsi="宋体" w:cs="宋体"/>
          <w:sz w:val="24"/>
        </w:rPr>
        <w:t>合同履约期间招标人根据每月具体实际用工情况产生的费用据实支付。</w:t>
      </w:r>
    </w:p>
    <w:p>
      <w:pPr>
        <w:pStyle w:val="37"/>
        <w:spacing w:line="496" w:lineRule="exact"/>
        <w:ind w:firstLine="480" w:firstLineChars="200"/>
        <w:rPr>
          <w:rFonts w:hint="eastAsia"/>
          <w:kern w:val="2"/>
        </w:rPr>
      </w:pPr>
      <w:bookmarkStart w:id="121" w:name="OLE_LINK3"/>
      <w:r>
        <w:rPr>
          <w:rFonts w:hint="eastAsia"/>
          <w:kern w:val="2"/>
        </w:rPr>
        <w:t>1.3本项目分</w:t>
      </w:r>
      <w:r>
        <w:rPr>
          <w:rFonts w:hint="eastAsia"/>
          <w:kern w:val="2"/>
          <w:lang w:val="en-US" w:eastAsia="zh-CN"/>
        </w:rPr>
        <w:t>3</w:t>
      </w:r>
      <w:r>
        <w:rPr>
          <w:rFonts w:hint="eastAsia"/>
          <w:kern w:val="2"/>
        </w:rPr>
        <w:t>个标段：</w:t>
      </w:r>
    </w:p>
    <w:p>
      <w:pPr>
        <w:pStyle w:val="37"/>
        <w:numPr>
          <w:ilvl w:val="-1"/>
          <w:numId w:val="0"/>
        </w:numPr>
        <w:spacing w:line="496" w:lineRule="exact"/>
        <w:ind w:firstLine="480" w:firstLineChars="200"/>
        <w:rPr>
          <w:rFonts w:hint="eastAsia"/>
          <w:kern w:val="2"/>
        </w:rPr>
      </w:pPr>
      <w:r>
        <w:rPr>
          <w:rFonts w:hint="eastAsia" w:ascii="宋体" w:hAnsi="宋体" w:cs="宋体"/>
          <w:kern w:val="2"/>
        </w:rPr>
        <w:t>①</w:t>
      </w:r>
      <w:r>
        <w:rPr>
          <w:rFonts w:hint="eastAsia"/>
          <w:kern w:val="2"/>
        </w:rPr>
        <w:t>标段</w:t>
      </w:r>
      <w:r>
        <w:rPr>
          <w:kern w:val="2"/>
        </w:rPr>
        <w:t>1为报刊发行分发</w:t>
      </w:r>
      <w:r>
        <w:rPr>
          <w:rFonts w:hint="eastAsia"/>
          <w:kern w:val="2"/>
          <w:lang w:val="en-US" w:eastAsia="zh-CN"/>
        </w:rPr>
        <w:t>及南方优品团购分拣</w:t>
      </w:r>
      <w:r>
        <w:rPr>
          <w:rFonts w:hint="eastAsia"/>
          <w:kern w:val="2"/>
        </w:rPr>
        <w:t>劳务用工外包，</w:t>
      </w:r>
      <w:r>
        <w:rPr>
          <w:rFonts w:hint="eastAsia"/>
          <w:kern w:val="2"/>
          <w:lang w:val="en-US" w:eastAsia="zh-CN"/>
        </w:rPr>
        <w:t>报刊分发</w:t>
      </w:r>
      <w:r>
        <w:rPr>
          <w:rFonts w:hint="eastAsia"/>
          <w:kern w:val="2"/>
        </w:rPr>
        <w:t>工作地点</w:t>
      </w:r>
      <w:r>
        <w:rPr>
          <w:rFonts w:hint="eastAsia"/>
        </w:rPr>
        <w:t>主要集中在佛山市南海区里水镇和东莞市凤岗镇，</w:t>
      </w:r>
      <w:r>
        <w:rPr>
          <w:rFonts w:hint="eastAsia"/>
          <w:lang w:val="en-US" w:eastAsia="zh-CN"/>
        </w:rPr>
        <w:t>团购分拣</w:t>
      </w:r>
      <w:r>
        <w:rPr>
          <w:rFonts w:hint="eastAsia"/>
        </w:rPr>
        <w:t>工作地点主要集中在佛山市南海区里水镇，</w:t>
      </w:r>
      <w:r>
        <w:t>业务量预计约为</w:t>
      </w:r>
      <w:r>
        <w:rPr>
          <w:rFonts w:hint="eastAsia"/>
          <w:lang w:val="en-US" w:eastAsia="zh-CN"/>
        </w:rPr>
        <w:t>47</w:t>
      </w:r>
      <w:r>
        <w:rPr>
          <w:rFonts w:hint="eastAsia"/>
        </w:rPr>
        <w:t>.33</w:t>
      </w:r>
      <w:r>
        <w:t>万元/年</w:t>
      </w:r>
      <w:r>
        <w:rPr>
          <w:rFonts w:hint="eastAsia"/>
          <w:lang w:eastAsia="zh-CN"/>
        </w:rPr>
        <w:t>。</w:t>
      </w:r>
      <w:r>
        <w:rPr>
          <w:rFonts w:hint="eastAsia"/>
          <w:lang w:val="en-US" w:eastAsia="zh-CN"/>
        </w:rPr>
        <w:t>报刊分发</w:t>
      </w:r>
      <w:r>
        <w:rPr>
          <w:rFonts w:hint="eastAsia"/>
        </w:rPr>
        <w:t>劳务用工人数约7人/天（其中佛山市南海里水镇约6人/天，东莞市凤岗镇1人/天， 以实际需求为准）</w:t>
      </w:r>
      <w:r>
        <w:rPr>
          <w:rFonts w:hint="eastAsia"/>
          <w:lang w:eastAsia="zh-CN"/>
        </w:rPr>
        <w:t>；</w:t>
      </w:r>
      <w:r>
        <w:rPr>
          <w:rFonts w:hint="eastAsia"/>
          <w:lang w:val="en-US" w:eastAsia="zh-CN"/>
        </w:rPr>
        <w:t>团购分拣</w:t>
      </w:r>
      <w:r>
        <w:rPr>
          <w:rFonts w:hint="eastAsia"/>
        </w:rPr>
        <w:t>劳务用工人数约10-30人/天（ 以实际需求为准），具体需求详见第五章投标报价，</w:t>
      </w:r>
      <w:r>
        <w:rPr>
          <w:rFonts w:hint="eastAsia"/>
          <w:kern w:val="2"/>
        </w:rPr>
        <w:t>评选2名</w:t>
      </w:r>
      <w:r>
        <w:rPr>
          <w:rFonts w:hint="eastAsia"/>
          <w:kern w:val="2"/>
          <w:lang w:eastAsia="zh-CN"/>
        </w:rPr>
        <w:t>中标</w:t>
      </w:r>
      <w:r>
        <w:rPr>
          <w:rFonts w:hint="eastAsia"/>
          <w:kern w:val="2"/>
        </w:rPr>
        <w:t>人；</w:t>
      </w:r>
    </w:p>
    <w:p>
      <w:pPr>
        <w:pStyle w:val="37"/>
        <w:spacing w:line="496" w:lineRule="exact"/>
        <w:ind w:firstLine="480" w:firstLineChars="200"/>
        <w:rPr>
          <w:rFonts w:hint="eastAsia"/>
          <w:kern w:val="2"/>
        </w:rPr>
      </w:pPr>
      <w:r>
        <w:rPr>
          <w:rFonts w:hint="eastAsia"/>
          <w:kern w:val="2"/>
        </w:rPr>
        <w:t>② 标段</w:t>
      </w:r>
      <w:r>
        <w:rPr>
          <w:rFonts w:hint="eastAsia"/>
          <w:kern w:val="2"/>
          <w:lang w:val="en-US" w:eastAsia="zh-CN"/>
        </w:rPr>
        <w:t>2</w:t>
      </w:r>
      <w:r>
        <w:rPr>
          <w:rFonts w:hint="eastAsia"/>
          <w:kern w:val="2"/>
        </w:rPr>
        <w:t>为深圳地区</w:t>
      </w:r>
      <w:r>
        <w:rPr>
          <w:kern w:val="2"/>
        </w:rPr>
        <w:t>南方优品团购分拣</w:t>
      </w:r>
      <w:r>
        <w:rPr>
          <w:rFonts w:hint="eastAsia"/>
          <w:kern w:val="2"/>
        </w:rPr>
        <w:t>劳务用工外包，业务高峰及节假日需求，工作地主要</w:t>
      </w:r>
      <w:r>
        <w:rPr>
          <w:rFonts w:hint="eastAsia"/>
        </w:rPr>
        <w:t>集中在深圳光明区、龙岗区，</w:t>
      </w:r>
      <w:r>
        <w:t>业务量预计约为</w:t>
      </w:r>
      <w:r>
        <w:rPr>
          <w:rFonts w:hint="eastAsia"/>
        </w:rPr>
        <w:t>10</w:t>
      </w:r>
      <w:r>
        <w:t>万元/年</w:t>
      </w:r>
      <w:r>
        <w:rPr>
          <w:rFonts w:hint="eastAsia"/>
        </w:rPr>
        <w:t>，劳务用工人数约10-15人/天（以实际需求为准），具体需求详见第五章投标报价，</w:t>
      </w:r>
      <w:r>
        <w:rPr>
          <w:rFonts w:hint="eastAsia"/>
          <w:kern w:val="2"/>
        </w:rPr>
        <w:t>评选1名</w:t>
      </w:r>
      <w:r>
        <w:rPr>
          <w:rFonts w:hint="eastAsia"/>
          <w:kern w:val="2"/>
          <w:lang w:eastAsia="zh-CN"/>
        </w:rPr>
        <w:t>中标</w:t>
      </w:r>
      <w:r>
        <w:rPr>
          <w:rFonts w:hint="eastAsia"/>
          <w:kern w:val="2"/>
        </w:rPr>
        <w:t>人；</w:t>
      </w:r>
    </w:p>
    <w:p>
      <w:pPr>
        <w:pStyle w:val="37"/>
        <w:spacing w:line="496" w:lineRule="exact"/>
        <w:ind w:firstLine="480" w:firstLineChars="200"/>
        <w:rPr>
          <w:rFonts w:hint="eastAsia"/>
          <w:kern w:val="2"/>
        </w:rPr>
      </w:pPr>
      <w:r>
        <w:rPr>
          <w:rFonts w:hint="eastAsia"/>
          <w:kern w:val="2"/>
        </w:rPr>
        <w:t>③</w:t>
      </w:r>
      <w:r>
        <w:rPr>
          <w:rFonts w:hint="eastAsia"/>
        </w:rPr>
        <w:t>标段</w:t>
      </w:r>
      <w:r>
        <w:rPr>
          <w:rFonts w:hint="eastAsia"/>
          <w:lang w:val="en-US" w:eastAsia="zh-CN"/>
        </w:rPr>
        <w:t>3</w:t>
      </w:r>
      <w:r>
        <w:rPr>
          <w:rFonts w:hint="eastAsia"/>
        </w:rPr>
        <w:t>为食材现场分</w:t>
      </w:r>
      <w:r>
        <w:rPr>
          <w:rFonts w:hint="eastAsia"/>
          <w:kern w:val="2"/>
        </w:rPr>
        <w:t>拣、配送劳务用工外包，工作地点主要分布在东莞、韶关、惠州、汕尾、湛江、西安等地，根据业务规划，未来劳务用工需求将遍布全国各城镇地区，</w:t>
      </w:r>
      <w:r>
        <w:t>业务量预计约为</w:t>
      </w:r>
      <w:r>
        <w:rPr>
          <w:rFonts w:hint="eastAsia"/>
        </w:rPr>
        <w:t>265</w:t>
      </w:r>
      <w:r>
        <w:t>万元/年</w:t>
      </w:r>
      <w:r>
        <w:rPr>
          <w:rFonts w:hint="eastAsia"/>
        </w:rPr>
        <w:t>，</w:t>
      </w:r>
      <w:r>
        <w:rPr>
          <w:rFonts w:hint="eastAsia"/>
          <w:kern w:val="2"/>
        </w:rPr>
        <w:t>劳务</w:t>
      </w:r>
      <w:r>
        <w:rPr>
          <w:rFonts w:hint="eastAsia"/>
        </w:rPr>
        <w:t>用工总人数约需40人（部分人员需带车配送，</w:t>
      </w:r>
      <w:r>
        <w:rPr>
          <w:rFonts w:hint="eastAsia"/>
          <w:kern w:val="2"/>
        </w:rPr>
        <w:t>以实际需求为准）；劳务人员根据项目实行按月外包</w:t>
      </w:r>
      <w:bookmarkStart w:id="122" w:name="OLE_LINK7"/>
      <w:r>
        <w:rPr>
          <w:rFonts w:hint="eastAsia"/>
          <w:kern w:val="2"/>
        </w:rPr>
        <w:t>，用工期限同项目期限一致</w:t>
      </w:r>
      <w:bookmarkEnd w:id="122"/>
      <w:r>
        <w:rPr>
          <w:rFonts w:hint="eastAsia"/>
          <w:kern w:val="2"/>
        </w:rPr>
        <w:t>，具体需求详见</w:t>
      </w:r>
      <w:r>
        <w:rPr>
          <w:rFonts w:hint="eastAsia"/>
        </w:rPr>
        <w:t>第五章投标报价</w:t>
      </w:r>
      <w:r>
        <w:rPr>
          <w:rFonts w:hint="eastAsia"/>
          <w:kern w:val="2"/>
        </w:rPr>
        <w:t>；评选1名</w:t>
      </w:r>
      <w:r>
        <w:rPr>
          <w:rFonts w:hint="eastAsia"/>
          <w:kern w:val="2"/>
          <w:lang w:eastAsia="zh-CN"/>
        </w:rPr>
        <w:t>中标</w:t>
      </w:r>
      <w:r>
        <w:rPr>
          <w:rFonts w:hint="eastAsia"/>
          <w:kern w:val="2"/>
        </w:rPr>
        <w:t>人；</w:t>
      </w:r>
    </w:p>
    <w:p>
      <w:pPr>
        <w:spacing w:line="496" w:lineRule="exact"/>
        <w:ind w:firstLine="420"/>
        <w:jc w:val="left"/>
        <w:rPr>
          <w:rFonts w:hint="eastAsia" w:ascii="宋体" w:hAnsi="宋体" w:cs="宋体"/>
          <w:sz w:val="24"/>
        </w:rPr>
      </w:pPr>
      <w:r>
        <w:rPr>
          <w:rFonts w:hint="eastAsia" w:ascii="宋体" w:hAnsi="宋体" w:cs="宋体"/>
          <w:sz w:val="24"/>
        </w:rPr>
        <w:t>1.4 投标人对以上</w:t>
      </w:r>
      <w:r>
        <w:rPr>
          <w:rFonts w:hint="eastAsia" w:ascii="宋体" w:hAnsi="宋体" w:cs="宋体"/>
          <w:sz w:val="24"/>
          <w:lang w:val="en-US" w:eastAsia="zh-CN"/>
        </w:rPr>
        <w:t>3</w:t>
      </w:r>
      <w:r>
        <w:rPr>
          <w:rFonts w:hint="eastAsia" w:ascii="宋体" w:hAnsi="宋体" w:cs="宋体"/>
          <w:sz w:val="24"/>
        </w:rPr>
        <w:t>个标段均可兼投兼中。</w:t>
      </w:r>
    </w:p>
    <w:bookmarkEnd w:id="121"/>
    <w:p>
      <w:pPr>
        <w:spacing w:line="496" w:lineRule="exact"/>
        <w:ind w:firstLine="484" w:firstLineChars="202"/>
        <w:jc w:val="left"/>
        <w:rPr>
          <w:rFonts w:hint="eastAsia" w:ascii="宋体" w:hAnsi="宋体" w:cs="宋体"/>
          <w:sz w:val="24"/>
        </w:rPr>
      </w:pPr>
      <w:r>
        <w:rPr>
          <w:rFonts w:hint="eastAsia" w:ascii="宋体" w:hAnsi="宋体" w:cs="宋体"/>
          <w:sz w:val="24"/>
        </w:rPr>
        <w:t>欢迎合格的投标人前来参与，具体报价要求等信息详见招标文件。</w:t>
      </w:r>
    </w:p>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Pr>
        <w:pStyle w:val="5"/>
        <w:spacing w:line="496" w:lineRule="exact"/>
        <w:jc w:val="left"/>
        <w:rPr>
          <w:rFonts w:hint="eastAsia" w:ascii="宋体" w:hAnsi="宋体" w:eastAsia="宋体" w:cs="宋体"/>
        </w:rPr>
      </w:pPr>
      <w:bookmarkStart w:id="123" w:name="_Toc3339"/>
      <w:bookmarkStart w:id="124" w:name="_Toc22780"/>
      <w:bookmarkStart w:id="125" w:name="_Toc15586"/>
      <w:bookmarkStart w:id="126" w:name="_Toc22692"/>
      <w:bookmarkStart w:id="127" w:name="_Toc22200"/>
      <w:bookmarkStart w:id="128" w:name="_Toc19528"/>
      <w:bookmarkStart w:id="129" w:name="_Toc13027"/>
      <w:bookmarkStart w:id="130" w:name="_Toc14373"/>
      <w:bookmarkStart w:id="131" w:name="_Toc24508"/>
      <w:bookmarkStart w:id="132" w:name="_Toc13266"/>
      <w:bookmarkStart w:id="133" w:name="_Toc9860"/>
      <w:bookmarkStart w:id="134" w:name="_Toc1156"/>
      <w:bookmarkStart w:id="135" w:name="_Toc11508"/>
      <w:bookmarkStart w:id="136" w:name="_Toc3939"/>
      <w:bookmarkStart w:id="137" w:name="_Toc16202"/>
      <w:bookmarkStart w:id="138" w:name="_Toc152042290"/>
      <w:bookmarkStart w:id="139" w:name="_Toc2431"/>
      <w:bookmarkStart w:id="140" w:name="_Toc7940"/>
      <w:bookmarkStart w:id="141" w:name="_Toc17890"/>
      <w:bookmarkStart w:id="142" w:name="_Toc25207"/>
      <w:bookmarkStart w:id="143" w:name="_Toc7237"/>
      <w:bookmarkStart w:id="144" w:name="_Toc246996160"/>
      <w:bookmarkStart w:id="145" w:name="_Toc26303"/>
      <w:bookmarkStart w:id="146" w:name="_Toc246996903"/>
      <w:bookmarkStart w:id="147" w:name="_Toc20424"/>
      <w:bookmarkStart w:id="148" w:name="_Toc247085674"/>
      <w:bookmarkStart w:id="149" w:name="_Toc457992944"/>
      <w:bookmarkStart w:id="150" w:name="_Toc179632530"/>
      <w:bookmarkStart w:id="151" w:name="_Toc29300"/>
      <w:bookmarkStart w:id="152" w:name="_Toc144974482"/>
      <w:bookmarkStart w:id="153" w:name="_Toc17403"/>
      <w:bookmarkStart w:id="154" w:name="_Toc18849"/>
      <w:bookmarkStart w:id="155" w:name="_Toc29720"/>
      <w:bookmarkStart w:id="156" w:name="_Toc24632"/>
      <w:bookmarkStart w:id="157" w:name="_Toc20796"/>
      <w:bookmarkStart w:id="158" w:name="_Toc152045514"/>
      <w:bookmarkStart w:id="159" w:name="_Toc31485"/>
      <w:bookmarkStart w:id="160" w:name="_Toc20526"/>
      <w:bookmarkStart w:id="161" w:name="_Toc2882"/>
      <w:r>
        <w:rPr>
          <w:rFonts w:hint="eastAsia" w:ascii="宋体" w:hAnsi="宋体" w:eastAsia="宋体" w:cs="宋体"/>
        </w:rPr>
        <w:t>2. 投标人资格要求</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spacing w:line="496" w:lineRule="exact"/>
        <w:ind w:firstLine="480" w:firstLineChars="200"/>
        <w:jc w:val="left"/>
        <w:rPr>
          <w:rFonts w:hint="eastAsia" w:ascii="宋体" w:hAnsi="宋体" w:cs="宋体"/>
          <w:sz w:val="24"/>
        </w:rPr>
      </w:pPr>
      <w:r>
        <w:rPr>
          <w:rFonts w:hint="eastAsia" w:ascii="宋体" w:hAnsi="宋体" w:cs="宋体"/>
          <w:sz w:val="24"/>
        </w:rPr>
        <w:t>2.1 投标人须在中华人民共和国境内注册的具有独立承担民事责任能力的法人</w:t>
      </w:r>
      <w:r>
        <w:rPr>
          <w:sz w:val="24"/>
        </w:rPr>
        <w:t>（须提供营业执照复印件加盖公章</w:t>
      </w:r>
      <w:r>
        <w:rPr>
          <w:rFonts w:hint="eastAsia"/>
          <w:sz w:val="24"/>
        </w:rPr>
        <w:t>；</w:t>
      </w:r>
      <w:r>
        <w:rPr>
          <w:rFonts w:hint="eastAsia" w:ascii="宋体" w:hAnsi="宋体" w:cs="宋体"/>
          <w:sz w:val="24"/>
        </w:rPr>
        <w:t>分公司投标须总公司授权，同时提供总公司营业执照及盖章授权函）；</w:t>
      </w:r>
    </w:p>
    <w:p>
      <w:pPr>
        <w:spacing w:line="496" w:lineRule="exact"/>
        <w:ind w:firstLine="480" w:firstLineChars="200"/>
        <w:jc w:val="left"/>
        <w:rPr>
          <w:rFonts w:hint="eastAsia" w:ascii="宋体" w:hAnsi="宋体" w:cs="宋体"/>
          <w:sz w:val="24"/>
        </w:rPr>
      </w:pPr>
      <w:r>
        <w:rPr>
          <w:rFonts w:hint="eastAsia" w:ascii="宋体" w:hAnsi="宋体" w:cs="宋体"/>
          <w:sz w:val="24"/>
        </w:rPr>
        <w:t>2.2 投标人须</w:t>
      </w:r>
      <w:bookmarkStart w:id="162" w:name="OLE_LINK8"/>
      <w:r>
        <w:rPr>
          <w:rFonts w:hint="eastAsia" w:ascii="宋体" w:hAnsi="宋体" w:cs="宋体"/>
          <w:sz w:val="24"/>
        </w:rPr>
        <w:t>具备人力资源和社会保障部门颁发的《人力资源服务许可证》及《劳务派遣经营许可证》，提供证书复印件或扫描件，并加盖公章；</w:t>
      </w:r>
    </w:p>
    <w:bookmarkEnd w:id="162"/>
    <w:p>
      <w:pPr>
        <w:widowControl/>
        <w:wordWrap w:val="0"/>
        <w:spacing w:line="496" w:lineRule="exact"/>
        <w:ind w:firstLine="480" w:firstLineChars="200"/>
        <w:jc w:val="left"/>
        <w:rPr>
          <w:rFonts w:hint="eastAsia" w:ascii="宋体" w:hAnsi="宋体" w:cs="宋体"/>
          <w:sz w:val="24"/>
        </w:rPr>
      </w:pPr>
      <w:r>
        <w:rPr>
          <w:rFonts w:hint="eastAsia" w:cs="宋体"/>
          <w:sz w:val="24"/>
        </w:rPr>
        <w:t>2</w:t>
      </w:r>
      <w:r>
        <w:rPr>
          <w:rFonts w:hint="eastAsia" w:ascii="宋体" w:hAnsi="宋体" w:cs="宋体"/>
          <w:sz w:val="24"/>
        </w:rPr>
        <w:t xml:space="preserve">.3 </w:t>
      </w:r>
      <w:r>
        <w:rPr>
          <w:rFonts w:hint="eastAsia" w:cs="宋体"/>
          <w:sz w:val="24"/>
        </w:rPr>
        <w:t>投标</w:t>
      </w:r>
      <w:r>
        <w:rPr>
          <w:rFonts w:hint="eastAsia" w:ascii="宋体" w:hAnsi="宋体" w:cs="宋体"/>
          <w:sz w:val="24"/>
        </w:rPr>
        <w:t>人在“信用中国”网站（www.creditchina.gov.cn）、中国政府采购网（www.ccgp.gov.cn）没有被列入失信被执行人、重大税收违法失信主体、政府采购严重违法失信行为记录名单（以开标时在“信用中国”网站（www.creditchina.gov.cn）及中国政府采购网（www.ccgp.gov.cn）查询结果为准，如相关失信记录已失效，</w:t>
      </w:r>
      <w:r>
        <w:rPr>
          <w:rFonts w:hint="eastAsia" w:cs="宋体"/>
          <w:sz w:val="24"/>
        </w:rPr>
        <w:t>投标</w:t>
      </w:r>
      <w:r>
        <w:rPr>
          <w:rFonts w:hint="eastAsia" w:ascii="宋体" w:hAnsi="宋体" w:cs="宋体"/>
          <w:sz w:val="24"/>
        </w:rPr>
        <w:t>人需提供相关证明资料并加盖公章）；格式见《信用记录承诺函》。</w:t>
      </w:r>
    </w:p>
    <w:p>
      <w:pPr>
        <w:spacing w:line="496" w:lineRule="exact"/>
        <w:ind w:firstLine="480" w:firstLineChars="200"/>
        <w:jc w:val="left"/>
        <w:rPr>
          <w:rFonts w:hint="eastAsia" w:ascii="宋体" w:hAnsi="宋体" w:cs="宋体"/>
          <w:sz w:val="24"/>
        </w:rPr>
      </w:pPr>
      <w:r>
        <w:rPr>
          <w:rFonts w:hint="eastAsia" w:ascii="宋体" w:hAnsi="宋体" w:cs="宋体"/>
          <w:sz w:val="24"/>
        </w:rPr>
        <w:t>2.4不接受联合体投标；</w:t>
      </w:r>
    </w:p>
    <w:p>
      <w:pPr>
        <w:widowControl/>
        <w:spacing w:line="496" w:lineRule="exact"/>
        <w:ind w:firstLine="480" w:firstLineChars="200"/>
        <w:jc w:val="left"/>
        <w:rPr>
          <w:rFonts w:hint="eastAsia" w:ascii="宋体" w:hAnsi="宋体" w:cs="宋体"/>
          <w:sz w:val="24"/>
        </w:rPr>
      </w:pPr>
      <w:r>
        <w:rPr>
          <w:rFonts w:hint="eastAsia" w:ascii="宋体" w:hAnsi="宋体" w:cs="宋体"/>
          <w:sz w:val="24"/>
        </w:rPr>
        <w:t>2.5不接受违法分包和转包。</w:t>
      </w:r>
    </w:p>
    <w:p>
      <w:pPr>
        <w:pStyle w:val="5"/>
        <w:spacing w:line="496" w:lineRule="exact"/>
        <w:jc w:val="left"/>
        <w:rPr>
          <w:rFonts w:hint="eastAsia" w:ascii="宋体" w:hAnsi="宋体" w:eastAsia="宋体" w:cs="宋体"/>
        </w:rPr>
      </w:pPr>
      <w:bookmarkStart w:id="163" w:name="_Toc20781"/>
      <w:bookmarkStart w:id="164" w:name="_Toc10171"/>
      <w:bookmarkStart w:id="165" w:name="_Toc26107"/>
      <w:bookmarkStart w:id="166" w:name="_Toc12996"/>
      <w:bookmarkStart w:id="167" w:name="_Toc18978"/>
      <w:bookmarkStart w:id="168" w:name="_Toc16150"/>
      <w:bookmarkStart w:id="169" w:name="_Toc9183"/>
      <w:bookmarkStart w:id="170" w:name="_Toc30176"/>
      <w:bookmarkStart w:id="171" w:name="_Toc14995"/>
      <w:bookmarkStart w:id="172" w:name="_Toc15881"/>
      <w:bookmarkStart w:id="173" w:name="_Toc18425"/>
      <w:bookmarkStart w:id="174" w:name="_Toc431"/>
      <w:bookmarkStart w:id="175" w:name="_Toc22297"/>
      <w:bookmarkStart w:id="176" w:name="_Toc16875"/>
      <w:bookmarkStart w:id="177" w:name="_Toc31605"/>
      <w:bookmarkStart w:id="178" w:name="_Toc8017"/>
      <w:bookmarkStart w:id="179" w:name="_Toc23299"/>
      <w:bookmarkStart w:id="180" w:name="_Toc26819"/>
      <w:bookmarkStart w:id="181" w:name="_Toc12036"/>
      <w:bookmarkStart w:id="182" w:name="_Toc6297"/>
      <w:bookmarkStart w:id="183" w:name="_Toc12707"/>
      <w:bookmarkStart w:id="184" w:name="_Toc7523"/>
      <w:bookmarkStart w:id="185" w:name="_Toc2636"/>
      <w:bookmarkStart w:id="186" w:name="_Toc2597"/>
      <w:bookmarkStart w:id="187" w:name="_Toc21943"/>
      <w:bookmarkStart w:id="188" w:name="_Toc31211"/>
      <w:bookmarkStart w:id="189" w:name="_Toc435178357"/>
      <w:bookmarkStart w:id="190" w:name="_Toc17879"/>
      <w:bookmarkStart w:id="191" w:name="_Toc17306"/>
      <w:bookmarkStart w:id="192" w:name="_Toc4493"/>
      <w:bookmarkStart w:id="193" w:name="_Toc1827"/>
      <w:bookmarkStart w:id="194" w:name="_Toc15995066"/>
      <w:bookmarkStart w:id="195" w:name="_Toc23802"/>
      <w:bookmarkStart w:id="196" w:name="_Toc8398"/>
      <w:bookmarkStart w:id="197" w:name="_Toc10177"/>
      <w:bookmarkStart w:id="198" w:name="_Toc25478"/>
      <w:bookmarkStart w:id="199" w:name="_Toc17515"/>
      <w:bookmarkStart w:id="200" w:name="_Toc436215714"/>
      <w:bookmarkStart w:id="201" w:name="_Toc9054"/>
      <w:bookmarkStart w:id="202" w:name="_Toc19277"/>
      <w:bookmarkStart w:id="203" w:name="_Toc7053"/>
      <w:bookmarkStart w:id="204" w:name="_Toc20519"/>
      <w:bookmarkStart w:id="205" w:name="_Toc496601923"/>
      <w:bookmarkStart w:id="206" w:name="_Toc25233"/>
      <w:bookmarkStart w:id="207" w:name="_Toc247085675"/>
      <w:bookmarkStart w:id="208" w:name="_Toc25808"/>
      <w:bookmarkStart w:id="209" w:name="_Toc179632531"/>
      <w:bookmarkStart w:id="210" w:name="_Toc3303"/>
      <w:bookmarkStart w:id="211" w:name="_Toc11515"/>
      <w:bookmarkStart w:id="212" w:name="_Toc246996904"/>
      <w:bookmarkStart w:id="213" w:name="_Toc14457"/>
      <w:bookmarkStart w:id="214" w:name="_Toc152045515"/>
      <w:bookmarkStart w:id="215" w:name="_Toc457992945"/>
      <w:bookmarkStart w:id="216" w:name="_Toc5076"/>
      <w:bookmarkStart w:id="217" w:name="_Toc246996161"/>
      <w:bookmarkStart w:id="218" w:name="_Toc144974483"/>
      <w:bookmarkStart w:id="219" w:name="_Toc276"/>
      <w:bookmarkStart w:id="220" w:name="_Toc152042291"/>
      <w:r>
        <w:rPr>
          <w:rFonts w:hint="eastAsia" w:ascii="宋体" w:hAnsi="宋体" w:eastAsia="宋体" w:cs="宋体"/>
        </w:rPr>
        <w:t>3．报名方式</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spacing w:line="496" w:lineRule="exact"/>
        <w:ind w:firstLine="480" w:firstLineChars="200"/>
        <w:jc w:val="left"/>
        <w:rPr>
          <w:rFonts w:hint="eastAsia" w:ascii="宋体" w:hAnsi="宋体" w:cs="宋体"/>
          <w:sz w:val="24"/>
        </w:rPr>
      </w:pPr>
      <w:r>
        <w:rPr>
          <w:rFonts w:hint="eastAsia" w:ascii="宋体" w:hAnsi="宋体" w:cs="宋体"/>
          <w:sz w:val="24"/>
        </w:rPr>
        <w:t>3.1报名截止时间：</w:t>
      </w:r>
      <w:r>
        <w:rPr>
          <w:rFonts w:hint="eastAsia" w:ascii="宋体" w:hAnsi="宋体"/>
          <w:sz w:val="24"/>
          <w:highlight w:val="none"/>
          <w:u w:val="single"/>
        </w:rPr>
        <w:t>2026年</w:t>
      </w:r>
      <w:r>
        <w:rPr>
          <w:rFonts w:hint="eastAsia" w:ascii="宋体" w:hAnsi="宋体"/>
          <w:sz w:val="24"/>
          <w:highlight w:val="none"/>
          <w:u w:val="single"/>
          <w:lang w:val="en-US" w:eastAsia="zh-CN"/>
        </w:rPr>
        <w:t>10月12日14</w:t>
      </w:r>
      <w:r>
        <w:rPr>
          <w:rFonts w:hint="eastAsia" w:ascii="宋体" w:hAnsi="宋体"/>
          <w:sz w:val="24"/>
          <w:highlight w:val="none"/>
          <w:u w:val="single"/>
        </w:rPr>
        <w:t>时00分</w:t>
      </w:r>
      <w:r>
        <w:rPr>
          <w:rFonts w:hint="eastAsia" w:ascii="宋体" w:hAnsi="宋体" w:cs="宋体"/>
          <w:sz w:val="24"/>
        </w:rPr>
        <w:t>，联系人、联系方式见第11条。</w:t>
      </w:r>
    </w:p>
    <w:p>
      <w:pPr>
        <w:tabs>
          <w:tab w:val="left" w:pos="360"/>
        </w:tabs>
        <w:spacing w:line="496" w:lineRule="exact"/>
        <w:ind w:firstLine="480" w:firstLineChars="200"/>
        <w:jc w:val="left"/>
        <w:rPr>
          <w:rFonts w:hint="eastAsia" w:ascii="宋体" w:hAnsi="宋体" w:cs="宋体"/>
          <w:sz w:val="24"/>
        </w:rPr>
      </w:pPr>
      <w:r>
        <w:rPr>
          <w:rFonts w:hint="eastAsia" w:ascii="宋体" w:hAnsi="宋体" w:cs="宋体"/>
          <w:sz w:val="24"/>
        </w:rPr>
        <w:t>3.2可通过发送电子邮件的方式报名。凡有意投标者，可在报名截止时间前以发送电子邮件方式向招标人办理投标登记，并填写投标申请表（格式见招标文件第一章附表）。投标申请表加盖法人公章后，扫描成PDF格式文件发送至招标人邮箱。招标人邮箱：</w:t>
      </w:r>
      <w:r>
        <w:rPr>
          <w:rFonts w:hint="eastAsia" w:ascii="宋体" w:hAnsi="宋体" w:cs="宋体"/>
          <w:sz w:val="24"/>
          <w:u w:val="single"/>
        </w:rPr>
        <w:t xml:space="preserve"> </w:t>
      </w:r>
      <w:bookmarkStart w:id="221" w:name="OLE_LINK6"/>
      <w:r>
        <w:rPr>
          <w:rFonts w:hint="eastAsia" w:ascii="宋体" w:hAnsi="宋体" w:cs="宋体"/>
          <w:sz w:val="24"/>
          <w:u w:val="single"/>
        </w:rPr>
        <w:t>fxwlcg@nfmedia.com</w:t>
      </w:r>
      <w:bookmarkEnd w:id="221"/>
      <w:r>
        <w:rPr>
          <w:rFonts w:hint="eastAsia" w:ascii="宋体" w:hAnsi="宋体" w:cs="宋体"/>
          <w:sz w:val="24"/>
          <w:u w:val="single"/>
        </w:rPr>
        <w:t>。</w:t>
      </w:r>
    </w:p>
    <w:p>
      <w:pPr>
        <w:pStyle w:val="5"/>
        <w:spacing w:line="496" w:lineRule="exact"/>
        <w:jc w:val="left"/>
        <w:rPr>
          <w:rFonts w:hint="eastAsia" w:ascii="宋体" w:hAnsi="宋体" w:eastAsia="宋体" w:cs="宋体"/>
        </w:rPr>
      </w:pPr>
      <w:bookmarkStart w:id="222" w:name="_Toc23322"/>
      <w:bookmarkStart w:id="223" w:name="_Toc21130"/>
      <w:bookmarkStart w:id="224" w:name="_Toc27933"/>
      <w:bookmarkStart w:id="225" w:name="_Toc15765"/>
      <w:bookmarkStart w:id="226" w:name="_Toc11054"/>
      <w:bookmarkStart w:id="227" w:name="_Toc15290"/>
      <w:bookmarkStart w:id="228" w:name="_Toc11401"/>
      <w:bookmarkStart w:id="229" w:name="_Toc22488"/>
      <w:bookmarkStart w:id="230" w:name="_Toc24745"/>
      <w:bookmarkStart w:id="231" w:name="_Toc9203"/>
      <w:bookmarkStart w:id="232" w:name="_Toc30559"/>
      <w:bookmarkStart w:id="233" w:name="_Toc3448"/>
      <w:bookmarkStart w:id="234" w:name="_Toc4192"/>
      <w:bookmarkStart w:id="235" w:name="_Toc13152"/>
      <w:bookmarkStart w:id="236" w:name="_Toc28644"/>
      <w:bookmarkStart w:id="237" w:name="_Toc29793"/>
      <w:bookmarkStart w:id="238" w:name="_Toc15876"/>
      <w:bookmarkStart w:id="239" w:name="_Toc27241"/>
      <w:bookmarkStart w:id="240" w:name="_Toc2490"/>
      <w:bookmarkStart w:id="241" w:name="_Toc26917"/>
      <w:bookmarkStart w:id="242" w:name="_Toc28093"/>
      <w:bookmarkStart w:id="243" w:name="_Toc13982"/>
      <w:bookmarkStart w:id="244" w:name="_Toc457992946"/>
      <w:bookmarkStart w:id="245" w:name="_Toc19475"/>
      <w:bookmarkStart w:id="246" w:name="_Toc12364"/>
      <w:bookmarkStart w:id="247" w:name="_Toc15210"/>
      <w:bookmarkStart w:id="248" w:name="_Toc2395"/>
      <w:bookmarkStart w:id="249" w:name="_Toc3902"/>
      <w:bookmarkStart w:id="250" w:name="_Toc25523"/>
      <w:bookmarkStart w:id="251" w:name="_Toc21670"/>
      <w:bookmarkStart w:id="252" w:name="_Toc26713"/>
      <w:bookmarkStart w:id="253" w:name="_Toc16063"/>
      <w:r>
        <w:rPr>
          <w:rFonts w:hint="eastAsia" w:ascii="宋体" w:hAnsi="宋体" w:eastAsia="宋体" w:cs="宋体"/>
        </w:rPr>
        <w:t>4.投标保证金缴纳</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spacing w:line="496" w:lineRule="exact"/>
        <w:ind w:firstLine="480" w:firstLineChars="200"/>
        <w:jc w:val="left"/>
        <w:rPr>
          <w:rFonts w:hint="eastAsia" w:ascii="宋体" w:hAnsi="宋体" w:cs="宋体"/>
          <w:sz w:val="24"/>
        </w:rPr>
      </w:pPr>
      <w:r>
        <w:rPr>
          <w:rFonts w:hint="eastAsia" w:ascii="宋体" w:hAnsi="宋体" w:cs="宋体"/>
          <w:sz w:val="24"/>
        </w:rPr>
        <w:t>4.1 投标保证金  ￥10000 元(大写：壹万元整），所有投标人必须缴纳，否则，其报价文件无效。</w:t>
      </w:r>
    </w:p>
    <w:p>
      <w:pPr>
        <w:spacing w:line="496" w:lineRule="exact"/>
        <w:ind w:firstLine="480" w:firstLineChars="200"/>
        <w:jc w:val="left"/>
        <w:rPr>
          <w:rFonts w:hint="eastAsia" w:ascii="宋体" w:hAnsi="宋体" w:cs="宋体"/>
          <w:sz w:val="24"/>
        </w:rPr>
      </w:pPr>
      <w:r>
        <w:rPr>
          <w:rFonts w:hint="eastAsia" w:ascii="宋体" w:hAnsi="宋体" w:cs="宋体"/>
          <w:sz w:val="24"/>
        </w:rPr>
        <w:t>4.2 投标保证金缴纳方式</w:t>
      </w:r>
      <w:r>
        <w:rPr>
          <w:rFonts w:hint="eastAsia" w:ascii="宋体" w:hAnsi="宋体" w:cs="宋体"/>
          <w:b/>
          <w:bCs/>
          <w:sz w:val="24"/>
        </w:rPr>
        <w:t>：</w:t>
      </w:r>
      <w:r>
        <w:rPr>
          <w:rFonts w:hint="eastAsia" w:ascii="宋体" w:hAnsi="宋体" w:cs="宋体"/>
          <w:sz w:val="24"/>
        </w:rPr>
        <w:t>银行转账方式缴纳，须在投标文件递交截止时间之前到达招标人保证金账户。保证金必须由投标人自有对公账户转出，不允许代缴，不接受银行柜台缴纳现金方式。汇款时，需在汇款单备注栏添加本项目的项目编号，例如 “投标保证金ZB202614”。  </w:t>
      </w:r>
    </w:p>
    <w:p>
      <w:pPr>
        <w:tabs>
          <w:tab w:val="left" w:pos="360"/>
        </w:tabs>
        <w:spacing w:line="496" w:lineRule="exact"/>
        <w:ind w:firstLine="480" w:firstLineChars="200"/>
        <w:jc w:val="left"/>
        <w:rPr>
          <w:rFonts w:hint="eastAsia" w:ascii="宋体" w:hAnsi="宋体" w:cs="宋体"/>
          <w:sz w:val="24"/>
        </w:rPr>
      </w:pPr>
      <w:r>
        <w:rPr>
          <w:rFonts w:hint="eastAsia" w:ascii="宋体" w:hAnsi="宋体" w:cs="宋体"/>
          <w:sz w:val="24"/>
        </w:rPr>
        <w:t>招标人开户银行： </w:t>
      </w:r>
      <w:r>
        <w:rPr>
          <w:rFonts w:hint="eastAsia" w:ascii="宋体" w:hAnsi="宋体" w:cs="宋体"/>
          <w:sz w:val="24"/>
        </w:rPr>
        <w:br w:type="textWrapping"/>
      </w:r>
      <w:r>
        <w:rPr>
          <w:rFonts w:hint="eastAsia" w:ascii="宋体" w:hAnsi="宋体" w:cs="宋体"/>
          <w:sz w:val="24"/>
        </w:rPr>
        <w:t xml:space="preserve">    单 位：广东省南方传媒发行物流有限公司 </w:t>
      </w:r>
    </w:p>
    <w:p>
      <w:pPr>
        <w:tabs>
          <w:tab w:val="left" w:pos="360"/>
        </w:tabs>
        <w:spacing w:line="496" w:lineRule="exact"/>
        <w:ind w:firstLine="480" w:firstLineChars="200"/>
        <w:jc w:val="left"/>
        <w:rPr>
          <w:rFonts w:hint="eastAsia" w:ascii="宋体" w:hAnsi="宋体" w:cs="宋体"/>
          <w:sz w:val="24"/>
        </w:rPr>
      </w:pPr>
      <w:r>
        <w:rPr>
          <w:rFonts w:hint="eastAsia" w:ascii="宋体" w:hAnsi="宋体" w:cs="宋体"/>
          <w:sz w:val="24"/>
        </w:rPr>
        <w:t xml:space="preserve">开 户 行：中国农业银行广州五羊新城支行  </w:t>
      </w:r>
    </w:p>
    <w:p>
      <w:pPr>
        <w:tabs>
          <w:tab w:val="left" w:pos="360"/>
        </w:tabs>
        <w:spacing w:line="496" w:lineRule="exact"/>
        <w:ind w:firstLine="480" w:firstLineChars="200"/>
        <w:jc w:val="left"/>
        <w:rPr>
          <w:rFonts w:hint="eastAsia" w:ascii="宋体" w:hAnsi="宋体" w:cs="宋体"/>
          <w:sz w:val="24"/>
        </w:rPr>
      </w:pPr>
      <w:r>
        <w:rPr>
          <w:rFonts w:hint="eastAsia" w:ascii="宋体" w:hAnsi="宋体" w:cs="宋体"/>
          <w:sz w:val="24"/>
        </w:rPr>
        <w:t>账 号：44030401040003075</w:t>
      </w:r>
    </w:p>
    <w:p>
      <w:pPr>
        <w:tabs>
          <w:tab w:val="left" w:pos="360"/>
        </w:tabs>
        <w:spacing w:line="496" w:lineRule="exact"/>
        <w:ind w:firstLine="480" w:firstLineChars="200"/>
        <w:jc w:val="left"/>
        <w:rPr>
          <w:rFonts w:hint="eastAsia" w:ascii="宋体" w:hAnsi="宋体" w:cs="宋体"/>
          <w:sz w:val="24"/>
        </w:rPr>
      </w:pPr>
      <w:r>
        <w:rPr>
          <w:rFonts w:hint="eastAsia" w:ascii="宋体" w:hAnsi="宋体" w:cs="宋体"/>
          <w:sz w:val="24"/>
        </w:rPr>
        <w:t>保证金到账咨询电话：020-87379445，龙先生；</w:t>
      </w:r>
    </w:p>
    <w:p>
      <w:pPr>
        <w:pStyle w:val="5"/>
        <w:spacing w:line="496" w:lineRule="exact"/>
        <w:jc w:val="left"/>
        <w:rPr>
          <w:rFonts w:hint="eastAsia" w:ascii="宋体" w:hAnsi="宋体" w:eastAsia="宋体" w:cs="宋体"/>
        </w:rPr>
      </w:pPr>
      <w:bookmarkStart w:id="254" w:name="_Toc13509"/>
      <w:bookmarkStart w:id="255" w:name="_Toc29021"/>
      <w:bookmarkStart w:id="256" w:name="_Toc440288589"/>
      <w:bookmarkStart w:id="257" w:name="_Toc17939"/>
      <w:bookmarkStart w:id="258" w:name="_Toc20948"/>
      <w:bookmarkStart w:id="259" w:name="_Toc30439"/>
      <w:bookmarkStart w:id="260" w:name="_Toc2353"/>
      <w:bookmarkStart w:id="261" w:name="_Toc695"/>
      <w:bookmarkStart w:id="262" w:name="_Toc25776"/>
      <w:bookmarkStart w:id="263" w:name="_Toc28767"/>
      <w:bookmarkStart w:id="264" w:name="_Toc1452"/>
      <w:bookmarkStart w:id="265" w:name="_Toc8774"/>
      <w:bookmarkStart w:id="266" w:name="_Toc17137"/>
      <w:bookmarkStart w:id="267" w:name="_Toc11929"/>
      <w:bookmarkStart w:id="268" w:name="_Toc27202"/>
      <w:bookmarkStart w:id="269" w:name="_Toc31901"/>
      <w:bookmarkStart w:id="270" w:name="_Toc16962"/>
      <w:bookmarkStart w:id="271" w:name="_Toc32277"/>
      <w:bookmarkStart w:id="272" w:name="_Toc30692"/>
      <w:bookmarkStart w:id="273" w:name="_Toc453143220"/>
      <w:bookmarkStart w:id="274" w:name="_Toc13350"/>
      <w:bookmarkStart w:id="275" w:name="_Toc24888"/>
      <w:bookmarkStart w:id="276" w:name="_Toc31045"/>
      <w:bookmarkStart w:id="277" w:name="_Toc3613"/>
      <w:bookmarkStart w:id="278" w:name="_Toc17122"/>
      <w:bookmarkStart w:id="279" w:name="_Toc21192"/>
      <w:bookmarkStart w:id="280" w:name="_Toc30162"/>
      <w:bookmarkStart w:id="281" w:name="_Toc12697"/>
      <w:bookmarkStart w:id="282" w:name="_Toc457992947"/>
      <w:bookmarkStart w:id="283" w:name="_Toc29545"/>
      <w:bookmarkStart w:id="284" w:name="_Toc22819"/>
      <w:bookmarkStart w:id="285" w:name="_Toc15416"/>
      <w:bookmarkStart w:id="286" w:name="_Toc30807"/>
      <w:bookmarkStart w:id="287" w:name="_Toc7491"/>
      <w:r>
        <w:rPr>
          <w:rFonts w:hint="eastAsia" w:ascii="宋体" w:hAnsi="宋体" w:eastAsia="宋体" w:cs="宋体"/>
        </w:rPr>
        <w:t>5.资格审查方式</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autoSpaceDE w:val="0"/>
        <w:autoSpaceDN w:val="0"/>
        <w:adjustRightInd w:val="0"/>
        <w:spacing w:line="496" w:lineRule="exact"/>
        <w:ind w:firstLine="480" w:firstLineChars="200"/>
        <w:jc w:val="left"/>
        <w:rPr>
          <w:kern w:val="0"/>
          <w:sz w:val="24"/>
          <w:lang w:val="zh-CN"/>
        </w:rPr>
      </w:pPr>
      <w:r>
        <w:rPr>
          <w:rFonts w:hint="eastAsia"/>
          <w:kern w:val="0"/>
          <w:sz w:val="24"/>
          <w:lang w:val="zh-CN"/>
        </w:rPr>
        <w:t>本项目采用资格后审方式，由招标人自行组建的评标委员会负责。</w:t>
      </w:r>
    </w:p>
    <w:p>
      <w:pPr>
        <w:pStyle w:val="5"/>
        <w:spacing w:line="496" w:lineRule="exact"/>
        <w:jc w:val="left"/>
        <w:rPr>
          <w:rFonts w:hint="eastAsia" w:ascii="宋体" w:hAnsi="宋体" w:eastAsia="宋体" w:cs="宋体"/>
        </w:rPr>
      </w:pPr>
      <w:bookmarkStart w:id="288" w:name="_Toc29515"/>
      <w:bookmarkStart w:id="289" w:name="_Toc26036"/>
      <w:bookmarkStart w:id="290" w:name="_Toc1140"/>
      <w:bookmarkStart w:id="291" w:name="_Toc20528"/>
      <w:bookmarkStart w:id="292" w:name="_Toc12921"/>
      <w:bookmarkStart w:id="293" w:name="_Toc31486"/>
      <w:bookmarkStart w:id="294" w:name="_Toc20937"/>
      <w:bookmarkStart w:id="295" w:name="_Toc29570"/>
      <w:bookmarkStart w:id="296" w:name="_Toc27974"/>
      <w:bookmarkStart w:id="297" w:name="_Toc11920"/>
      <w:bookmarkStart w:id="298" w:name="_Toc6629"/>
      <w:bookmarkStart w:id="299" w:name="_Toc12527"/>
      <w:bookmarkStart w:id="300" w:name="_Toc18359"/>
      <w:bookmarkStart w:id="301" w:name="_Toc28028"/>
      <w:r>
        <w:rPr>
          <w:rFonts w:hint="eastAsia" w:ascii="宋体" w:hAnsi="宋体" w:eastAsia="宋体" w:cs="宋体"/>
        </w:rPr>
        <w:t>6.招标文件的获取</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wordWrap w:val="0"/>
        <w:autoSpaceDE w:val="0"/>
        <w:autoSpaceDN w:val="0"/>
        <w:adjustRightInd w:val="0"/>
        <w:spacing w:line="496"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招标公告网上发布时，同时发布招标文件，投标人自行在招标人网站（https://zbtb.southcn.com/node_9381c01914）下载。招标文件一经在招标人网站发布，视作已发放给所有投标人。</w:t>
      </w:r>
    </w:p>
    <w:p>
      <w:pPr>
        <w:pStyle w:val="5"/>
        <w:spacing w:line="496" w:lineRule="exact"/>
        <w:jc w:val="left"/>
      </w:pPr>
      <w:bookmarkStart w:id="302" w:name="_Toc4691"/>
      <w:bookmarkStart w:id="303" w:name="_Toc19778"/>
      <w:bookmarkStart w:id="304" w:name="_Toc6489"/>
      <w:bookmarkStart w:id="305" w:name="_Toc23804"/>
      <w:bookmarkStart w:id="306" w:name="_Toc16610"/>
      <w:bookmarkStart w:id="307" w:name="_Toc32252"/>
      <w:bookmarkStart w:id="308" w:name="_Toc14659"/>
      <w:bookmarkStart w:id="309" w:name="_Toc18110"/>
      <w:bookmarkStart w:id="310" w:name="_Toc20804"/>
      <w:bookmarkStart w:id="311" w:name="_Toc16094"/>
      <w:bookmarkStart w:id="312" w:name="_Toc6612"/>
      <w:bookmarkStart w:id="313" w:name="_Toc11434"/>
      <w:bookmarkStart w:id="314" w:name="_Toc6453"/>
      <w:bookmarkStart w:id="315" w:name="_Toc13825"/>
      <w:bookmarkStart w:id="316" w:name="_Toc8258"/>
      <w:bookmarkStart w:id="317" w:name="_Toc453143223"/>
      <w:bookmarkStart w:id="318" w:name="_Toc31958"/>
      <w:bookmarkStart w:id="319" w:name="_Toc12314"/>
      <w:bookmarkStart w:id="320" w:name="_Toc457992949"/>
      <w:bookmarkStart w:id="321" w:name="_Toc23265"/>
      <w:bookmarkStart w:id="322" w:name="_Toc31969"/>
      <w:bookmarkStart w:id="323" w:name="_Toc10413"/>
      <w:bookmarkStart w:id="324" w:name="_Toc15500"/>
      <w:bookmarkStart w:id="325" w:name="_Toc13912"/>
      <w:bookmarkStart w:id="326" w:name="_Toc16605"/>
      <w:bookmarkStart w:id="327" w:name="_Toc32058"/>
      <w:bookmarkStart w:id="328" w:name="_Toc2629"/>
      <w:bookmarkStart w:id="329" w:name="_Toc3224"/>
      <w:bookmarkStart w:id="330" w:name="_Toc254"/>
      <w:bookmarkStart w:id="331" w:name="_Toc28684"/>
      <w:bookmarkStart w:id="332" w:name="_Toc17664"/>
      <w:bookmarkStart w:id="333" w:name="_Toc435178358"/>
      <w:bookmarkStart w:id="334" w:name="_Toc21221"/>
      <w:bookmarkStart w:id="335" w:name="_Toc440288592"/>
      <w:r>
        <w:rPr>
          <w:rFonts w:hint="eastAsia"/>
        </w:rPr>
        <w:t>7.发布招标公告时间：从2026年</w:t>
      </w:r>
      <w:r>
        <w:rPr>
          <w:rFonts w:hint="eastAsia"/>
          <w:lang w:eastAsia="zh-CN"/>
        </w:rPr>
        <w:t>9月22日</w:t>
      </w:r>
      <w:r>
        <w:rPr>
          <w:rFonts w:hint="eastAsia"/>
        </w:rPr>
        <w:t>至2026年</w:t>
      </w:r>
      <w:r>
        <w:rPr>
          <w:rFonts w:hint="eastAsia"/>
          <w:lang w:eastAsia="zh-CN"/>
        </w:rPr>
        <w:t>10月12日</w:t>
      </w:r>
      <w:r>
        <w:rPr>
          <w:rFonts w:hint="eastAsia"/>
        </w:rPr>
        <w:t>14时。</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Pr>
        <w:autoSpaceDE w:val="0"/>
        <w:autoSpaceDN w:val="0"/>
        <w:adjustRightInd w:val="0"/>
        <w:spacing w:line="496" w:lineRule="exact"/>
        <w:jc w:val="left"/>
        <w:rPr>
          <w:rFonts w:ascii="宋体" w:cs="宋体"/>
          <w:kern w:val="0"/>
          <w:sz w:val="24"/>
          <w:lang w:val="zh-CN"/>
        </w:rPr>
      </w:pPr>
      <w:r>
        <w:rPr>
          <w:rFonts w:hint="eastAsia"/>
          <w:kern w:val="0"/>
          <w:sz w:val="24"/>
          <w:lang w:val="zh-CN"/>
        </w:rPr>
        <w:t>注：发布招标公告的时间为招标公告发出之日起至递交招标文件截止时间止。</w:t>
      </w:r>
    </w:p>
    <w:p>
      <w:pPr>
        <w:pStyle w:val="5"/>
        <w:spacing w:line="496" w:lineRule="exact"/>
        <w:jc w:val="left"/>
      </w:pPr>
      <w:bookmarkStart w:id="336" w:name="_Toc19749"/>
      <w:bookmarkStart w:id="337" w:name="_Toc24772"/>
      <w:bookmarkStart w:id="338" w:name="_Toc9554"/>
      <w:bookmarkStart w:id="339" w:name="_Toc6243"/>
      <w:bookmarkStart w:id="340" w:name="_Toc32309"/>
      <w:bookmarkStart w:id="341" w:name="_Toc13309"/>
      <w:bookmarkStart w:id="342" w:name="_Toc10302"/>
      <w:bookmarkStart w:id="343" w:name="_Toc1346"/>
      <w:bookmarkStart w:id="344" w:name="_Toc7094"/>
      <w:bookmarkStart w:id="345" w:name="_Toc19868"/>
      <w:bookmarkStart w:id="346" w:name="_Toc19372"/>
      <w:bookmarkStart w:id="347" w:name="_Toc20786"/>
      <w:bookmarkStart w:id="348" w:name="_Toc22239"/>
      <w:bookmarkStart w:id="349" w:name="_Toc19243"/>
      <w:r>
        <w:rPr>
          <w:rFonts w:hint="eastAsia"/>
        </w:rPr>
        <w:t>8.投标文件递交截止时间</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autoSpaceDE w:val="0"/>
        <w:autoSpaceDN w:val="0"/>
        <w:adjustRightInd w:val="0"/>
        <w:spacing w:line="496" w:lineRule="exact"/>
        <w:ind w:firstLine="480" w:firstLineChars="200"/>
        <w:jc w:val="left"/>
        <w:rPr>
          <w:rFonts w:hint="eastAsia" w:ascii="宋体" w:hAnsi="宋体" w:cs="宋体"/>
          <w:sz w:val="24"/>
        </w:rPr>
      </w:pPr>
      <w:r>
        <w:rPr>
          <w:rFonts w:hint="eastAsia" w:ascii="宋体" w:hAnsi="宋体" w:cs="宋体"/>
          <w:sz w:val="24"/>
        </w:rPr>
        <w:t>8.1 投标文件</w:t>
      </w:r>
      <w:r>
        <w:rPr>
          <w:rFonts w:hint="eastAsia" w:ascii="宋体" w:hAnsi="宋体" w:cs="宋体"/>
          <w:kern w:val="0"/>
          <w:sz w:val="24"/>
        </w:rPr>
        <w:t>递交截止时间（即投标截止时间）：</w:t>
      </w:r>
      <w:r>
        <w:rPr>
          <w:rFonts w:hint="eastAsia" w:ascii="宋体" w:hAnsi="宋体" w:cs="宋体"/>
          <w:sz w:val="24"/>
          <w:u w:val="single"/>
        </w:rPr>
        <w:t>2026年</w:t>
      </w:r>
      <w:r>
        <w:rPr>
          <w:rFonts w:hint="eastAsia" w:ascii="宋体" w:hAnsi="宋体" w:cs="宋体"/>
          <w:sz w:val="24"/>
          <w:u w:val="single"/>
          <w:lang w:eastAsia="zh-CN"/>
        </w:rPr>
        <w:t>10月12日</w:t>
      </w:r>
      <w:r>
        <w:rPr>
          <w:rFonts w:hint="eastAsia" w:ascii="宋体" w:hAnsi="宋体" w:cs="宋体"/>
          <w:sz w:val="24"/>
          <w:u w:val="single"/>
        </w:rPr>
        <w:t>14时00分</w:t>
      </w:r>
      <w:r>
        <w:rPr>
          <w:rFonts w:hint="eastAsia" w:ascii="宋体" w:hAnsi="宋体" w:cs="宋体"/>
          <w:sz w:val="24"/>
          <w:u w:val="none"/>
        </w:rPr>
        <w:t>，地点</w:t>
      </w:r>
      <w:r>
        <w:rPr>
          <w:rFonts w:hint="eastAsia" w:ascii="宋体" w:hAnsi="宋体" w:cs="宋体"/>
          <w:sz w:val="24"/>
        </w:rPr>
        <w:t>为广州市黄埔区黄埔大道东888号南方智媒大厦南塔20楼。</w:t>
      </w:r>
    </w:p>
    <w:p>
      <w:pPr>
        <w:autoSpaceDE w:val="0"/>
        <w:autoSpaceDN w:val="0"/>
        <w:adjustRightInd w:val="0"/>
        <w:spacing w:line="496" w:lineRule="exact"/>
        <w:ind w:firstLine="480" w:firstLineChars="200"/>
        <w:jc w:val="left"/>
        <w:rPr>
          <w:rFonts w:hint="eastAsia" w:ascii="宋体" w:hAnsi="宋体" w:cs="宋体"/>
          <w:kern w:val="0"/>
          <w:sz w:val="24"/>
        </w:rPr>
      </w:pPr>
      <w:r>
        <w:rPr>
          <w:rFonts w:hint="eastAsia" w:ascii="宋体" w:hAnsi="宋体" w:cs="宋体"/>
          <w:kern w:val="0"/>
          <w:sz w:val="24"/>
        </w:rPr>
        <w:t>8.2 投标文件递交方式：现场或快递形式；收件人：官小姐；电话：020-83002718；13763355750。</w:t>
      </w:r>
    </w:p>
    <w:p>
      <w:pPr>
        <w:autoSpaceDE w:val="0"/>
        <w:autoSpaceDN w:val="0"/>
        <w:adjustRightInd w:val="0"/>
        <w:spacing w:line="496" w:lineRule="exact"/>
        <w:ind w:firstLine="480" w:firstLineChars="200"/>
        <w:jc w:val="left"/>
        <w:rPr>
          <w:rFonts w:hint="eastAsia" w:ascii="宋体" w:hAnsi="宋体" w:cs="宋体"/>
          <w:kern w:val="0"/>
          <w:sz w:val="24"/>
        </w:rPr>
      </w:pPr>
      <w:r>
        <w:rPr>
          <w:rFonts w:hint="eastAsia" w:ascii="宋体" w:hAnsi="宋体" w:cs="宋体"/>
          <w:kern w:val="0"/>
          <w:sz w:val="24"/>
        </w:rPr>
        <w:t>8.3 投标文件递交时间为：</w:t>
      </w:r>
      <w:r>
        <w:rPr>
          <w:rFonts w:hint="eastAsia" w:ascii="宋体" w:hAnsi="宋体" w:cs="宋体"/>
          <w:sz w:val="24"/>
          <w:u w:val="single"/>
        </w:rPr>
        <w:t>2026年</w:t>
      </w:r>
      <w:r>
        <w:rPr>
          <w:rFonts w:hint="eastAsia" w:ascii="宋体" w:hAnsi="宋体" w:cs="宋体"/>
          <w:sz w:val="24"/>
          <w:u w:val="single"/>
          <w:lang w:eastAsia="zh-CN"/>
        </w:rPr>
        <w:t>9月22日</w:t>
      </w:r>
      <w:r>
        <w:rPr>
          <w:rFonts w:hint="eastAsia" w:ascii="宋体" w:hAnsi="宋体" w:cs="宋体"/>
          <w:sz w:val="24"/>
          <w:u w:val="single"/>
        </w:rPr>
        <w:t>9时00分至2026年</w:t>
      </w:r>
      <w:r>
        <w:rPr>
          <w:rFonts w:hint="eastAsia" w:ascii="宋体" w:hAnsi="宋体" w:cs="宋体"/>
          <w:sz w:val="24"/>
          <w:u w:val="single"/>
          <w:lang w:eastAsia="zh-CN"/>
        </w:rPr>
        <w:t>10月12日</w:t>
      </w:r>
      <w:r>
        <w:rPr>
          <w:rFonts w:hint="eastAsia" w:ascii="宋体" w:hAnsi="宋体" w:cs="宋体"/>
          <w:sz w:val="24"/>
          <w:u w:val="single"/>
        </w:rPr>
        <w:t>14时00分</w:t>
      </w:r>
      <w:r>
        <w:rPr>
          <w:rFonts w:hint="eastAsia" w:ascii="宋体" w:hAnsi="宋体" w:cs="宋体"/>
          <w:sz w:val="24"/>
          <w:u w:val="none"/>
        </w:rPr>
        <w:t xml:space="preserve">。 </w:t>
      </w:r>
    </w:p>
    <w:p>
      <w:pPr>
        <w:pStyle w:val="75"/>
        <w:adjustRightInd w:val="0"/>
        <w:snapToGrid w:val="0"/>
        <w:spacing w:line="496" w:lineRule="exact"/>
        <w:ind w:firstLine="480"/>
        <w:jc w:val="left"/>
        <w:rPr>
          <w:rFonts w:hint="eastAsia" w:ascii="宋体" w:hAnsi="宋体" w:cs="宋体"/>
          <w:bCs/>
          <w:sz w:val="24"/>
        </w:rPr>
      </w:pPr>
      <w:r>
        <w:rPr>
          <w:rFonts w:hint="eastAsia" w:ascii="宋体" w:hAnsi="宋体" w:cs="宋体"/>
          <w:bCs/>
          <w:sz w:val="24"/>
        </w:rPr>
        <w:t>8.4出现以下情形之一时，招标人不予接收投标文件：</w:t>
      </w:r>
    </w:p>
    <w:p>
      <w:pPr>
        <w:autoSpaceDE w:val="0"/>
        <w:autoSpaceDN w:val="0"/>
        <w:adjustRightInd w:val="0"/>
        <w:spacing w:line="496" w:lineRule="exact"/>
        <w:ind w:firstLine="480" w:firstLineChars="200"/>
        <w:jc w:val="left"/>
        <w:rPr>
          <w:rFonts w:hint="eastAsia" w:ascii="宋体" w:hAnsi="宋体" w:cs="宋体"/>
          <w:kern w:val="0"/>
          <w:sz w:val="24"/>
        </w:rPr>
      </w:pPr>
      <w:r>
        <w:rPr>
          <w:rFonts w:hint="eastAsia" w:ascii="宋体" w:hAnsi="宋体" w:cs="宋体"/>
          <w:bCs/>
          <w:sz w:val="24"/>
        </w:rPr>
        <w:t>8.4.1 逾期送达（如邮寄的以招标人实际签收时间为准，快递柜签收的不予认可）或者未送达指定地点的；</w:t>
      </w:r>
    </w:p>
    <w:p>
      <w:pPr>
        <w:autoSpaceDE w:val="0"/>
        <w:autoSpaceDN w:val="0"/>
        <w:adjustRightInd w:val="0"/>
        <w:spacing w:line="496" w:lineRule="exact"/>
        <w:ind w:firstLine="480" w:firstLineChars="200"/>
        <w:jc w:val="left"/>
        <w:rPr>
          <w:rFonts w:hint="eastAsia" w:ascii="宋体" w:hAnsi="宋体" w:cs="宋体"/>
          <w:kern w:val="0"/>
          <w:sz w:val="24"/>
        </w:rPr>
      </w:pPr>
      <w:r>
        <w:rPr>
          <w:rFonts w:hint="eastAsia" w:ascii="宋体" w:hAnsi="宋体" w:cs="宋体"/>
          <w:kern w:val="0"/>
          <w:sz w:val="24"/>
        </w:rPr>
        <w:t>8.4.2 不按照招标文件要求密封的投标文件，招标人将予以拒收。</w:t>
      </w:r>
    </w:p>
    <w:p>
      <w:pPr>
        <w:autoSpaceDE w:val="0"/>
        <w:autoSpaceDN w:val="0"/>
        <w:adjustRightInd w:val="0"/>
        <w:spacing w:line="496" w:lineRule="exact"/>
        <w:ind w:firstLine="480" w:firstLineChars="200"/>
        <w:jc w:val="left"/>
        <w:rPr>
          <w:rFonts w:hint="eastAsia" w:ascii="宋体" w:hAnsi="宋体" w:cs="宋体"/>
          <w:sz w:val="24"/>
        </w:rPr>
      </w:pPr>
      <w:r>
        <w:rPr>
          <w:rFonts w:hint="eastAsia" w:ascii="宋体" w:hAnsi="宋体" w:cs="宋体"/>
          <w:sz w:val="24"/>
        </w:rPr>
        <w:t>8.4.3 于</w:t>
      </w:r>
      <w:r>
        <w:rPr>
          <w:rFonts w:hint="eastAsia" w:ascii="宋体" w:hAnsi="宋体" w:cs="宋体"/>
          <w:sz w:val="24"/>
          <w:u w:val="single"/>
        </w:rPr>
        <w:t>2026年</w:t>
      </w:r>
      <w:r>
        <w:rPr>
          <w:rFonts w:hint="eastAsia" w:ascii="宋体" w:hAnsi="宋体" w:cs="宋体"/>
          <w:sz w:val="24"/>
          <w:u w:val="single"/>
          <w:lang w:eastAsia="zh-CN"/>
        </w:rPr>
        <w:t>10月12日</w:t>
      </w:r>
      <w:r>
        <w:rPr>
          <w:rFonts w:hint="eastAsia" w:ascii="宋体" w:hAnsi="宋体" w:cs="宋体"/>
          <w:sz w:val="24"/>
          <w:u w:val="single"/>
        </w:rPr>
        <w:t>14时00分</w:t>
      </w:r>
      <w:r>
        <w:rPr>
          <w:rFonts w:hint="eastAsia" w:ascii="宋体" w:hAnsi="宋体" w:cs="宋体"/>
          <w:sz w:val="24"/>
        </w:rPr>
        <w:t>后逾期到达的，</w:t>
      </w:r>
      <w:r>
        <w:rPr>
          <w:rFonts w:hint="eastAsia" w:ascii="宋体" w:hAnsi="宋体" w:cs="宋体"/>
          <w:kern w:val="0"/>
          <w:sz w:val="24"/>
        </w:rPr>
        <w:t>招标人</w:t>
      </w:r>
      <w:r>
        <w:rPr>
          <w:rFonts w:hint="eastAsia" w:ascii="宋体" w:hAnsi="宋体" w:cs="宋体"/>
          <w:sz w:val="24"/>
        </w:rPr>
        <w:t>代表有权拒收投标文件。</w:t>
      </w:r>
    </w:p>
    <w:p>
      <w:pPr>
        <w:pStyle w:val="5"/>
        <w:spacing w:line="496" w:lineRule="exact"/>
        <w:jc w:val="left"/>
      </w:pPr>
      <w:bookmarkStart w:id="350" w:name="_Toc18744"/>
      <w:bookmarkStart w:id="351" w:name="_Toc17400"/>
      <w:bookmarkStart w:id="352" w:name="_Toc24189"/>
      <w:bookmarkStart w:id="353" w:name="_Toc4511"/>
      <w:bookmarkStart w:id="354" w:name="_Toc5560"/>
      <w:bookmarkStart w:id="355" w:name="_Toc28200"/>
      <w:bookmarkStart w:id="356" w:name="_Toc11435"/>
      <w:bookmarkStart w:id="357" w:name="_Toc17557"/>
      <w:bookmarkStart w:id="358" w:name="_Toc31068"/>
      <w:bookmarkStart w:id="359" w:name="_Toc13230"/>
      <w:bookmarkStart w:id="360" w:name="_Toc7007"/>
      <w:bookmarkStart w:id="361" w:name="_Toc26292"/>
      <w:bookmarkStart w:id="362" w:name="_Toc9255"/>
      <w:bookmarkStart w:id="363" w:name="_Toc25061"/>
      <w:bookmarkStart w:id="364" w:name="_Toc8031"/>
      <w:bookmarkStart w:id="365" w:name="_Toc2379"/>
      <w:bookmarkStart w:id="366" w:name="_Toc14635"/>
      <w:bookmarkStart w:id="367" w:name="_Toc457992950"/>
      <w:bookmarkStart w:id="368" w:name="_Toc31740"/>
      <w:bookmarkStart w:id="369" w:name="_Toc435178359"/>
      <w:bookmarkStart w:id="370" w:name="_Toc440288593"/>
      <w:bookmarkStart w:id="371" w:name="_Toc28097"/>
      <w:bookmarkStart w:id="372" w:name="_Toc1654"/>
      <w:bookmarkStart w:id="373" w:name="OLE_LINK2"/>
      <w:bookmarkStart w:id="374" w:name="_Toc10672"/>
      <w:bookmarkStart w:id="375" w:name="_Toc12214"/>
      <w:bookmarkStart w:id="376" w:name="_Toc5610"/>
      <w:bookmarkStart w:id="377" w:name="_Toc19428"/>
      <w:bookmarkStart w:id="378" w:name="_Toc25689"/>
      <w:bookmarkStart w:id="379" w:name="_Toc11371"/>
      <w:bookmarkStart w:id="380" w:name="_Toc453143224"/>
      <w:bookmarkStart w:id="381" w:name="_Toc5958"/>
      <w:bookmarkStart w:id="382" w:name="_Toc11541"/>
      <w:bookmarkStart w:id="383" w:name="_Toc26547"/>
      <w:bookmarkStart w:id="384" w:name="_Toc6503"/>
      <w:bookmarkStart w:id="385" w:name="_Toc7034"/>
      <w:bookmarkStart w:id="386" w:name="_Toc18023"/>
      <w:bookmarkStart w:id="387" w:name="_Toc30679"/>
      <w:r>
        <w:rPr>
          <w:rFonts w:hint="eastAsia"/>
        </w:rPr>
        <w:t>9.开标时间与地点</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autoSpaceDE w:val="0"/>
        <w:autoSpaceDN w:val="0"/>
        <w:adjustRightInd w:val="0"/>
        <w:spacing w:line="496" w:lineRule="exact"/>
        <w:ind w:firstLine="480" w:firstLineChars="200"/>
        <w:jc w:val="left"/>
        <w:rPr>
          <w:rFonts w:hint="eastAsia" w:ascii="宋体" w:hAnsi="宋体" w:cs="宋体"/>
          <w:sz w:val="24"/>
        </w:rPr>
      </w:pPr>
      <w:r>
        <w:rPr>
          <w:rFonts w:hint="eastAsia" w:ascii="宋体" w:hAnsi="宋体" w:cs="宋体"/>
          <w:sz w:val="24"/>
        </w:rPr>
        <w:t>9.1 本项目公开开标。</w:t>
      </w:r>
    </w:p>
    <w:p>
      <w:pPr>
        <w:autoSpaceDE w:val="0"/>
        <w:autoSpaceDN w:val="0"/>
        <w:adjustRightInd w:val="0"/>
        <w:spacing w:line="496" w:lineRule="exact"/>
        <w:ind w:firstLine="480" w:firstLineChars="200"/>
        <w:jc w:val="left"/>
        <w:rPr>
          <w:rFonts w:hint="eastAsia" w:ascii="宋体" w:hAnsi="宋体" w:cs="宋体"/>
          <w:sz w:val="24"/>
        </w:rPr>
      </w:pPr>
      <w:r>
        <w:rPr>
          <w:rFonts w:hint="eastAsia" w:ascii="宋体" w:hAnsi="宋体" w:cs="宋体"/>
          <w:sz w:val="24"/>
        </w:rPr>
        <w:t>9.2 开标时间：2026年</w:t>
      </w:r>
      <w:r>
        <w:rPr>
          <w:rFonts w:hint="eastAsia" w:ascii="宋体" w:hAnsi="宋体" w:cs="宋体"/>
          <w:sz w:val="24"/>
          <w:lang w:eastAsia="zh-CN"/>
        </w:rPr>
        <w:t>10月12日</w:t>
      </w:r>
      <w:r>
        <w:rPr>
          <w:rFonts w:hint="eastAsia" w:ascii="宋体" w:hAnsi="宋体" w:cs="宋体"/>
          <w:sz w:val="24"/>
        </w:rPr>
        <w:t>14时00分(同投标截止时间）。</w:t>
      </w:r>
    </w:p>
    <w:p>
      <w:pPr>
        <w:autoSpaceDE w:val="0"/>
        <w:autoSpaceDN w:val="0"/>
        <w:adjustRightInd w:val="0"/>
        <w:spacing w:line="496" w:lineRule="exact"/>
        <w:ind w:firstLine="480" w:firstLineChars="200"/>
        <w:jc w:val="left"/>
        <w:rPr>
          <w:rFonts w:hint="eastAsia" w:ascii="宋体" w:hAnsi="宋体" w:cs="宋体"/>
          <w:kern w:val="0"/>
          <w:sz w:val="24"/>
        </w:rPr>
      </w:pPr>
      <w:r>
        <w:rPr>
          <w:rFonts w:hint="eastAsia" w:ascii="宋体" w:hAnsi="宋体" w:cs="宋体"/>
          <w:sz w:val="24"/>
        </w:rPr>
        <w:t>9.3 开标地点：广州市黄埔区黄埔大道东888号南方智媒大厦南塔20楼。</w:t>
      </w:r>
    </w:p>
    <w:p>
      <w:pPr>
        <w:pStyle w:val="5"/>
        <w:spacing w:line="496" w:lineRule="exact"/>
        <w:jc w:val="left"/>
      </w:pPr>
      <w:bookmarkStart w:id="388" w:name="_Toc31668"/>
      <w:bookmarkStart w:id="389" w:name="_Toc22008"/>
      <w:bookmarkStart w:id="390" w:name="_Toc2312"/>
      <w:bookmarkStart w:id="391" w:name="_Toc32439"/>
      <w:bookmarkStart w:id="392" w:name="_Toc16266"/>
      <w:bookmarkStart w:id="393" w:name="_Toc15453"/>
      <w:bookmarkStart w:id="394" w:name="_Toc11088"/>
      <w:bookmarkStart w:id="395" w:name="_Toc19509"/>
      <w:bookmarkStart w:id="396" w:name="_Toc13270"/>
      <w:bookmarkStart w:id="397" w:name="_Toc21902"/>
      <w:bookmarkStart w:id="398" w:name="_Toc26013"/>
      <w:bookmarkStart w:id="399" w:name="_Toc10589"/>
      <w:bookmarkStart w:id="400" w:name="_Toc2599"/>
      <w:bookmarkStart w:id="401" w:name="_Toc24445"/>
      <w:r>
        <w:rPr>
          <w:rFonts w:hint="eastAsia"/>
        </w:rPr>
        <w:t>10.发布公告的媒介</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wordWrap w:val="0"/>
        <w:spacing w:line="496" w:lineRule="exact"/>
        <w:ind w:firstLine="480" w:firstLineChars="200"/>
        <w:jc w:val="left"/>
      </w:pPr>
      <w:bookmarkStart w:id="402" w:name="_Toc2348"/>
      <w:bookmarkStart w:id="403" w:name="_Toc27899"/>
      <w:r>
        <w:rPr>
          <w:rFonts w:hint="eastAsia" w:ascii="宋体" w:hAnsi="宋体" w:cs="宋体"/>
          <w:sz w:val="24"/>
        </w:rPr>
        <w:t>本次招标公告同时在南方日报、南方＋客户端、招标人网站（http://zbtb.southcn.com）、中国招投标公共服务平台（http://www.cebpubservice.com）上发布，其他媒体转载无效。</w:t>
      </w:r>
    </w:p>
    <w:bookmarkEnd w:id="402"/>
    <w:bookmarkEnd w:id="403"/>
    <w:p>
      <w:pPr>
        <w:pStyle w:val="5"/>
        <w:spacing w:line="496" w:lineRule="exact"/>
        <w:jc w:val="left"/>
      </w:pPr>
      <w:bookmarkStart w:id="404" w:name="_Toc9431"/>
      <w:bookmarkStart w:id="405" w:name="_Toc2608"/>
      <w:bookmarkStart w:id="406" w:name="_Toc13725"/>
      <w:bookmarkStart w:id="407" w:name="_Toc4896"/>
      <w:bookmarkStart w:id="408" w:name="_Toc14912"/>
      <w:bookmarkStart w:id="409" w:name="_Toc23951"/>
      <w:bookmarkStart w:id="410" w:name="_Toc11561"/>
      <w:bookmarkStart w:id="411" w:name="_Toc13712"/>
      <w:bookmarkStart w:id="412" w:name="_Toc31817"/>
      <w:bookmarkStart w:id="413" w:name="_Toc22721"/>
      <w:bookmarkStart w:id="414" w:name="_Toc28897"/>
      <w:bookmarkStart w:id="415" w:name="_Toc20480"/>
      <w:bookmarkStart w:id="416" w:name="_Toc7983"/>
      <w:bookmarkStart w:id="417" w:name="_Toc30773"/>
      <w:r>
        <w:rPr>
          <w:rFonts w:hint="eastAsia"/>
        </w:rPr>
        <w:t>11</w:t>
      </w:r>
      <w:r>
        <w:t>. 联系方式</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topLinePunct/>
        <w:spacing w:line="496" w:lineRule="exact"/>
        <w:ind w:firstLine="480" w:firstLineChars="200"/>
        <w:jc w:val="left"/>
        <w:rPr>
          <w:rFonts w:hint="eastAsia" w:ascii="宋体" w:hAnsi="宋体" w:cs="宋体"/>
          <w:sz w:val="24"/>
        </w:rPr>
      </w:pPr>
      <w:r>
        <w:rPr>
          <w:rFonts w:hint="eastAsia" w:ascii="宋体" w:hAnsi="宋体" w:cs="宋体"/>
          <w:sz w:val="24"/>
        </w:rPr>
        <w:t>采 购 人：</w:t>
      </w:r>
      <w:r>
        <w:rPr>
          <w:rFonts w:hint="eastAsia" w:ascii="宋体" w:hAnsi="宋体" w:cs="宋体"/>
          <w:sz w:val="24"/>
          <w:u w:val="single"/>
        </w:rPr>
        <w:t>广东省南方传媒发行物流有限公司</w:t>
      </w:r>
      <w:r>
        <w:rPr>
          <w:rFonts w:hint="eastAsia" w:ascii="宋体" w:hAnsi="宋体" w:cs="宋体"/>
          <w:sz w:val="24"/>
        </w:rPr>
        <w:t xml:space="preserve">         </w:t>
      </w:r>
    </w:p>
    <w:p>
      <w:pPr>
        <w:topLinePunct/>
        <w:spacing w:line="496" w:lineRule="exact"/>
        <w:ind w:firstLine="480" w:firstLineChars="200"/>
        <w:jc w:val="left"/>
        <w:rPr>
          <w:rFonts w:hint="eastAsia" w:ascii="宋体" w:hAnsi="宋体" w:cs="宋体"/>
          <w:sz w:val="24"/>
        </w:rPr>
      </w:pPr>
      <w:r>
        <w:rPr>
          <w:rFonts w:hint="eastAsia" w:ascii="宋体" w:hAnsi="宋体" w:cs="宋体"/>
          <w:sz w:val="24"/>
        </w:rPr>
        <w:t>地    址：</w:t>
      </w:r>
      <w:r>
        <w:rPr>
          <w:rFonts w:hint="eastAsia" w:ascii="宋体" w:hAnsi="宋体" w:cs="宋体"/>
          <w:sz w:val="24"/>
          <w:u w:val="single"/>
        </w:rPr>
        <w:t>广州市黄埔区黄埔大道东888号南方智媒大厦南塔20楼</w:t>
      </w:r>
      <w:r>
        <w:rPr>
          <w:rFonts w:hint="eastAsia" w:ascii="宋体" w:hAnsi="宋体" w:cs="宋体"/>
          <w:sz w:val="24"/>
        </w:rPr>
        <w:tab/>
      </w:r>
      <w:r>
        <w:rPr>
          <w:rFonts w:hint="eastAsia" w:ascii="宋体" w:hAnsi="宋体" w:cs="宋体"/>
          <w:sz w:val="24"/>
        </w:rPr>
        <w:t xml:space="preserve">     </w:t>
      </w:r>
    </w:p>
    <w:p>
      <w:pPr>
        <w:topLinePunct/>
        <w:spacing w:line="496" w:lineRule="exact"/>
        <w:ind w:firstLine="480" w:firstLineChars="200"/>
        <w:jc w:val="left"/>
        <w:rPr>
          <w:rFonts w:hint="eastAsia" w:ascii="宋体" w:hAnsi="宋体" w:cs="宋体"/>
          <w:sz w:val="24"/>
        </w:rPr>
      </w:pPr>
      <w:r>
        <w:rPr>
          <w:rFonts w:hint="eastAsia" w:ascii="宋体" w:hAnsi="宋体" w:cs="宋体"/>
          <w:sz w:val="24"/>
        </w:rPr>
        <w:t>邮    编：</w:t>
      </w:r>
      <w:r>
        <w:rPr>
          <w:rFonts w:hint="eastAsia" w:ascii="宋体" w:hAnsi="宋体" w:cs="宋体"/>
          <w:sz w:val="24"/>
          <w:u w:val="single"/>
        </w:rPr>
        <w:t xml:space="preserve"> 510601           </w:t>
      </w:r>
      <w:r>
        <w:rPr>
          <w:rFonts w:hint="eastAsia" w:ascii="宋体" w:hAnsi="宋体" w:cs="宋体"/>
          <w:sz w:val="24"/>
        </w:rPr>
        <w:t xml:space="preserve">        </w:t>
      </w:r>
    </w:p>
    <w:p>
      <w:pPr>
        <w:topLinePunct/>
        <w:spacing w:line="496" w:lineRule="exact"/>
        <w:ind w:firstLine="480" w:firstLineChars="200"/>
        <w:jc w:val="left"/>
        <w:rPr>
          <w:rFonts w:hint="eastAsia" w:ascii="宋体" w:hAnsi="宋体" w:cs="宋体"/>
          <w:sz w:val="24"/>
        </w:rPr>
      </w:pPr>
      <w:r>
        <w:rPr>
          <w:rFonts w:hint="eastAsia" w:ascii="宋体" w:hAnsi="宋体" w:cs="宋体"/>
          <w:sz w:val="24"/>
        </w:rPr>
        <w:t>联 系 人：</w:t>
      </w:r>
      <w:r>
        <w:rPr>
          <w:rFonts w:hint="eastAsia" w:ascii="宋体" w:hAnsi="宋体" w:cs="宋体"/>
          <w:sz w:val="24"/>
          <w:u w:val="single"/>
        </w:rPr>
        <w:t xml:space="preserve">官小姐、孙小姐       </w:t>
      </w:r>
      <w:r>
        <w:rPr>
          <w:rFonts w:hint="eastAsia" w:ascii="宋体" w:hAnsi="宋体" w:cs="宋体"/>
          <w:sz w:val="24"/>
        </w:rPr>
        <w:t xml:space="preserve">    </w:t>
      </w:r>
    </w:p>
    <w:p>
      <w:pPr>
        <w:topLinePunct/>
        <w:spacing w:line="496" w:lineRule="exact"/>
        <w:ind w:firstLine="480" w:firstLineChars="200"/>
        <w:jc w:val="left"/>
        <w:rPr>
          <w:rFonts w:hint="eastAsia" w:ascii="宋体" w:hAnsi="宋体" w:cs="宋体"/>
          <w:sz w:val="24"/>
          <w:u w:val="single"/>
        </w:rPr>
      </w:pPr>
      <w:r>
        <w:rPr>
          <w:rFonts w:hint="eastAsia" w:ascii="宋体" w:hAnsi="宋体" w:cs="宋体"/>
          <w:sz w:val="24"/>
        </w:rPr>
        <w:t>电    话：</w:t>
      </w:r>
      <w:r>
        <w:rPr>
          <w:rFonts w:hint="eastAsia" w:ascii="宋体" w:hAnsi="宋体" w:cs="宋体"/>
          <w:sz w:val="24"/>
          <w:u w:val="single"/>
        </w:rPr>
        <w:t xml:space="preserve"> 020-83002718、020-83004093</w:t>
      </w:r>
    </w:p>
    <w:p>
      <w:pPr>
        <w:topLinePunct/>
        <w:spacing w:line="496" w:lineRule="exact"/>
        <w:ind w:firstLine="480" w:firstLineChars="200"/>
        <w:jc w:val="left"/>
        <w:rPr>
          <w:rFonts w:hint="eastAsia" w:ascii="宋体" w:hAnsi="宋体" w:cs="宋体"/>
          <w:sz w:val="24"/>
        </w:rPr>
      </w:pPr>
      <w:r>
        <w:rPr>
          <w:rFonts w:hint="eastAsia" w:ascii="宋体" w:hAnsi="宋体" w:cs="宋体"/>
          <w:sz w:val="24"/>
        </w:rPr>
        <w:t>电子邮件：</w:t>
      </w:r>
      <w:r>
        <w:rPr>
          <w:rFonts w:hint="eastAsia" w:ascii="宋体" w:hAnsi="宋体" w:cs="宋体"/>
          <w:sz w:val="24"/>
          <w:u w:val="single"/>
        </w:rPr>
        <w:t xml:space="preserve"> fxwlcg@nfmedia.com   </w:t>
      </w:r>
      <w:r>
        <w:rPr>
          <w:rFonts w:hint="eastAsia" w:ascii="宋体" w:hAnsi="宋体" w:cs="宋体"/>
          <w:sz w:val="24"/>
        </w:rPr>
        <w:t xml:space="preserve">    </w:t>
      </w:r>
    </w:p>
    <w:p>
      <w:pPr>
        <w:topLinePunct/>
        <w:spacing w:line="496" w:lineRule="exact"/>
        <w:ind w:firstLine="480" w:firstLineChars="200"/>
        <w:jc w:val="left"/>
        <w:rPr>
          <w:rFonts w:hint="eastAsia" w:ascii="宋体" w:hAnsi="宋体" w:cs="宋体"/>
          <w:sz w:val="24"/>
        </w:rPr>
      </w:pPr>
      <w:r>
        <w:rPr>
          <w:rFonts w:hint="eastAsia" w:ascii="宋体" w:hAnsi="宋体" w:cs="宋体"/>
          <w:sz w:val="24"/>
        </w:rPr>
        <w:t>网    址：</w:t>
      </w:r>
      <w:r>
        <w:rPr>
          <w:rFonts w:hint="eastAsia" w:ascii="宋体" w:hAnsi="宋体" w:cs="宋体"/>
          <w:kern w:val="0"/>
          <w:sz w:val="24"/>
          <w:u w:val="single"/>
        </w:rPr>
        <w:t>https://zbtb.southcn.com/node_9381c01914</w:t>
      </w:r>
      <w:r>
        <w:rPr>
          <w:rFonts w:hint="eastAsia" w:ascii="宋体" w:hAnsi="宋体" w:cs="宋体"/>
          <w:sz w:val="24"/>
          <w:u w:val="single"/>
        </w:rPr>
        <w:t xml:space="preserve"> </w:t>
      </w:r>
      <w:r>
        <w:rPr>
          <w:rFonts w:hint="eastAsia" w:ascii="宋体" w:hAnsi="宋体" w:cs="宋体"/>
          <w:sz w:val="24"/>
        </w:rPr>
        <w:t xml:space="preserve">     </w:t>
      </w:r>
    </w:p>
    <w:p>
      <w:pPr>
        <w:topLinePunct/>
        <w:spacing w:line="496" w:lineRule="exact"/>
        <w:ind w:firstLine="480" w:firstLineChars="200"/>
        <w:jc w:val="left"/>
        <w:rPr>
          <w:rFonts w:hint="eastAsia" w:ascii="宋体" w:hAnsi="宋体" w:cs="宋体"/>
          <w:sz w:val="24"/>
        </w:rPr>
      </w:pPr>
      <w:r>
        <w:rPr>
          <w:rFonts w:hint="eastAsia" w:ascii="宋体" w:hAnsi="宋体" w:cs="宋体"/>
          <w:sz w:val="24"/>
        </w:rPr>
        <w:t>开户银行：</w:t>
      </w:r>
      <w:r>
        <w:rPr>
          <w:rFonts w:hint="eastAsia" w:ascii="宋体" w:hAnsi="宋体" w:cs="宋体"/>
          <w:sz w:val="24"/>
          <w:u w:val="single"/>
        </w:rPr>
        <w:t xml:space="preserve"> 中国农业银行广州五羊新城支行</w:t>
      </w:r>
      <w:r>
        <w:rPr>
          <w:rFonts w:hint="eastAsia" w:ascii="宋体" w:hAnsi="宋体" w:cs="宋体"/>
          <w:sz w:val="24"/>
        </w:rPr>
        <w:t xml:space="preserve">       </w:t>
      </w:r>
    </w:p>
    <w:p>
      <w:pPr>
        <w:spacing w:line="496" w:lineRule="exact"/>
        <w:ind w:firstLine="480" w:firstLineChars="200"/>
        <w:jc w:val="left"/>
        <w:rPr>
          <w:rFonts w:hint="eastAsia" w:ascii="宋体" w:hAnsi="宋体" w:cs="宋体"/>
          <w:sz w:val="24"/>
        </w:rPr>
      </w:pPr>
      <w:r>
        <w:rPr>
          <w:rFonts w:hint="eastAsia" w:ascii="宋体" w:hAnsi="宋体" w:cs="宋体"/>
          <w:sz w:val="24"/>
        </w:rPr>
        <w:t>账    号：</w:t>
      </w:r>
      <w:r>
        <w:rPr>
          <w:rFonts w:hint="eastAsia" w:ascii="宋体" w:hAnsi="宋体" w:cs="宋体"/>
          <w:sz w:val="24"/>
          <w:u w:val="single"/>
        </w:rPr>
        <w:t xml:space="preserve"> 44030401040003075</w:t>
      </w:r>
      <w:r>
        <w:rPr>
          <w:rFonts w:hint="eastAsia" w:ascii="宋体" w:hAnsi="宋体" w:cs="宋体"/>
          <w:sz w:val="24"/>
        </w:rPr>
        <w:t xml:space="preserve">          </w:t>
      </w:r>
    </w:p>
    <w:p>
      <w:pPr>
        <w:pStyle w:val="40"/>
        <w:spacing w:line="496" w:lineRule="exact"/>
        <w:ind w:firstLine="240"/>
        <w:jc w:val="left"/>
        <w:rPr>
          <w:rFonts w:hint="eastAsia" w:ascii="宋体" w:hAnsi="宋体" w:cs="宋体"/>
          <w:sz w:val="24"/>
          <w:szCs w:val="24"/>
        </w:rPr>
      </w:pPr>
    </w:p>
    <w:p>
      <w:pPr>
        <w:spacing w:line="496" w:lineRule="exact"/>
        <w:ind w:firstLine="480" w:firstLineChars="200"/>
        <w:jc w:val="left"/>
      </w:pPr>
      <w:r>
        <w:rPr>
          <w:rFonts w:hint="eastAsia" w:ascii="宋体" w:hAnsi="宋体" w:cs="宋体"/>
          <w:sz w:val="24"/>
        </w:rPr>
        <w:t xml:space="preserve">                                      2026年9月</w:t>
      </w:r>
      <w:r>
        <w:rPr>
          <w:rFonts w:hint="eastAsia" w:ascii="宋体" w:hAnsi="宋体" w:cs="宋体"/>
          <w:sz w:val="24"/>
          <w:lang w:val="en-US" w:eastAsia="zh-CN"/>
        </w:rPr>
        <w:t>21</w:t>
      </w:r>
      <w:r>
        <w:rPr>
          <w:rFonts w:hint="eastAsia" w:ascii="宋体" w:hAnsi="宋体" w:cs="宋体"/>
          <w:sz w:val="24"/>
        </w:rPr>
        <w:t>日</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Start w:id="418" w:name="_Toc496601929"/>
      <w:bookmarkStart w:id="419" w:name="_Toc24586"/>
      <w:bookmarkStart w:id="420" w:name="_Toc17929"/>
      <w:bookmarkStart w:id="421" w:name="_Toc435178362"/>
      <w:bookmarkStart w:id="422" w:name="_Toc1159"/>
      <w:bookmarkStart w:id="423" w:name="_Toc1469"/>
      <w:bookmarkStart w:id="424" w:name="_Toc436212714"/>
      <w:bookmarkStart w:id="425" w:name="_Toc20078"/>
      <w:bookmarkStart w:id="426" w:name="_Toc436215719"/>
      <w:bookmarkStart w:id="427" w:name="_Toc13947"/>
      <w:bookmarkStart w:id="428" w:name="_Toc28692"/>
      <w:bookmarkStart w:id="429" w:name="_Toc9804"/>
      <w:bookmarkStart w:id="430" w:name="_Toc4759"/>
      <w:bookmarkStart w:id="431" w:name="_Toc433812702"/>
      <w:bookmarkStart w:id="432" w:name="_Toc26135"/>
      <w:bookmarkStart w:id="433" w:name="_Toc15767"/>
      <w:bookmarkStart w:id="434" w:name="_Toc24863"/>
      <w:bookmarkStart w:id="435" w:name="_Toc2812"/>
      <w:bookmarkStart w:id="436" w:name="_Toc7785"/>
      <w:bookmarkStart w:id="437" w:name="_Toc15995071"/>
      <w:bookmarkStart w:id="438" w:name="_Toc5170"/>
      <w:bookmarkStart w:id="439" w:name="_Toc14906"/>
    </w:p>
    <w:p>
      <w:pPr>
        <w:pStyle w:val="6"/>
        <w:pageBreakBefore/>
      </w:pPr>
      <w:bookmarkStart w:id="440" w:name="_Toc6118"/>
      <w:bookmarkStart w:id="441" w:name="_Toc22371"/>
      <w:bookmarkStart w:id="442" w:name="_Toc7961"/>
      <w:bookmarkStart w:id="443" w:name="_Toc8733"/>
      <w:bookmarkStart w:id="444" w:name="_Toc13402"/>
      <w:bookmarkStart w:id="445" w:name="_Toc9991"/>
      <w:bookmarkStart w:id="446" w:name="_Toc7504"/>
      <w:bookmarkStart w:id="447" w:name="_Toc5853"/>
      <w:bookmarkStart w:id="448" w:name="_Toc31748"/>
      <w:bookmarkStart w:id="449" w:name="_Toc4397"/>
      <w:bookmarkStart w:id="450" w:name="_Toc25952"/>
      <w:bookmarkStart w:id="451" w:name="_Toc22717"/>
      <w:bookmarkStart w:id="452" w:name="_Toc1924"/>
      <w:bookmarkStart w:id="453" w:name="_Toc17729"/>
      <w:r>
        <w:rPr>
          <w:rFonts w:hint="eastAsia"/>
        </w:rPr>
        <w:t>附件：投标申请表</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6"/>
        <w:jc w:val="center"/>
      </w:pPr>
      <w:bookmarkStart w:id="454" w:name="_Toc5491"/>
      <w:bookmarkStart w:id="455" w:name="_Toc29209"/>
      <w:bookmarkStart w:id="456" w:name="_Toc24071"/>
      <w:bookmarkStart w:id="457" w:name="_Toc10823"/>
      <w:bookmarkStart w:id="458" w:name="_Toc30808"/>
      <w:bookmarkStart w:id="459" w:name="_Toc22785"/>
      <w:bookmarkStart w:id="460" w:name="_Toc5587"/>
      <w:bookmarkStart w:id="461" w:name="_Toc29458"/>
      <w:bookmarkStart w:id="462" w:name="_Toc27791"/>
      <w:bookmarkStart w:id="463" w:name="_Toc15326"/>
      <w:bookmarkStart w:id="464" w:name="_Toc5403"/>
      <w:bookmarkStart w:id="465" w:name="_Toc24955"/>
      <w:bookmarkStart w:id="466" w:name="_Toc18029"/>
      <w:bookmarkStart w:id="467" w:name="_Toc2356"/>
      <w:r>
        <w:rPr>
          <w:rFonts w:hint="eastAsia"/>
        </w:rPr>
        <w:t>投标申请表</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162"/>
        <w:spacing w:line="360" w:lineRule="auto"/>
        <w:rPr>
          <w:rFonts w:hint="eastAsia" w:ascii="宋体" w:hAnsi="宋体" w:cs="宋体"/>
          <w:sz w:val="24"/>
        </w:rPr>
      </w:pPr>
      <w:r>
        <w:rPr>
          <w:rFonts w:hint="eastAsia" w:ascii="宋体" w:hAnsi="宋体" w:cs="宋体"/>
          <w:sz w:val="24"/>
        </w:rPr>
        <w:t>广东省南方传媒发行物流有限公司：</w:t>
      </w:r>
    </w:p>
    <w:p>
      <w:pPr>
        <w:spacing w:line="360" w:lineRule="auto"/>
        <w:ind w:firstLine="420"/>
        <w:rPr>
          <w:rFonts w:hint="eastAsia" w:ascii="宋体" w:hAnsi="宋体" w:cs="宋体"/>
          <w:sz w:val="24"/>
        </w:rPr>
      </w:pPr>
      <w:r>
        <w:rPr>
          <w:rFonts w:hint="eastAsia" w:ascii="宋体" w:hAnsi="宋体" w:cs="宋体"/>
          <w:sz w:val="24"/>
        </w:rPr>
        <w:t xml:space="preserve">  我公司已认真阅读本项目招标公告及相关资料,并确信已完全符合招标公告所列的报名条件和要求,愿以积极认真的态度申请参与招标，申请资料如下：</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6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448" w:type="dxa"/>
            <w:vAlign w:val="center"/>
          </w:tcPr>
          <w:p>
            <w:pPr>
              <w:spacing w:line="360" w:lineRule="auto"/>
              <w:rPr>
                <w:szCs w:val="30"/>
              </w:rPr>
            </w:pPr>
            <w:r>
              <w:rPr>
                <w:rFonts w:hint="eastAsia"/>
                <w:szCs w:val="30"/>
              </w:rPr>
              <w:t>项目编号</w:t>
            </w:r>
          </w:p>
        </w:tc>
        <w:tc>
          <w:tcPr>
            <w:tcW w:w="6074" w:type="dxa"/>
            <w:vAlign w:val="center"/>
          </w:tcPr>
          <w:p>
            <w:pPr>
              <w:spacing w:line="360" w:lineRule="auto"/>
              <w:rPr>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448" w:type="dxa"/>
            <w:vAlign w:val="center"/>
          </w:tcPr>
          <w:p>
            <w:pPr>
              <w:spacing w:line="360" w:lineRule="auto"/>
              <w:rPr>
                <w:szCs w:val="30"/>
              </w:rPr>
            </w:pPr>
            <w:r>
              <w:rPr>
                <w:rFonts w:hint="eastAsia"/>
                <w:szCs w:val="30"/>
              </w:rPr>
              <w:t>项目名称</w:t>
            </w:r>
          </w:p>
        </w:tc>
        <w:tc>
          <w:tcPr>
            <w:tcW w:w="6074" w:type="dxa"/>
            <w:vAlign w:val="center"/>
          </w:tcPr>
          <w:p>
            <w:pPr>
              <w:spacing w:line="360" w:lineRule="auto"/>
              <w:rPr>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448" w:type="dxa"/>
            <w:vAlign w:val="center"/>
          </w:tcPr>
          <w:p>
            <w:pPr>
              <w:spacing w:line="360" w:lineRule="auto"/>
              <w:rPr>
                <w:szCs w:val="30"/>
              </w:rPr>
            </w:pPr>
            <w:r>
              <w:rPr>
                <w:rFonts w:hint="eastAsia"/>
                <w:szCs w:val="30"/>
              </w:rPr>
              <w:t>投标标段</w:t>
            </w:r>
          </w:p>
        </w:tc>
        <w:tc>
          <w:tcPr>
            <w:tcW w:w="6074" w:type="dxa"/>
            <w:vAlign w:val="center"/>
          </w:tcPr>
          <w:p>
            <w:pPr>
              <w:spacing w:line="360" w:lineRule="auto"/>
              <w:rPr>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448" w:type="dxa"/>
            <w:vAlign w:val="center"/>
          </w:tcPr>
          <w:p>
            <w:pPr>
              <w:spacing w:line="360" w:lineRule="auto"/>
              <w:rPr>
                <w:szCs w:val="30"/>
              </w:rPr>
            </w:pPr>
            <w:r>
              <w:rPr>
                <w:rFonts w:hint="eastAsia"/>
                <w:szCs w:val="30"/>
              </w:rPr>
              <w:t>投标人全称</w:t>
            </w:r>
          </w:p>
        </w:tc>
        <w:tc>
          <w:tcPr>
            <w:tcW w:w="6074" w:type="dxa"/>
            <w:vAlign w:val="center"/>
          </w:tcPr>
          <w:p>
            <w:pPr>
              <w:spacing w:line="360" w:lineRule="auto"/>
              <w:rPr>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448" w:type="dxa"/>
            <w:vAlign w:val="center"/>
          </w:tcPr>
          <w:p>
            <w:pPr>
              <w:spacing w:line="360" w:lineRule="auto"/>
              <w:rPr>
                <w:szCs w:val="30"/>
              </w:rPr>
            </w:pPr>
            <w:r>
              <w:rPr>
                <w:rFonts w:hint="eastAsia"/>
                <w:szCs w:val="21"/>
              </w:rPr>
              <w:t>纳税人识别号（或统一社会信用代码）</w:t>
            </w:r>
          </w:p>
        </w:tc>
        <w:tc>
          <w:tcPr>
            <w:tcW w:w="6074" w:type="dxa"/>
            <w:vAlign w:val="center"/>
          </w:tcPr>
          <w:p>
            <w:pPr>
              <w:spacing w:line="360" w:lineRule="auto"/>
              <w:rPr>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448" w:type="dxa"/>
            <w:vAlign w:val="center"/>
          </w:tcPr>
          <w:p>
            <w:pPr>
              <w:spacing w:line="360" w:lineRule="auto"/>
              <w:rPr>
                <w:szCs w:val="30"/>
              </w:rPr>
            </w:pPr>
            <w:r>
              <w:rPr>
                <w:rFonts w:hint="eastAsia"/>
                <w:szCs w:val="30"/>
              </w:rPr>
              <w:t>联系人</w:t>
            </w:r>
          </w:p>
        </w:tc>
        <w:tc>
          <w:tcPr>
            <w:tcW w:w="6074" w:type="dxa"/>
            <w:vAlign w:val="center"/>
          </w:tcPr>
          <w:p>
            <w:pPr>
              <w:spacing w:line="360" w:lineRule="auto"/>
              <w:rPr>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448" w:type="dxa"/>
            <w:vAlign w:val="center"/>
          </w:tcPr>
          <w:p>
            <w:pPr>
              <w:spacing w:line="360" w:lineRule="auto"/>
              <w:rPr>
                <w:szCs w:val="30"/>
              </w:rPr>
            </w:pPr>
            <w:r>
              <w:rPr>
                <w:rFonts w:hint="eastAsia"/>
                <w:szCs w:val="30"/>
              </w:rPr>
              <w:t>联系电话</w:t>
            </w:r>
          </w:p>
        </w:tc>
        <w:tc>
          <w:tcPr>
            <w:tcW w:w="6074" w:type="dxa"/>
            <w:vAlign w:val="center"/>
          </w:tcPr>
          <w:p>
            <w:pPr>
              <w:spacing w:line="360" w:lineRule="auto"/>
              <w:rPr>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448" w:type="dxa"/>
            <w:vAlign w:val="center"/>
          </w:tcPr>
          <w:p>
            <w:pPr>
              <w:spacing w:line="360" w:lineRule="auto"/>
              <w:rPr>
                <w:szCs w:val="30"/>
              </w:rPr>
            </w:pPr>
            <w:r>
              <w:rPr>
                <w:rFonts w:hint="eastAsia"/>
                <w:szCs w:val="30"/>
              </w:rPr>
              <w:t>传真</w:t>
            </w:r>
          </w:p>
        </w:tc>
        <w:tc>
          <w:tcPr>
            <w:tcW w:w="6074" w:type="dxa"/>
            <w:vAlign w:val="center"/>
          </w:tcPr>
          <w:p>
            <w:pPr>
              <w:spacing w:line="360" w:lineRule="auto"/>
              <w:rPr>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448" w:type="dxa"/>
            <w:vAlign w:val="center"/>
          </w:tcPr>
          <w:p>
            <w:pPr>
              <w:spacing w:line="360" w:lineRule="auto"/>
              <w:rPr>
                <w:szCs w:val="30"/>
              </w:rPr>
            </w:pPr>
            <w:r>
              <w:rPr>
                <w:rFonts w:hint="eastAsia"/>
                <w:szCs w:val="30"/>
              </w:rPr>
              <w:t>手机</w:t>
            </w:r>
          </w:p>
        </w:tc>
        <w:tc>
          <w:tcPr>
            <w:tcW w:w="6074" w:type="dxa"/>
            <w:vAlign w:val="center"/>
          </w:tcPr>
          <w:p>
            <w:pPr>
              <w:spacing w:line="360" w:lineRule="auto"/>
              <w:rPr>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448" w:type="dxa"/>
            <w:vAlign w:val="center"/>
          </w:tcPr>
          <w:p>
            <w:pPr>
              <w:spacing w:line="360" w:lineRule="auto"/>
              <w:rPr>
                <w:szCs w:val="30"/>
              </w:rPr>
            </w:pPr>
            <w:r>
              <w:rPr>
                <w:rFonts w:hint="eastAsia"/>
                <w:szCs w:val="30"/>
              </w:rPr>
              <w:t>企业资质</w:t>
            </w:r>
          </w:p>
        </w:tc>
        <w:tc>
          <w:tcPr>
            <w:tcW w:w="6074" w:type="dxa"/>
            <w:vAlign w:val="center"/>
          </w:tcPr>
          <w:p>
            <w:pPr>
              <w:spacing w:line="360" w:lineRule="auto"/>
              <w:rPr>
                <w:szCs w:val="30"/>
              </w:rPr>
            </w:pPr>
          </w:p>
        </w:tc>
      </w:tr>
    </w:tbl>
    <w:p>
      <w:pPr>
        <w:spacing w:line="360" w:lineRule="auto"/>
        <w:rPr>
          <w:rFonts w:hint="eastAsia" w:ascii="宋体" w:hAnsi="宋体" w:cs="宋体"/>
          <w:sz w:val="28"/>
          <w:szCs w:val="28"/>
        </w:rPr>
      </w:pPr>
      <w:r>
        <w:rPr>
          <w:rFonts w:hint="eastAsia" w:ascii="宋体" w:hAnsi="宋体" w:cs="宋体"/>
          <w:sz w:val="28"/>
          <w:szCs w:val="28"/>
        </w:rPr>
        <w:t>后附：</w:t>
      </w:r>
    </w:p>
    <w:p>
      <w:pPr>
        <w:spacing w:line="360" w:lineRule="auto"/>
        <w:rPr>
          <w:rFonts w:hint="eastAsia" w:ascii="宋体" w:hAnsi="宋体" w:cs="宋体"/>
          <w:sz w:val="28"/>
          <w:szCs w:val="28"/>
        </w:rPr>
      </w:pPr>
      <w:r>
        <w:rPr>
          <w:rFonts w:hint="eastAsia" w:ascii="宋体" w:hAnsi="宋体" w:cs="宋体"/>
          <w:sz w:val="28"/>
          <w:szCs w:val="28"/>
        </w:rPr>
        <w:t>1、投标人资格证明文件；</w:t>
      </w:r>
    </w:p>
    <w:p>
      <w:pPr>
        <w:spacing w:line="360" w:lineRule="auto"/>
        <w:rPr>
          <w:rFonts w:hint="eastAsia" w:ascii="宋体" w:hAnsi="宋体" w:cs="宋体"/>
          <w:sz w:val="28"/>
          <w:szCs w:val="28"/>
        </w:rPr>
      </w:pPr>
      <w:r>
        <w:rPr>
          <w:rFonts w:hint="eastAsia" w:ascii="宋体" w:hAnsi="宋体" w:cs="宋体"/>
          <w:sz w:val="28"/>
          <w:szCs w:val="28"/>
        </w:rPr>
        <w:t>2、保证金缴纳凭证。</w:t>
      </w:r>
    </w:p>
    <w:p>
      <w:pPr>
        <w:pStyle w:val="40"/>
        <w:ind w:firstLine="280"/>
      </w:pPr>
    </w:p>
    <w:p>
      <w:pPr>
        <w:spacing w:line="360" w:lineRule="auto"/>
        <w:ind w:firstLine="5040" w:firstLineChars="1800"/>
        <w:rPr>
          <w:rFonts w:hint="eastAsia" w:ascii="宋体" w:hAnsi="宋体" w:cs="宋体"/>
          <w:sz w:val="28"/>
          <w:szCs w:val="28"/>
        </w:rPr>
      </w:pPr>
      <w:r>
        <w:rPr>
          <w:rFonts w:hint="eastAsia" w:ascii="宋体" w:hAnsi="宋体" w:cs="宋体"/>
          <w:sz w:val="28"/>
          <w:szCs w:val="28"/>
        </w:rPr>
        <w:t>投标人（盖章）：</w:t>
      </w:r>
    </w:p>
    <w:p>
      <w:pPr>
        <w:spacing w:line="360" w:lineRule="auto"/>
        <w:ind w:firstLine="5040" w:firstLineChars="1800"/>
        <w:rPr>
          <w:rFonts w:hint="eastAsia" w:ascii="宋体" w:hAnsi="宋体" w:cs="宋体"/>
          <w:sz w:val="28"/>
          <w:szCs w:val="28"/>
        </w:rPr>
      </w:pPr>
      <w:r>
        <w:rPr>
          <w:rFonts w:hint="eastAsia" w:ascii="宋体" w:hAnsi="宋体" w:cs="宋体"/>
          <w:sz w:val="28"/>
          <w:szCs w:val="28"/>
        </w:rPr>
        <w:t>2026年   月   日</w:t>
      </w:r>
    </w:p>
    <w:bookmarkEnd w:id="38"/>
    <w:bookmarkEnd w:id="39"/>
    <w:bookmarkEnd w:id="40"/>
    <w:bookmarkEnd w:id="41"/>
    <w:bookmarkEnd w:id="42"/>
    <w:bookmarkEnd w:id="43"/>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Pr>
        <w:pStyle w:val="4"/>
        <w:pageBreakBefore/>
        <w:spacing w:line="560" w:lineRule="exact"/>
        <w:ind w:firstLine="2209" w:firstLineChars="500"/>
        <w:rPr>
          <w:rFonts w:hint="eastAsia" w:ascii="宋体" w:hAnsi="宋体"/>
        </w:rPr>
      </w:pPr>
      <w:bookmarkStart w:id="468" w:name="_Toc22756"/>
      <w:bookmarkStart w:id="469" w:name="_Toc27528"/>
      <w:bookmarkStart w:id="470" w:name="_Toc16548"/>
      <w:bookmarkStart w:id="471" w:name="_Toc5979"/>
      <w:bookmarkStart w:id="472" w:name="_Toc23138"/>
      <w:bookmarkStart w:id="473" w:name="_Toc17952"/>
      <w:bookmarkStart w:id="474" w:name="_Toc2291"/>
      <w:bookmarkStart w:id="475" w:name="_Toc25227"/>
      <w:bookmarkStart w:id="476" w:name="_Toc22980"/>
      <w:bookmarkStart w:id="477" w:name="_Toc26130"/>
      <w:bookmarkStart w:id="478" w:name="_Toc31399"/>
      <w:bookmarkStart w:id="479" w:name="_Toc19440"/>
      <w:bookmarkStart w:id="480" w:name="_Toc6136"/>
      <w:bookmarkStart w:id="481" w:name="_Toc5919"/>
      <w:bookmarkStart w:id="482" w:name="_Toc8041"/>
      <w:bookmarkStart w:id="483" w:name="_Toc28206"/>
      <w:bookmarkStart w:id="484" w:name="_Toc17421"/>
      <w:bookmarkStart w:id="485" w:name="_Toc10844"/>
      <w:bookmarkStart w:id="486" w:name="_Toc26155"/>
      <w:bookmarkStart w:id="487" w:name="_Toc32596"/>
      <w:bookmarkStart w:id="488" w:name="_Toc32670"/>
      <w:bookmarkStart w:id="489" w:name="_Toc179632544"/>
      <w:bookmarkStart w:id="490" w:name="_Toc152045527"/>
      <w:bookmarkStart w:id="491" w:name="_Toc144974495"/>
      <w:bookmarkStart w:id="492" w:name="_Toc25844"/>
      <w:bookmarkStart w:id="493" w:name="_Toc32144"/>
      <w:bookmarkStart w:id="494" w:name="_Toc24156"/>
      <w:bookmarkStart w:id="495" w:name="_Toc12498"/>
      <w:bookmarkStart w:id="496" w:name="_Toc152042303"/>
      <w:bookmarkStart w:id="497" w:name="_Toc18737"/>
      <w:bookmarkStart w:id="498" w:name="_Toc32455"/>
      <w:bookmarkStart w:id="499" w:name="_Toc246996173"/>
      <w:bookmarkStart w:id="500" w:name="_Toc246996916"/>
      <w:bookmarkStart w:id="501" w:name="_Toc4993"/>
      <w:bookmarkStart w:id="502" w:name="_Toc1382"/>
      <w:bookmarkStart w:id="503" w:name="_Toc457992955"/>
      <w:bookmarkStart w:id="504" w:name="_Toc247085687"/>
      <w:bookmarkStart w:id="505" w:name="_Toc21866"/>
      <w:bookmarkStart w:id="506" w:name="_Toc883"/>
      <w:bookmarkStart w:id="507" w:name="_Toc246996918"/>
      <w:bookmarkStart w:id="508" w:name="_Toc17700"/>
      <w:bookmarkStart w:id="509" w:name="_Toc14722"/>
      <w:bookmarkStart w:id="510" w:name="_Toc26238"/>
      <w:bookmarkStart w:id="511" w:name="_Toc19791"/>
      <w:bookmarkStart w:id="512" w:name="_Toc152042305"/>
      <w:bookmarkStart w:id="513" w:name="_Toc25467"/>
      <w:bookmarkStart w:id="514" w:name="_Toc8755"/>
      <w:bookmarkStart w:id="515" w:name="_Toc30600"/>
      <w:bookmarkStart w:id="516" w:name="_Toc14688"/>
      <w:bookmarkStart w:id="517" w:name="_Toc6400"/>
      <w:bookmarkStart w:id="518" w:name="_Toc14420"/>
      <w:bookmarkStart w:id="519" w:name="_Toc15675"/>
      <w:bookmarkStart w:id="520" w:name="_Toc247085689"/>
      <w:bookmarkStart w:id="521" w:name="_Toc8941"/>
      <w:bookmarkStart w:id="522" w:name="_Toc23614"/>
      <w:bookmarkStart w:id="523" w:name="_Toc435178366"/>
      <w:bookmarkStart w:id="524" w:name="_Toc9077"/>
      <w:bookmarkStart w:id="525" w:name="_Toc152045529"/>
      <w:bookmarkStart w:id="526" w:name="_Toc179632546"/>
      <w:bookmarkStart w:id="527" w:name="_Toc5049"/>
      <w:bookmarkStart w:id="528" w:name="_Toc30772"/>
      <w:bookmarkStart w:id="529" w:name="_Toc436215723"/>
      <w:bookmarkStart w:id="530" w:name="_Toc12951"/>
      <w:bookmarkStart w:id="531" w:name="_Toc13659"/>
      <w:bookmarkStart w:id="532" w:name="_Toc6751"/>
      <w:bookmarkStart w:id="533" w:name="_Toc15974"/>
      <w:bookmarkStart w:id="534" w:name="_Toc9853"/>
      <w:bookmarkStart w:id="535" w:name="_Toc246996175"/>
      <w:bookmarkStart w:id="536" w:name="_Toc7677"/>
      <w:bookmarkStart w:id="537" w:name="_Toc10044"/>
      <w:bookmarkStart w:id="538" w:name="_Toc4264"/>
      <w:bookmarkStart w:id="539" w:name="_Toc19977"/>
      <w:bookmarkStart w:id="540" w:name="_Toc144974497"/>
      <w:bookmarkStart w:id="541" w:name="_Toc496601933"/>
      <w:bookmarkStart w:id="542" w:name="_Toc447265214"/>
      <w:bookmarkStart w:id="543" w:name="_Toc56432211"/>
      <w:bookmarkStart w:id="544" w:name="_Toc3672"/>
      <w:bookmarkStart w:id="545" w:name="_Toc447265500"/>
      <w:bookmarkStart w:id="546" w:name="_Toc447188665"/>
      <w:r>
        <w:rPr>
          <w:rFonts w:hint="eastAsia" w:ascii="宋体" w:hAnsi="宋体"/>
        </w:rPr>
        <w:t>第二章 投标人须知</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5"/>
        <w:spacing w:line="560" w:lineRule="exact"/>
        <w:ind w:firstLine="2891" w:firstLineChars="900"/>
        <w:rPr>
          <w:rFonts w:hint="eastAsia" w:ascii="宋体" w:hAnsi="宋体" w:eastAsia="宋体"/>
        </w:rPr>
      </w:pPr>
      <w:bookmarkStart w:id="547" w:name="_Toc10558"/>
      <w:bookmarkStart w:id="548" w:name="_Toc1213"/>
      <w:bookmarkStart w:id="549" w:name="_Toc32124"/>
      <w:bookmarkStart w:id="550" w:name="_Toc11678"/>
      <w:bookmarkStart w:id="551" w:name="_Toc8039"/>
      <w:bookmarkStart w:id="552" w:name="_Toc26061"/>
      <w:bookmarkStart w:id="553" w:name="_Toc3423"/>
      <w:bookmarkStart w:id="554" w:name="_Toc4650"/>
      <w:bookmarkStart w:id="555" w:name="_Toc13467"/>
      <w:bookmarkStart w:id="556" w:name="_Toc1871"/>
      <w:bookmarkStart w:id="557" w:name="_Toc9009"/>
      <w:bookmarkStart w:id="558" w:name="_Toc4996"/>
      <w:bookmarkStart w:id="559" w:name="_Toc1592"/>
      <w:bookmarkStart w:id="560" w:name="_Toc1748"/>
      <w:bookmarkStart w:id="561" w:name="_Toc21433"/>
      <w:bookmarkStart w:id="562" w:name="_Toc10289"/>
      <w:bookmarkStart w:id="563" w:name="_Toc7318"/>
      <w:bookmarkStart w:id="564" w:name="_Toc7416"/>
      <w:bookmarkStart w:id="565" w:name="_Toc21300"/>
      <w:bookmarkStart w:id="566" w:name="_Toc28135"/>
      <w:bookmarkStart w:id="567" w:name="_Toc22335"/>
      <w:r>
        <w:rPr>
          <w:rFonts w:hint="eastAsia" w:ascii="宋体" w:hAnsi="宋体" w:eastAsia="宋体"/>
        </w:rPr>
        <w:t>投标人须知前附表</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tbl>
      <w:tblPr>
        <w:tblStyle w:val="41"/>
        <w:tblW w:w="0" w:type="auto"/>
        <w:tblInd w:w="0" w:type="dxa"/>
        <w:tblLayout w:type="fixed"/>
        <w:tblCellMar>
          <w:top w:w="0" w:type="dxa"/>
          <w:left w:w="108" w:type="dxa"/>
          <w:bottom w:w="0" w:type="dxa"/>
          <w:right w:w="108" w:type="dxa"/>
        </w:tblCellMar>
      </w:tblPr>
      <w:tblGrid>
        <w:gridCol w:w="3288"/>
        <w:gridCol w:w="5265"/>
      </w:tblGrid>
      <w:tr>
        <w:tblPrEx>
          <w:tblCellMar>
            <w:top w:w="0" w:type="dxa"/>
            <w:left w:w="108" w:type="dxa"/>
            <w:bottom w:w="0" w:type="dxa"/>
            <w:right w:w="108" w:type="dxa"/>
          </w:tblCellMar>
        </w:tblPrEx>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b/>
                <w:szCs w:val="21"/>
              </w:rPr>
            </w:pPr>
            <w:r>
              <w:rPr>
                <w:rFonts w:ascii="宋体" w:hAnsi="宋体"/>
                <w:b/>
                <w:szCs w:val="21"/>
              </w:rPr>
              <w:t>条  款  名  称</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b/>
                <w:szCs w:val="21"/>
              </w:rPr>
            </w:pPr>
            <w:r>
              <w:rPr>
                <w:rFonts w:hint="eastAsia" w:ascii="宋体" w:hAnsi="宋体"/>
                <w:b/>
                <w:szCs w:val="21"/>
              </w:rPr>
              <w:t>内容</w:t>
            </w:r>
          </w:p>
        </w:tc>
      </w:tr>
      <w:tr>
        <w:tblPrEx>
          <w:tblCellMar>
            <w:top w:w="0" w:type="dxa"/>
            <w:left w:w="108" w:type="dxa"/>
            <w:bottom w:w="0" w:type="dxa"/>
            <w:right w:w="108" w:type="dxa"/>
          </w:tblCellMar>
        </w:tblPrEx>
        <w:trPr>
          <w:trHeight w:val="90" w:hRule="atLeast"/>
        </w:trPr>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招标人</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名称：</w:t>
            </w:r>
            <w:r>
              <w:rPr>
                <w:rFonts w:hint="eastAsia" w:asciiTheme="minorEastAsia" w:hAnsiTheme="minorEastAsia" w:eastAsiaTheme="minorEastAsia" w:cstheme="minorEastAsia"/>
                <w:szCs w:val="21"/>
                <w:u w:val="single"/>
              </w:rPr>
              <w:t>广东省南方传媒发行物流有限公司</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地址：</w:t>
            </w:r>
            <w:r>
              <w:rPr>
                <w:rFonts w:hint="eastAsia" w:asciiTheme="minorEastAsia" w:hAnsiTheme="minorEastAsia" w:eastAsiaTheme="minorEastAsia" w:cstheme="minorEastAsia"/>
                <w:szCs w:val="21"/>
                <w:u w:val="single"/>
              </w:rPr>
              <w:t>广州市黄埔区黄埔大道东888号南方智媒大厦南塔20楼</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联系人：</w:t>
            </w:r>
            <w:r>
              <w:rPr>
                <w:rFonts w:hint="eastAsia" w:asciiTheme="minorEastAsia" w:hAnsiTheme="minorEastAsia" w:eastAsiaTheme="minorEastAsia" w:cstheme="minorEastAsia"/>
                <w:szCs w:val="21"/>
                <w:u w:val="single"/>
              </w:rPr>
              <w:t xml:space="preserve">官小姐、孙小姐   </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电话：</w:t>
            </w:r>
            <w:r>
              <w:rPr>
                <w:rFonts w:hint="eastAsia" w:asciiTheme="minorEastAsia" w:hAnsiTheme="minorEastAsia" w:eastAsiaTheme="minorEastAsia" w:cstheme="minorEastAsia"/>
                <w:szCs w:val="21"/>
                <w:u w:val="single"/>
              </w:rPr>
              <w:t xml:space="preserve">020-83002718 </w:t>
            </w:r>
            <w:r>
              <w:rPr>
                <w:rFonts w:hint="eastAsia" w:asciiTheme="minorEastAsia" w:hAnsiTheme="minorEastAsia" w:eastAsiaTheme="minorEastAsia" w:cstheme="minorEastAsia"/>
                <w:szCs w:val="21"/>
              </w:rPr>
              <w:t>、020-83004093</w:t>
            </w:r>
          </w:p>
        </w:tc>
      </w:tr>
      <w:tr>
        <w:tblPrEx>
          <w:tblCellMar>
            <w:top w:w="0" w:type="dxa"/>
            <w:left w:w="108" w:type="dxa"/>
            <w:bottom w:w="0" w:type="dxa"/>
            <w:right w:w="108" w:type="dxa"/>
          </w:tblCellMar>
        </w:tblPrEx>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项目名称</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2026-2028年度劳务用工服务</w:t>
            </w:r>
          </w:p>
        </w:tc>
      </w:tr>
      <w:tr>
        <w:tblPrEx>
          <w:tblCellMar>
            <w:top w:w="0" w:type="dxa"/>
            <w:left w:w="108" w:type="dxa"/>
            <w:bottom w:w="0" w:type="dxa"/>
            <w:right w:w="108" w:type="dxa"/>
          </w:tblCellMar>
        </w:tblPrEx>
        <w:trPr>
          <w:trHeight w:val="353" w:hRule="atLeast"/>
        </w:trPr>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资金来源</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自筹</w:t>
            </w:r>
          </w:p>
        </w:tc>
      </w:tr>
      <w:tr>
        <w:tblPrEx>
          <w:tblCellMar>
            <w:top w:w="0" w:type="dxa"/>
            <w:left w:w="108" w:type="dxa"/>
            <w:bottom w:w="0" w:type="dxa"/>
            <w:right w:w="108" w:type="dxa"/>
          </w:tblCellMar>
        </w:tblPrEx>
        <w:trPr>
          <w:trHeight w:val="398" w:hRule="atLeast"/>
        </w:trPr>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资金落实情况</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已落实</w:t>
            </w:r>
          </w:p>
        </w:tc>
      </w:tr>
      <w:tr>
        <w:tblPrEx>
          <w:tblCellMar>
            <w:top w:w="0" w:type="dxa"/>
            <w:left w:w="108" w:type="dxa"/>
            <w:bottom w:w="0" w:type="dxa"/>
            <w:right w:w="108" w:type="dxa"/>
          </w:tblCellMar>
        </w:tblPrEx>
        <w:trPr>
          <w:trHeight w:val="90" w:hRule="atLeast"/>
        </w:trPr>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中标</w:t>
            </w:r>
            <w:r>
              <w:rPr>
                <w:rFonts w:hint="eastAsia" w:asciiTheme="minorEastAsia" w:hAnsiTheme="minorEastAsia" w:eastAsiaTheme="minorEastAsia" w:cstheme="minorEastAsia"/>
                <w:szCs w:val="21"/>
              </w:rPr>
              <w:t>服务商有效期</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合同期一年，若双方合作满意，经招标人同意可续签一年。</w:t>
            </w:r>
          </w:p>
        </w:tc>
      </w:tr>
      <w:tr>
        <w:tblPrEx>
          <w:tblCellMar>
            <w:top w:w="0" w:type="dxa"/>
            <w:left w:w="108" w:type="dxa"/>
            <w:bottom w:w="0" w:type="dxa"/>
            <w:right w:w="108" w:type="dxa"/>
          </w:tblCellMar>
        </w:tblPrEx>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本项目报价及相关疑问解答</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Times New Roman" w:char="0000"/>
            </w: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不组织</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Times New Roman" w:char="0000"/>
            </w:r>
            <w:r>
              <w:rPr>
                <w:rFonts w:hint="eastAsia" w:asciiTheme="minorEastAsia" w:hAnsiTheme="minorEastAsia" w:eastAsiaTheme="minorEastAsia" w:cstheme="minorEastAsia"/>
                <w:szCs w:val="21"/>
              </w:rPr>
              <w:sym w:font="Wingdings 2" w:char="0052"/>
            </w:r>
            <w:r>
              <w:rPr>
                <w:rFonts w:hint="eastAsia" w:asciiTheme="minorEastAsia" w:hAnsiTheme="minorEastAsia" w:eastAsiaTheme="minorEastAsia" w:cstheme="minorEastAsia"/>
                <w:szCs w:val="21"/>
              </w:rPr>
              <w:t>组织</w:t>
            </w:r>
          </w:p>
        </w:tc>
      </w:tr>
      <w:tr>
        <w:tblPrEx>
          <w:tblCellMar>
            <w:top w:w="0" w:type="dxa"/>
            <w:left w:w="108" w:type="dxa"/>
            <w:bottom w:w="0" w:type="dxa"/>
            <w:right w:w="108" w:type="dxa"/>
          </w:tblCellMar>
        </w:tblPrEx>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投标人提交疑问的截止时间</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疑问提交时间</w:t>
            </w:r>
            <w:r>
              <w:rPr>
                <w:rFonts w:hint="eastAsia" w:asciiTheme="minorEastAsia" w:hAnsiTheme="minorEastAsia" w:eastAsiaTheme="minorEastAsia" w:cstheme="minorEastAsia"/>
                <w:b/>
                <w:bCs/>
                <w:szCs w:val="21"/>
              </w:rPr>
              <w:t>：</w:t>
            </w:r>
            <w:r>
              <w:rPr>
                <w:rFonts w:hint="eastAsia" w:asciiTheme="minorEastAsia" w:hAnsiTheme="minorEastAsia" w:eastAsiaTheme="minorEastAsia" w:cstheme="minorEastAsia"/>
                <w:bCs/>
                <w:szCs w:val="21"/>
                <w:u w:val="single"/>
              </w:rPr>
              <w:t xml:space="preserve"> 2026</w:t>
            </w:r>
            <w:r>
              <w:rPr>
                <w:rFonts w:hint="eastAsia" w:asciiTheme="minorEastAsia" w:hAnsiTheme="minorEastAsia" w:eastAsiaTheme="minorEastAsia" w:cstheme="minorEastAsia"/>
                <w:bCs/>
                <w:szCs w:val="21"/>
              </w:rPr>
              <w:t>年</w:t>
            </w:r>
            <w:r>
              <w:rPr>
                <w:rFonts w:hint="eastAsia" w:asciiTheme="minorEastAsia" w:hAnsiTheme="minorEastAsia" w:eastAsiaTheme="minorEastAsia" w:cstheme="minorEastAsia"/>
                <w:bCs/>
                <w:szCs w:val="21"/>
                <w:u w:val="single"/>
              </w:rPr>
              <w:t>10</w:t>
            </w:r>
            <w:r>
              <w:rPr>
                <w:rFonts w:hint="eastAsia" w:asciiTheme="minorEastAsia" w:hAnsiTheme="minorEastAsia" w:eastAsiaTheme="minorEastAsia" w:cstheme="minorEastAsia"/>
                <w:bCs/>
                <w:szCs w:val="21"/>
              </w:rPr>
              <w:t>月</w:t>
            </w:r>
            <w:r>
              <w:rPr>
                <w:rFonts w:hint="eastAsia" w:asciiTheme="minorEastAsia" w:hAnsiTheme="minorEastAsia" w:eastAsiaTheme="minorEastAsia" w:cstheme="minorEastAsia"/>
                <w:bCs/>
                <w:szCs w:val="21"/>
                <w:u w:val="single"/>
                <w:lang w:val="en-US" w:eastAsia="zh-CN"/>
              </w:rPr>
              <w:t>9</w:t>
            </w:r>
            <w:r>
              <w:rPr>
                <w:rFonts w:hint="eastAsia" w:asciiTheme="minorEastAsia" w:hAnsiTheme="minorEastAsia" w:eastAsiaTheme="minorEastAsia" w:cstheme="minorEastAsia"/>
                <w:bCs/>
                <w:szCs w:val="21"/>
              </w:rPr>
              <w:t>日14时前（在报价截止前</w:t>
            </w:r>
            <w:r>
              <w:rPr>
                <w:rFonts w:hint="eastAsia" w:asciiTheme="minorEastAsia" w:hAnsiTheme="minorEastAsia" w:eastAsiaTheme="minorEastAsia" w:cstheme="minorEastAsia"/>
                <w:bCs/>
                <w:szCs w:val="21"/>
                <w:lang w:val="en-US" w:eastAsia="zh-CN"/>
              </w:rPr>
              <w:t>3</w:t>
            </w:r>
            <w:r>
              <w:rPr>
                <w:rFonts w:hint="eastAsia" w:asciiTheme="minorEastAsia" w:hAnsiTheme="minorEastAsia" w:eastAsiaTheme="minorEastAsia" w:cstheme="minorEastAsia"/>
                <w:bCs/>
                <w:szCs w:val="21"/>
              </w:rPr>
              <w:t>天）</w:t>
            </w:r>
            <w:r>
              <w:rPr>
                <w:rFonts w:hint="eastAsia" w:asciiTheme="minorEastAsia" w:hAnsiTheme="minorEastAsia" w:eastAsiaTheme="minorEastAsia" w:cstheme="minorEastAsia"/>
                <w:b/>
                <w:szCs w:val="21"/>
              </w:rPr>
              <w:t>。</w:t>
            </w:r>
          </w:p>
          <w:p>
            <w:pPr>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提交疑问方式：发送电子邮件</w:t>
            </w:r>
          </w:p>
          <w:p>
            <w:pPr>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文件格式要求：PDF格式</w:t>
            </w:r>
          </w:p>
          <w:p>
            <w:pPr>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招标人邮箱：</w:t>
            </w:r>
            <w:r>
              <w:rPr>
                <w:rFonts w:hint="eastAsia" w:asciiTheme="minorEastAsia" w:hAnsiTheme="minorEastAsia" w:eastAsiaTheme="minorEastAsia" w:cstheme="minorEastAsia"/>
                <w:szCs w:val="21"/>
                <w:u w:val="single"/>
              </w:rPr>
              <w:t xml:space="preserve">fxwlcg@nfmedia.com </w:t>
            </w:r>
          </w:p>
        </w:tc>
      </w:tr>
      <w:tr>
        <w:tblPrEx>
          <w:tblCellMar>
            <w:top w:w="0" w:type="dxa"/>
            <w:left w:w="108" w:type="dxa"/>
            <w:bottom w:w="0" w:type="dxa"/>
            <w:right w:w="108" w:type="dxa"/>
          </w:tblCellMar>
        </w:tblPrEx>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招标人澄清/修改文件的截止时间</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澄清、修改或答疑期限：在递交投标文件截止日期前2 日；</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澄清、修改或答疑方式：网上澄清、修改、答疑，请投标人留意招标人网站。</w:t>
            </w:r>
          </w:p>
        </w:tc>
      </w:tr>
      <w:tr>
        <w:tblPrEx>
          <w:tblCellMar>
            <w:top w:w="0" w:type="dxa"/>
            <w:left w:w="108" w:type="dxa"/>
            <w:bottom w:w="0" w:type="dxa"/>
            <w:right w:w="108" w:type="dxa"/>
          </w:tblCellMar>
        </w:tblPrEx>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投标文件有效期</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90  </w:t>
            </w:r>
            <w:r>
              <w:rPr>
                <w:rFonts w:hint="eastAsia" w:asciiTheme="minorEastAsia" w:hAnsiTheme="minorEastAsia" w:eastAsiaTheme="minorEastAsia" w:cstheme="minorEastAsia"/>
                <w:szCs w:val="21"/>
              </w:rPr>
              <w:t>日历天（从投标截止之日计起）</w:t>
            </w:r>
          </w:p>
        </w:tc>
      </w:tr>
      <w:tr>
        <w:tblPrEx>
          <w:tblCellMar>
            <w:top w:w="0" w:type="dxa"/>
            <w:left w:w="108" w:type="dxa"/>
            <w:bottom w:w="0" w:type="dxa"/>
            <w:right w:w="108" w:type="dxa"/>
          </w:tblCellMar>
        </w:tblPrEx>
        <w:trPr>
          <w:trHeight w:val="90" w:hRule="atLeast"/>
        </w:trPr>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★投标保证金</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□不要求递交投标保证金</w:t>
            </w:r>
          </w:p>
          <w:p>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eq \o\ac(□,√)</w:instrText>
            </w:r>
            <w:r>
              <w:rPr>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szCs w:val="21"/>
              </w:rPr>
              <w:t>要求递交投标保证金</w:t>
            </w:r>
          </w:p>
          <w:p>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投标保证金缴纳方式：以银行转账方式缴纳￥10000 元(大写：壹万元整），须在投标文件递交截止时间之前到达招标人保证金账户。保证金必须由投标人自有对公账户转出，不允许代缴，不接受银行柜台缴纳现金方式。汇款时，需在汇款单备注栏添加本项目的项目编号，例如 “投标保证金ZB202614”。  </w:t>
            </w:r>
          </w:p>
          <w:p>
            <w:pPr>
              <w:spacing w:line="360" w:lineRule="auto"/>
              <w:ind w:left="399" w:leftChars="190" w:firstLine="0" w:firstLineChars="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招标人开户银行： </w:t>
            </w:r>
            <w:r>
              <w:rPr>
                <w:rFonts w:hint="eastAsia" w:asciiTheme="minorEastAsia" w:hAnsiTheme="minorEastAsia" w:eastAsiaTheme="minorEastAsia" w:cstheme="minorEastAsia"/>
                <w:szCs w:val="21"/>
              </w:rPr>
              <w:br w:type="textWrapping"/>
            </w:r>
            <w:r>
              <w:rPr>
                <w:rFonts w:hint="eastAsia" w:asciiTheme="minorEastAsia" w:hAnsiTheme="minorEastAsia" w:eastAsiaTheme="minorEastAsia" w:cstheme="minorEastAsia"/>
                <w:szCs w:val="21"/>
              </w:rPr>
              <w:t xml:space="preserve">单 位：广东省南方传媒发行物流有限公司 </w:t>
            </w:r>
          </w:p>
          <w:p>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开 户 行：中国农业银行广州五羊新城支行  </w:t>
            </w:r>
          </w:p>
          <w:p>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账 号：44030401040003075</w:t>
            </w:r>
          </w:p>
        </w:tc>
      </w:tr>
      <w:tr>
        <w:tblPrEx>
          <w:tblCellMar>
            <w:top w:w="0" w:type="dxa"/>
            <w:left w:w="108" w:type="dxa"/>
            <w:bottom w:w="0" w:type="dxa"/>
            <w:right w:w="108" w:type="dxa"/>
          </w:tblCellMar>
        </w:tblPrEx>
        <w:trPr>
          <w:trHeight w:val="1525" w:hRule="atLeast"/>
        </w:trPr>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投标文件数量</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投标文件正本一份, 副本一份。正本和副本的封面上应清楚地标记“正本”或“副本”的字样。当副本和正本不一致时，以正本为准。</w:t>
            </w:r>
          </w:p>
        </w:tc>
      </w:tr>
      <w:tr>
        <w:tblPrEx>
          <w:tblCellMar>
            <w:top w:w="0" w:type="dxa"/>
            <w:left w:w="108" w:type="dxa"/>
            <w:bottom w:w="0" w:type="dxa"/>
            <w:right w:w="108" w:type="dxa"/>
          </w:tblCellMar>
        </w:tblPrEx>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装订要求</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统一A4印刷本(纸张大小超过A4纸的折叠成A4纸的规格)，纸质封面，使用书式装订，不得用活页装订。投标文件正本副本、电子文件（如有）一起包封为一包。</w:t>
            </w:r>
          </w:p>
        </w:tc>
      </w:tr>
      <w:tr>
        <w:tblPrEx>
          <w:tblCellMar>
            <w:top w:w="0" w:type="dxa"/>
            <w:left w:w="108" w:type="dxa"/>
            <w:bottom w:w="0" w:type="dxa"/>
            <w:right w:w="108" w:type="dxa"/>
          </w:tblCellMar>
        </w:tblPrEx>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封套上应载明的信息</w:t>
            </w:r>
          </w:p>
        </w:tc>
        <w:tc>
          <w:tcPr>
            <w:tcW w:w="5265" w:type="dxa"/>
            <w:tcBorders>
              <w:top w:val="single" w:color="auto" w:sz="4" w:space="0"/>
              <w:left w:val="single" w:color="auto" w:sz="4" w:space="0"/>
              <w:bottom w:val="single" w:color="auto" w:sz="4" w:space="0"/>
              <w:right w:val="single" w:color="auto" w:sz="4" w:space="0"/>
            </w:tcBorders>
            <w:vAlign w:val="center"/>
          </w:tcPr>
          <w:p>
            <w:pPr>
              <w:pStyle w:val="40"/>
              <w:spacing w:line="360" w:lineRule="auto"/>
              <w:ind w:firstLine="21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招标人名称：_________________________</w:t>
            </w:r>
          </w:p>
          <w:p>
            <w:pPr>
              <w:pStyle w:val="40"/>
              <w:spacing w:line="360" w:lineRule="auto"/>
              <w:ind w:firstLine="21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项目名称：_________________________     </w:t>
            </w:r>
          </w:p>
          <w:p>
            <w:pPr>
              <w:pStyle w:val="40"/>
              <w:spacing w:line="360" w:lineRule="auto"/>
              <w:ind w:firstLine="21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项目编号：_________________________</w:t>
            </w:r>
          </w:p>
          <w:p>
            <w:pPr>
              <w:pStyle w:val="40"/>
              <w:spacing w:line="360" w:lineRule="auto"/>
              <w:ind w:firstLine="2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投标人名称：_________________________</w:t>
            </w:r>
          </w:p>
          <w:p>
            <w:pPr>
              <w:pStyle w:val="40"/>
              <w:spacing w:line="360" w:lineRule="auto"/>
              <w:ind w:firstLine="2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投标人地址：_________________________  </w:t>
            </w:r>
          </w:p>
          <w:p>
            <w:pPr>
              <w:pStyle w:val="40"/>
              <w:spacing w:line="360" w:lineRule="auto"/>
              <w:ind w:firstLine="21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投标标段： _________________________                       </w:t>
            </w:r>
          </w:p>
        </w:tc>
      </w:tr>
      <w:tr>
        <w:tblPrEx>
          <w:tblCellMar>
            <w:top w:w="0" w:type="dxa"/>
            <w:left w:w="108" w:type="dxa"/>
            <w:bottom w:w="0" w:type="dxa"/>
            <w:right w:w="108" w:type="dxa"/>
          </w:tblCellMar>
        </w:tblPrEx>
        <w:trPr>
          <w:trHeight w:val="633" w:hRule="atLeast"/>
        </w:trPr>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投标文件邮寄及递交地点</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见招标公告</w:t>
            </w:r>
          </w:p>
        </w:tc>
      </w:tr>
      <w:tr>
        <w:tblPrEx>
          <w:tblCellMar>
            <w:top w:w="0" w:type="dxa"/>
            <w:left w:w="108" w:type="dxa"/>
            <w:bottom w:w="0" w:type="dxa"/>
            <w:right w:w="108" w:type="dxa"/>
          </w:tblCellMar>
        </w:tblPrEx>
        <w:trPr>
          <w:trHeight w:val="572" w:hRule="atLeast"/>
        </w:trPr>
        <w:tc>
          <w:tcPr>
            <w:tcW w:w="32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是否退还投标文件</w:t>
            </w:r>
          </w:p>
        </w:tc>
        <w:tc>
          <w:tcPr>
            <w:tcW w:w="5265" w:type="dxa"/>
            <w:tcBorders>
              <w:top w:val="single" w:color="auto" w:sz="4" w:space="0"/>
              <w:left w:val="single" w:color="auto" w:sz="4" w:space="0"/>
              <w:bottom w:val="single" w:color="auto" w:sz="4" w:space="0"/>
              <w:right w:val="single" w:color="auto" w:sz="4" w:space="0"/>
            </w:tcBorders>
            <w:vAlign w:val="center"/>
          </w:tcPr>
          <w:p>
            <w:pPr>
              <w:pStyle w:val="16"/>
              <w:topLinePunct/>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fldChar w:fldCharType="begin"/>
            </w:r>
            <w:r>
              <w:rPr>
                <w:rFonts w:hint="eastAsia" w:asciiTheme="minorEastAsia" w:hAnsiTheme="minorEastAsia" w:eastAsiaTheme="minorEastAsia" w:cstheme="minorEastAsia"/>
                <w:b/>
                <w:sz w:val="21"/>
                <w:szCs w:val="21"/>
              </w:rPr>
              <w:instrText xml:space="preserve"> eq \o\ac(□,</w:instrText>
            </w:r>
            <w:r>
              <w:rPr>
                <w:rFonts w:hint="eastAsia" w:asciiTheme="minorEastAsia" w:hAnsiTheme="minorEastAsia" w:eastAsiaTheme="minorEastAsia" w:cstheme="minorEastAsia"/>
                <w:b/>
                <w:position w:val="2"/>
                <w:sz w:val="21"/>
                <w:szCs w:val="21"/>
              </w:rPr>
              <w:instrText xml:space="preserve">√</w:instrText>
            </w:r>
            <w:r>
              <w:rPr>
                <w:rFonts w:hint="eastAsia" w:asciiTheme="minorEastAsia" w:hAnsiTheme="minorEastAsia" w:eastAsiaTheme="minorEastAsia" w:cstheme="minorEastAsia"/>
                <w:b/>
                <w:sz w:val="21"/>
                <w:szCs w:val="21"/>
              </w:rPr>
              <w:instrText xml:space="preserve">)</w:instrText>
            </w:r>
            <w:r>
              <w:rPr>
                <w:rFonts w:hint="eastAsia" w:asciiTheme="minorEastAsia" w:hAnsiTheme="minorEastAsia" w:eastAsiaTheme="minorEastAsia" w:cstheme="minorEastAsia"/>
                <w:b/>
                <w:sz w:val="21"/>
                <w:szCs w:val="21"/>
              </w:rPr>
              <w:fldChar w:fldCharType="end"/>
            </w:r>
            <w:r>
              <w:rPr>
                <w:rFonts w:hint="eastAsia" w:asciiTheme="minorEastAsia" w:hAnsiTheme="minorEastAsia" w:eastAsiaTheme="minorEastAsia" w:cstheme="minorEastAsia"/>
                <w:sz w:val="21"/>
                <w:szCs w:val="21"/>
              </w:rPr>
              <w:t>否</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w:t>
            </w:r>
          </w:p>
        </w:tc>
      </w:tr>
      <w:tr>
        <w:tblPrEx>
          <w:tblCellMar>
            <w:top w:w="0" w:type="dxa"/>
            <w:left w:w="108" w:type="dxa"/>
            <w:bottom w:w="0" w:type="dxa"/>
            <w:right w:w="108" w:type="dxa"/>
          </w:tblCellMar>
        </w:tblPrEx>
        <w:trPr>
          <w:trHeight w:val="942" w:hRule="atLeast"/>
        </w:trPr>
        <w:tc>
          <w:tcPr>
            <w:tcW w:w="3288" w:type="dxa"/>
            <w:tcBorders>
              <w:top w:val="single" w:color="auto" w:sz="4" w:space="0"/>
              <w:left w:val="single" w:color="auto" w:sz="4" w:space="0"/>
              <w:bottom w:val="single" w:color="auto" w:sz="4" w:space="0"/>
              <w:right w:val="single" w:color="auto" w:sz="4" w:space="0"/>
            </w:tcBorders>
            <w:vAlign w:val="center"/>
          </w:tcPr>
          <w:p>
            <w:pPr>
              <w:pStyle w:val="165"/>
              <w:autoSpaceDE/>
              <w:autoSpaceDN/>
              <w:adjustRightInd/>
              <w:snapToGrid/>
              <w:spacing w:line="360" w:lineRule="auto"/>
              <w:textAlignment w:val="auto"/>
              <w:rPr>
                <w:rFonts w:hint="eastAsia" w:asciiTheme="minorEastAsia" w:hAnsiTheme="minorEastAsia" w:eastAsiaTheme="minorEastAsia" w:cstheme="minorEastAsia"/>
                <w:spacing w:val="0"/>
                <w:kern w:val="2"/>
                <w:szCs w:val="21"/>
              </w:rPr>
            </w:pPr>
            <w:r>
              <w:rPr>
                <w:rFonts w:hint="eastAsia" w:asciiTheme="minorEastAsia" w:hAnsiTheme="minorEastAsia" w:eastAsiaTheme="minorEastAsia" w:cstheme="minorEastAsia"/>
                <w:spacing w:val="0"/>
                <w:kern w:val="2"/>
                <w:szCs w:val="21"/>
              </w:rPr>
              <w:t>公示媒介</w:t>
            </w:r>
          </w:p>
        </w:tc>
        <w:tc>
          <w:tcPr>
            <w:tcW w:w="526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https://zbtb.southcn.com/node_9381c01914</w:t>
            </w:r>
          </w:p>
        </w:tc>
      </w:t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tbl>
    <w:p>
      <w:pPr>
        <w:pStyle w:val="5"/>
        <w:spacing w:line="400" w:lineRule="exact"/>
      </w:pPr>
    </w:p>
    <w:p>
      <w:pPr>
        <w:pStyle w:val="5"/>
        <w:spacing w:line="400" w:lineRule="exact"/>
      </w:pPr>
      <w:bookmarkStart w:id="568" w:name="_Toc27217"/>
      <w:bookmarkStart w:id="569" w:name="_Toc17451"/>
      <w:bookmarkStart w:id="570" w:name="_Toc17410"/>
      <w:bookmarkStart w:id="571" w:name="_Toc13065"/>
      <w:bookmarkStart w:id="572" w:name="_Toc22565"/>
      <w:bookmarkStart w:id="573" w:name="_Toc6358"/>
      <w:bookmarkStart w:id="574" w:name="_Toc31426"/>
      <w:bookmarkStart w:id="575" w:name="_Toc26433"/>
      <w:bookmarkStart w:id="576" w:name="_Toc17492"/>
      <w:bookmarkStart w:id="577" w:name="_Toc21052"/>
      <w:bookmarkStart w:id="578" w:name="_Toc20417"/>
      <w:bookmarkStart w:id="579" w:name="_Toc12645"/>
      <w:bookmarkStart w:id="580" w:name="_Toc20271"/>
      <w:bookmarkStart w:id="581" w:name="_Toc10219"/>
      <w:r>
        <w:rPr>
          <w:rFonts w:hint="eastAsia"/>
        </w:rPr>
        <w:t>1. 总则</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6"/>
        <w:spacing w:line="400" w:lineRule="exact"/>
      </w:pPr>
      <w:bookmarkStart w:id="582" w:name="_Toc20083"/>
      <w:bookmarkStart w:id="583" w:name="_Toc13191"/>
      <w:bookmarkStart w:id="584" w:name="_Toc21206"/>
      <w:bookmarkStart w:id="585" w:name="_Toc14989"/>
      <w:bookmarkStart w:id="586" w:name="_Toc6526"/>
      <w:bookmarkStart w:id="587" w:name="_Toc2028"/>
      <w:bookmarkStart w:id="588" w:name="_Toc26104"/>
      <w:bookmarkStart w:id="589" w:name="_Toc436215724"/>
      <w:bookmarkStart w:id="590" w:name="_Toc15911"/>
      <w:bookmarkStart w:id="591" w:name="_Toc28470"/>
      <w:bookmarkStart w:id="592" w:name="_Toc18608"/>
      <w:bookmarkStart w:id="593" w:name="_Toc27292"/>
      <w:bookmarkStart w:id="594" w:name="_Toc496601934"/>
      <w:bookmarkStart w:id="595" w:name="_Toc9300"/>
      <w:bookmarkStart w:id="596" w:name="_Toc26504"/>
      <w:bookmarkStart w:id="597" w:name="_Toc22016"/>
      <w:bookmarkStart w:id="598" w:name="_Toc20668"/>
      <w:bookmarkStart w:id="599" w:name="_Toc250"/>
      <w:bookmarkStart w:id="600" w:name="_Toc31498"/>
      <w:bookmarkStart w:id="601" w:name="_Toc3610"/>
      <w:bookmarkStart w:id="602" w:name="_Toc11544"/>
      <w:bookmarkStart w:id="603" w:name="_Toc29516"/>
      <w:bookmarkStart w:id="604" w:name="_Toc19537"/>
      <w:bookmarkStart w:id="605" w:name="_Toc26039"/>
      <w:bookmarkStart w:id="606" w:name="_Toc602"/>
      <w:bookmarkStart w:id="607" w:name="_Toc22744"/>
      <w:bookmarkStart w:id="608" w:name="_Toc6133"/>
      <w:bookmarkStart w:id="609" w:name="_Toc11153"/>
      <w:bookmarkStart w:id="610" w:name="_Toc25324"/>
      <w:bookmarkStart w:id="611" w:name="_Toc18258"/>
      <w:bookmarkStart w:id="612" w:name="_Toc14050"/>
      <w:bookmarkStart w:id="613" w:name="_Toc24607"/>
      <w:bookmarkStart w:id="614" w:name="_Toc5812"/>
      <w:bookmarkStart w:id="615" w:name="_Toc96"/>
      <w:bookmarkStart w:id="616" w:name="_Toc23504"/>
      <w:bookmarkStart w:id="617" w:name="_Toc865"/>
      <w:bookmarkStart w:id="618" w:name="_Toc24665"/>
      <w:bookmarkStart w:id="619" w:name="_Toc1228"/>
      <w:bookmarkStart w:id="620" w:name="_Toc18030"/>
      <w:bookmarkStart w:id="621" w:name="_Toc391"/>
      <w:bookmarkStart w:id="622" w:name="_Toc21754"/>
      <w:bookmarkStart w:id="623" w:name="_Toc435178367"/>
      <w:bookmarkStart w:id="624" w:name="_Toc10209"/>
      <w:bookmarkStart w:id="625" w:name="_Toc5804"/>
      <w:r>
        <w:rPr>
          <w:rFonts w:hint="eastAsia"/>
        </w:rPr>
        <w:t>1.1 项目概况</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spacing w:line="360" w:lineRule="auto"/>
        <w:ind w:firstLine="420" w:firstLineChars="200"/>
        <w:rPr>
          <w:rFonts w:hint="eastAsia" w:ascii="宋体" w:hAnsi="宋体"/>
        </w:rPr>
      </w:pPr>
      <w:r>
        <w:rPr>
          <w:rFonts w:hint="eastAsia" w:ascii="宋体" w:hAnsi="宋体"/>
        </w:rPr>
        <w:t>1.1.1 本项目招标人：</w:t>
      </w:r>
      <w:r>
        <w:rPr>
          <w:rFonts w:hint="eastAsia" w:ascii="宋体" w:hAnsi="宋体"/>
          <w:szCs w:val="21"/>
        </w:rPr>
        <w:t>广东省南方传媒发行物流有限公司</w:t>
      </w:r>
      <w:r>
        <w:rPr>
          <w:rFonts w:hint="eastAsia" w:ascii="宋体" w:hAnsi="宋体"/>
        </w:rPr>
        <w:t>。</w:t>
      </w:r>
    </w:p>
    <w:p>
      <w:pPr>
        <w:spacing w:line="360" w:lineRule="auto"/>
        <w:ind w:firstLine="420" w:firstLineChars="200"/>
        <w:rPr>
          <w:rFonts w:hint="eastAsia" w:ascii="宋体" w:hAnsi="宋体"/>
        </w:rPr>
      </w:pPr>
      <w:r>
        <w:rPr>
          <w:rFonts w:hint="eastAsia" w:ascii="宋体" w:hAnsi="宋体"/>
        </w:rPr>
        <w:t>1.1.2 本项目名称：</w:t>
      </w:r>
      <w:r>
        <w:rPr>
          <w:rFonts w:hint="eastAsia" w:ascii="宋体" w:hAnsi="宋体"/>
          <w:szCs w:val="21"/>
        </w:rPr>
        <w:t>2026-2028年度劳务用工服务。</w:t>
      </w:r>
    </w:p>
    <w:p>
      <w:pPr>
        <w:spacing w:line="400" w:lineRule="exact"/>
        <w:ind w:firstLine="420" w:firstLineChars="200"/>
        <w:rPr>
          <w:rFonts w:hint="eastAsia" w:ascii="宋体" w:hAnsi="宋体"/>
          <w:szCs w:val="21"/>
        </w:rPr>
      </w:pPr>
      <w:r>
        <w:rPr>
          <w:rFonts w:hint="eastAsia" w:ascii="宋体" w:hAnsi="宋体"/>
        </w:rPr>
        <w:t>1.1.3 本项目内容：详见本招标文件第四章合同主要条款、第五章投标报价及第六章项目要求</w:t>
      </w:r>
      <w:r>
        <w:rPr>
          <w:rFonts w:hint="eastAsia"/>
        </w:rPr>
        <w:t>。</w:t>
      </w:r>
    </w:p>
    <w:p>
      <w:pPr>
        <w:pStyle w:val="6"/>
        <w:spacing w:line="400" w:lineRule="exact"/>
      </w:pPr>
      <w:bookmarkStart w:id="626" w:name="_Toc246996920"/>
      <w:bookmarkStart w:id="627" w:name="_Toc15754"/>
      <w:bookmarkStart w:id="628" w:name="_Toc25176"/>
      <w:bookmarkStart w:id="629" w:name="_Toc29403"/>
      <w:bookmarkStart w:id="630" w:name="_Toc31709"/>
      <w:bookmarkStart w:id="631" w:name="_Toc496601935"/>
      <w:bookmarkStart w:id="632" w:name="_Toc3473"/>
      <w:bookmarkStart w:id="633" w:name="_Toc25025"/>
      <w:bookmarkStart w:id="634" w:name="_Toc26734"/>
      <w:bookmarkStart w:id="635" w:name="_Toc144974499"/>
      <w:bookmarkStart w:id="636" w:name="_Toc436215725"/>
      <w:bookmarkStart w:id="637" w:name="_Toc25089"/>
      <w:bookmarkStart w:id="638" w:name="_Toc29086"/>
      <w:bookmarkStart w:id="639" w:name="_Toc25517"/>
      <w:bookmarkStart w:id="640" w:name="_Toc14926"/>
      <w:bookmarkStart w:id="641" w:name="_Toc3660"/>
      <w:bookmarkStart w:id="642" w:name="_Toc435178368"/>
      <w:bookmarkStart w:id="643" w:name="_Toc26606"/>
      <w:bookmarkStart w:id="644" w:name="_Toc209"/>
      <w:bookmarkStart w:id="645" w:name="_Toc15817"/>
      <w:bookmarkStart w:id="646" w:name="_Toc3490"/>
      <w:bookmarkStart w:id="647" w:name="_Toc26947"/>
      <w:bookmarkStart w:id="648" w:name="_Toc152045531"/>
      <w:bookmarkStart w:id="649" w:name="_Toc23865"/>
      <w:bookmarkStart w:id="650" w:name="_Toc5564"/>
      <w:bookmarkStart w:id="651" w:name="_Toc24324"/>
      <w:bookmarkStart w:id="652" w:name="_Toc26963"/>
      <w:bookmarkStart w:id="653" w:name="_Toc5124"/>
      <w:bookmarkStart w:id="654" w:name="_Toc247085691"/>
      <w:bookmarkStart w:id="655" w:name="_Toc17292"/>
      <w:bookmarkStart w:id="656" w:name="_Toc27689"/>
      <w:bookmarkStart w:id="657" w:name="_Toc3668"/>
      <w:bookmarkStart w:id="658" w:name="_Toc22252"/>
      <w:bookmarkStart w:id="659" w:name="_Toc18237"/>
      <w:bookmarkStart w:id="660" w:name="_Toc18804"/>
      <w:bookmarkStart w:id="661" w:name="_Toc10700"/>
      <w:bookmarkStart w:id="662" w:name="_Toc19996"/>
      <w:bookmarkStart w:id="663" w:name="_Toc16883"/>
      <w:bookmarkStart w:id="664" w:name="_Toc187"/>
      <w:bookmarkStart w:id="665" w:name="_Toc7335"/>
      <w:bookmarkStart w:id="666" w:name="_Toc16187"/>
      <w:bookmarkStart w:id="667" w:name="_Toc16324"/>
      <w:bookmarkStart w:id="668" w:name="_Toc14932"/>
      <w:bookmarkStart w:id="669" w:name="_Toc179632548"/>
      <w:bookmarkStart w:id="670" w:name="_Toc246996177"/>
      <w:bookmarkStart w:id="671" w:name="_Toc14176"/>
      <w:bookmarkStart w:id="672" w:name="_Toc15901"/>
      <w:bookmarkStart w:id="673" w:name="_Toc3591"/>
      <w:bookmarkStart w:id="674" w:name="_Toc152042307"/>
      <w:bookmarkStart w:id="675" w:name="_Toc22852"/>
      <w:bookmarkStart w:id="676" w:name="_Toc29085"/>
      <w:r>
        <w:rPr>
          <w:rFonts w:hint="eastAsia"/>
        </w:rPr>
        <w:t>1.2 资金来源和落实情况</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spacing w:line="400" w:lineRule="exact"/>
        <w:ind w:firstLine="420" w:firstLineChars="200"/>
        <w:rPr>
          <w:rFonts w:hint="eastAsia" w:ascii="宋体" w:hAnsi="宋体" w:cs="宋体"/>
        </w:rPr>
      </w:pPr>
      <w:r>
        <w:rPr>
          <w:rFonts w:hint="eastAsia" w:ascii="宋体" w:hAnsi="宋体" w:cs="宋体"/>
        </w:rPr>
        <w:t>1.2.1 本投标项目的资金来源：自筹。</w:t>
      </w:r>
    </w:p>
    <w:p>
      <w:pPr>
        <w:spacing w:line="400" w:lineRule="exact"/>
        <w:ind w:firstLine="420" w:firstLineChars="200"/>
        <w:rPr>
          <w:rFonts w:hint="eastAsia" w:ascii="宋体" w:hAnsi="宋体" w:cs="宋体"/>
        </w:rPr>
      </w:pPr>
      <w:r>
        <w:rPr>
          <w:rFonts w:hint="eastAsia" w:ascii="宋体" w:hAnsi="宋体" w:cs="宋体"/>
        </w:rPr>
        <w:t>1.2.2 本投标项目的资金落实情况：已落实。</w:t>
      </w:r>
    </w:p>
    <w:p>
      <w:pPr>
        <w:pStyle w:val="5"/>
        <w:spacing w:before="20" w:after="20" w:line="360" w:lineRule="auto"/>
        <w:rPr>
          <w:rFonts w:hint="eastAsia" w:ascii="宋体" w:hAnsi="宋体" w:eastAsia="宋体"/>
        </w:rPr>
      </w:pPr>
      <w:bookmarkStart w:id="677" w:name="_Toc13341"/>
      <w:bookmarkStart w:id="678" w:name="_Toc17"/>
      <w:bookmarkStart w:id="679" w:name="_Toc2254"/>
      <w:bookmarkStart w:id="680" w:name="_Toc25158"/>
      <w:bookmarkStart w:id="681" w:name="_Toc26103"/>
      <w:bookmarkStart w:id="682" w:name="_Toc23767"/>
      <w:bookmarkStart w:id="683" w:name="_Toc11221"/>
      <w:bookmarkStart w:id="684" w:name="_Toc29878"/>
      <w:bookmarkStart w:id="685" w:name="_Toc6433"/>
      <w:bookmarkStart w:id="686" w:name="_Toc26016"/>
      <w:bookmarkStart w:id="687" w:name="_Toc11771"/>
      <w:bookmarkStart w:id="688" w:name="_Toc10362"/>
      <w:bookmarkStart w:id="689" w:name="_Toc14038"/>
      <w:bookmarkStart w:id="690" w:name="_Toc457992960"/>
      <w:bookmarkStart w:id="691" w:name="_Toc6411"/>
      <w:bookmarkStart w:id="692" w:name="_Toc737"/>
      <w:bookmarkStart w:id="693" w:name="_Toc31967"/>
      <w:bookmarkStart w:id="694" w:name="_Toc26184"/>
      <w:bookmarkStart w:id="695" w:name="_Toc15618"/>
      <w:bookmarkStart w:id="696" w:name="_Toc29070"/>
      <w:bookmarkStart w:id="697" w:name="_Toc2952"/>
      <w:bookmarkStart w:id="698" w:name="_Toc28732"/>
      <w:bookmarkStart w:id="699" w:name="_Toc12587"/>
      <w:bookmarkStart w:id="700" w:name="_Toc31341"/>
      <w:bookmarkStart w:id="701" w:name="_Toc26339"/>
      <w:bookmarkStart w:id="702" w:name="_Toc16089"/>
      <w:bookmarkStart w:id="703" w:name="_Toc31912"/>
      <w:bookmarkStart w:id="704" w:name="_Toc179632549"/>
      <w:bookmarkStart w:id="705" w:name="_Toc332"/>
      <w:bookmarkStart w:id="706" w:name="_Toc25134"/>
      <w:bookmarkStart w:id="707" w:name="_Toc9543"/>
      <w:bookmarkStart w:id="708" w:name="_Toc3326"/>
      <w:bookmarkStart w:id="709" w:name="_Toc1468"/>
      <w:bookmarkStart w:id="710" w:name="_Toc435178369"/>
      <w:bookmarkStart w:id="711" w:name="_Toc22404"/>
      <w:bookmarkStart w:id="712" w:name="_Toc20234"/>
      <w:bookmarkStart w:id="713" w:name="_Toc152042308"/>
      <w:bookmarkStart w:id="714" w:name="_Toc4248"/>
      <w:bookmarkStart w:id="715" w:name="_Toc496601936"/>
      <w:bookmarkStart w:id="716" w:name="_Toc17336"/>
      <w:bookmarkStart w:id="717" w:name="_Toc19110"/>
      <w:bookmarkStart w:id="718" w:name="_Toc6921"/>
      <w:bookmarkStart w:id="719" w:name="_Toc23818"/>
      <w:bookmarkStart w:id="720" w:name="_Toc23489"/>
      <w:bookmarkStart w:id="721" w:name="_Toc152045532"/>
      <w:bookmarkStart w:id="722" w:name="_Toc8856"/>
      <w:bookmarkStart w:id="723" w:name="_Toc9257"/>
      <w:bookmarkStart w:id="724" w:name="_Toc7224"/>
      <w:bookmarkStart w:id="725" w:name="_Toc28312"/>
      <w:bookmarkStart w:id="726" w:name="_Toc10278"/>
      <w:bookmarkStart w:id="727" w:name="_Toc144974500"/>
      <w:bookmarkStart w:id="728" w:name="_Toc436215726"/>
      <w:bookmarkStart w:id="729" w:name="_Toc18821"/>
      <w:bookmarkStart w:id="730" w:name="_Toc19241"/>
      <w:bookmarkStart w:id="731" w:name="_Toc2267"/>
      <w:bookmarkStart w:id="732" w:name="_Toc11875"/>
      <w:bookmarkStart w:id="733" w:name="_Toc247085692"/>
      <w:bookmarkStart w:id="734" w:name="_Toc2702"/>
      <w:bookmarkStart w:id="735" w:name="_Toc246996178"/>
      <w:bookmarkStart w:id="736" w:name="_Toc27273"/>
      <w:bookmarkStart w:id="737" w:name="_Toc246996921"/>
      <w:bookmarkStart w:id="738" w:name="_Toc2415"/>
      <w:bookmarkStart w:id="739" w:name="_Toc31974"/>
      <w:r>
        <w:rPr>
          <w:rFonts w:hint="eastAsia" w:ascii="宋体" w:hAnsi="宋体" w:eastAsia="宋体"/>
        </w:rPr>
        <w:t>1.3 本项目范围、质量要求</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spacing w:line="360" w:lineRule="auto"/>
        <w:ind w:firstLine="420" w:firstLineChars="200"/>
        <w:rPr>
          <w:rFonts w:hint="eastAsia" w:ascii="宋体" w:hAnsi="宋体"/>
        </w:rPr>
      </w:pPr>
      <w:r>
        <w:rPr>
          <w:rFonts w:hint="eastAsia" w:ascii="宋体" w:hAnsi="宋体"/>
        </w:rPr>
        <w:t>1.3.1 本次项目范围：见投标人须知前附表。</w:t>
      </w:r>
    </w:p>
    <w:p>
      <w:pPr>
        <w:spacing w:line="360" w:lineRule="auto"/>
        <w:ind w:firstLine="420" w:firstLineChars="200"/>
        <w:rPr>
          <w:rFonts w:hint="eastAsia" w:ascii="宋体" w:hAnsi="宋体"/>
        </w:rPr>
      </w:pPr>
      <w:r>
        <w:rPr>
          <w:rFonts w:hint="eastAsia" w:ascii="宋体" w:hAnsi="宋体"/>
        </w:rPr>
        <w:t>1.3.2 本项目的质量要求：合格。</w:t>
      </w:r>
    </w:p>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Pr>
        <w:pStyle w:val="5"/>
        <w:spacing w:before="20" w:after="20" w:line="360" w:lineRule="auto"/>
        <w:rPr>
          <w:rFonts w:hint="eastAsia" w:ascii="宋体" w:hAnsi="宋体" w:eastAsia="宋体"/>
        </w:rPr>
      </w:pPr>
      <w:bookmarkStart w:id="740" w:name="_Toc14915"/>
      <w:bookmarkStart w:id="741" w:name="_Toc13705"/>
      <w:bookmarkStart w:id="742" w:name="_Toc17529"/>
      <w:bookmarkStart w:id="743" w:name="_Toc11343"/>
      <w:bookmarkStart w:id="744" w:name="_Toc20411"/>
      <w:bookmarkStart w:id="745" w:name="_Toc457992961"/>
      <w:bookmarkStart w:id="746" w:name="_Toc31354"/>
      <w:bookmarkStart w:id="747" w:name="_Toc4610"/>
      <w:bookmarkStart w:id="748" w:name="_Toc18050"/>
      <w:bookmarkStart w:id="749" w:name="_Toc6114"/>
      <w:bookmarkStart w:id="750" w:name="_Toc21470"/>
      <w:bookmarkStart w:id="751" w:name="_Toc15045"/>
      <w:bookmarkStart w:id="752" w:name="_Toc23881"/>
      <w:bookmarkStart w:id="753" w:name="_Toc9285"/>
      <w:bookmarkStart w:id="754" w:name="_Toc29343"/>
      <w:bookmarkStart w:id="755" w:name="_Toc32048"/>
      <w:bookmarkStart w:id="756" w:name="_Toc14152"/>
      <w:bookmarkStart w:id="757" w:name="_Toc32258"/>
      <w:bookmarkStart w:id="758" w:name="_Toc3798"/>
      <w:bookmarkStart w:id="759" w:name="_Toc22331"/>
      <w:bookmarkStart w:id="760" w:name="_Toc1551"/>
      <w:bookmarkStart w:id="761" w:name="_Toc23261"/>
      <w:bookmarkStart w:id="762" w:name="_Toc7831"/>
      <w:bookmarkStart w:id="763" w:name="_Toc25150"/>
      <w:bookmarkStart w:id="764" w:name="_Toc12767"/>
      <w:bookmarkStart w:id="765" w:name="_Toc29170"/>
      <w:bookmarkStart w:id="766" w:name="_Toc17219"/>
      <w:bookmarkStart w:id="767" w:name="_Toc11968"/>
      <w:bookmarkStart w:id="768" w:name="_Toc144974502"/>
      <w:bookmarkStart w:id="769" w:name="_Toc152042310"/>
      <w:bookmarkStart w:id="770" w:name="_Toc435178370"/>
      <w:bookmarkStart w:id="771" w:name="_Toc28163"/>
      <w:bookmarkStart w:id="772" w:name="_Toc26510"/>
      <w:bookmarkStart w:id="773" w:name="_Toc2845"/>
      <w:bookmarkStart w:id="774" w:name="_Toc27338"/>
      <w:bookmarkStart w:id="775" w:name="_Toc152045534"/>
      <w:bookmarkStart w:id="776" w:name="_Toc14870"/>
      <w:bookmarkStart w:id="777" w:name="_Toc16022"/>
      <w:bookmarkStart w:id="778" w:name="_Toc29181"/>
      <w:bookmarkStart w:id="779" w:name="_Toc247085693"/>
      <w:bookmarkStart w:id="780" w:name="_Toc7576"/>
      <w:bookmarkStart w:id="781" w:name="_Toc6481"/>
      <w:bookmarkStart w:id="782" w:name="_Toc27693"/>
      <w:bookmarkStart w:id="783" w:name="_Toc22688"/>
      <w:bookmarkStart w:id="784" w:name="_Toc2049"/>
      <w:bookmarkStart w:id="785" w:name="_Toc496601937"/>
      <w:bookmarkStart w:id="786" w:name="_Toc28577"/>
      <w:bookmarkStart w:id="787" w:name="_Toc26674"/>
      <w:bookmarkStart w:id="788" w:name="_Toc179632551"/>
      <w:bookmarkStart w:id="789" w:name="_Toc436215727"/>
      <w:bookmarkStart w:id="790" w:name="_Toc6087"/>
      <w:bookmarkStart w:id="791" w:name="_Toc29779"/>
      <w:bookmarkStart w:id="792" w:name="_Toc4340"/>
      <w:bookmarkStart w:id="793" w:name="_Toc24471"/>
      <w:bookmarkStart w:id="794" w:name="_Toc9552"/>
      <w:bookmarkStart w:id="795" w:name="_Toc7975"/>
      <w:bookmarkStart w:id="796" w:name="_Toc25067"/>
      <w:bookmarkStart w:id="797" w:name="_Toc7055"/>
      <w:bookmarkStart w:id="798" w:name="_Toc246996922"/>
      <w:bookmarkStart w:id="799" w:name="_Toc19598"/>
      <w:bookmarkStart w:id="800" w:name="_Toc15334"/>
      <w:bookmarkStart w:id="801" w:name="_Toc30928"/>
      <w:bookmarkStart w:id="802" w:name="_Toc246996179"/>
      <w:bookmarkStart w:id="803" w:name="_Toc15164"/>
      <w:bookmarkStart w:id="804" w:name="_Toc19422"/>
      <w:r>
        <w:rPr>
          <w:rFonts w:hint="eastAsia" w:ascii="宋体" w:hAnsi="宋体" w:eastAsia="宋体"/>
        </w:rPr>
        <w:t>1.4 投标人资格要求</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spacing w:line="360" w:lineRule="auto"/>
        <w:ind w:firstLine="359" w:firstLineChars="171"/>
        <w:rPr>
          <w:rFonts w:hint="eastAsia" w:ascii="宋体" w:hAnsi="宋体"/>
        </w:rPr>
      </w:pPr>
      <w:r>
        <w:rPr>
          <w:rFonts w:hint="eastAsia" w:ascii="宋体" w:hAnsi="宋体"/>
        </w:rPr>
        <w:t>1.4.1 投标人应具备承担本项目资质条件。</w:t>
      </w:r>
    </w:p>
    <w:p>
      <w:pPr>
        <w:spacing w:line="360" w:lineRule="auto"/>
        <w:ind w:firstLine="359" w:firstLineChars="171"/>
        <w:rPr>
          <w:rFonts w:hint="eastAsia" w:ascii="宋体" w:hAnsi="宋体"/>
        </w:rPr>
      </w:pPr>
      <w:r>
        <w:rPr>
          <w:rFonts w:hint="eastAsia" w:ascii="宋体" w:hAnsi="宋体"/>
        </w:rPr>
        <w:t>（1）资质条件：见投标人须知前附表；</w:t>
      </w:r>
    </w:p>
    <w:p>
      <w:pPr>
        <w:spacing w:line="360" w:lineRule="auto"/>
        <w:ind w:firstLine="359" w:firstLineChars="171"/>
        <w:rPr>
          <w:rFonts w:hint="eastAsia" w:ascii="宋体" w:hAnsi="宋体"/>
        </w:rPr>
      </w:pPr>
      <w:r>
        <w:rPr>
          <w:rFonts w:hint="eastAsia" w:ascii="宋体" w:hAnsi="宋体"/>
        </w:rPr>
        <w:t>1.4.2 投标人不得存在下列情形之一，否则投标文件无效：</w:t>
      </w:r>
    </w:p>
    <w:p>
      <w:pPr>
        <w:spacing w:line="360" w:lineRule="auto"/>
        <w:ind w:firstLine="359" w:firstLineChars="171"/>
      </w:pPr>
      <w:r>
        <w:rPr>
          <w:rFonts w:hint="eastAsia"/>
        </w:rPr>
        <w:t>（1）</w:t>
      </w:r>
      <w:r>
        <w:t>与</w:t>
      </w:r>
      <w:r>
        <w:rPr>
          <w:rFonts w:hint="eastAsia"/>
        </w:rPr>
        <w:t>招标人</w:t>
      </w:r>
      <w:r>
        <w:t>存在利害关系且可能影响招标公正性；</w:t>
      </w:r>
    </w:p>
    <w:p>
      <w:pPr>
        <w:spacing w:line="360" w:lineRule="auto"/>
        <w:ind w:firstLine="359" w:firstLineChars="171"/>
      </w:pPr>
      <w:r>
        <w:rPr>
          <w:rFonts w:hint="eastAsia"/>
        </w:rPr>
        <w:t>（2）</w:t>
      </w:r>
      <w:r>
        <w:t>与本</w:t>
      </w:r>
      <w:r>
        <w:rPr>
          <w:rFonts w:hint="eastAsia"/>
        </w:rPr>
        <w:t>招标</w:t>
      </w:r>
      <w:r>
        <w:t>项目的其他</w:t>
      </w:r>
      <w:r>
        <w:rPr>
          <w:rFonts w:hint="eastAsia"/>
        </w:rPr>
        <w:t>投标人</w:t>
      </w:r>
      <w:r>
        <w:t>为同一个单位负责人；</w:t>
      </w:r>
    </w:p>
    <w:p>
      <w:pPr>
        <w:spacing w:line="360" w:lineRule="auto"/>
        <w:ind w:firstLine="359" w:firstLineChars="171"/>
      </w:pPr>
      <w:r>
        <w:rPr>
          <w:rFonts w:hint="eastAsia"/>
        </w:rPr>
        <w:t>（3）</w:t>
      </w:r>
      <w:r>
        <w:t>与本</w:t>
      </w:r>
      <w:r>
        <w:rPr>
          <w:rFonts w:hint="eastAsia"/>
        </w:rPr>
        <w:t>招标项目</w:t>
      </w:r>
      <w:r>
        <w:t>的其他</w:t>
      </w:r>
      <w:r>
        <w:rPr>
          <w:rFonts w:hint="eastAsia"/>
        </w:rPr>
        <w:t>投标人</w:t>
      </w:r>
      <w:r>
        <w:t>存在控股、管理关系；</w:t>
      </w:r>
    </w:p>
    <w:p>
      <w:pPr>
        <w:spacing w:line="360" w:lineRule="auto"/>
        <w:ind w:firstLine="359" w:firstLineChars="171"/>
      </w:pPr>
      <w:r>
        <w:rPr>
          <w:rFonts w:hint="eastAsia"/>
        </w:rPr>
        <w:t>（4）</w:t>
      </w:r>
      <w:r>
        <w:t>被依法暂停或者取消</w:t>
      </w:r>
      <w:r>
        <w:rPr>
          <w:rFonts w:hint="eastAsia"/>
        </w:rPr>
        <w:t>投标</w:t>
      </w:r>
      <w:r>
        <w:t>资格；</w:t>
      </w:r>
    </w:p>
    <w:p>
      <w:pPr>
        <w:spacing w:line="360" w:lineRule="auto"/>
        <w:ind w:firstLine="359" w:firstLineChars="171"/>
      </w:pPr>
      <w:r>
        <w:rPr>
          <w:rFonts w:hint="eastAsia"/>
        </w:rPr>
        <w:t>（5）</w:t>
      </w:r>
      <w:r>
        <w:t>被责令停产停业、暂扣或者吊销许可证、暂扣或者吊销执照；</w:t>
      </w:r>
    </w:p>
    <w:p>
      <w:pPr>
        <w:spacing w:line="360" w:lineRule="auto"/>
        <w:ind w:firstLine="359" w:firstLineChars="171"/>
      </w:pPr>
      <w:r>
        <w:rPr>
          <w:rFonts w:hint="eastAsia"/>
        </w:rPr>
        <w:t>（6）</w:t>
      </w:r>
      <w:r>
        <w:t>进入清算程序，或被宣告破产，或其他丧失履约能力的情形；</w:t>
      </w:r>
    </w:p>
    <w:p>
      <w:pPr>
        <w:spacing w:line="360" w:lineRule="auto"/>
        <w:ind w:firstLine="359" w:firstLineChars="171"/>
      </w:pPr>
      <w:r>
        <w:rPr>
          <w:rFonts w:hint="eastAsia"/>
        </w:rPr>
        <w:t>（7）</w:t>
      </w:r>
      <w:r>
        <w:t>在最近三年内发生重大产品质量问题（以相关行业主管部门的行政处罚决定或司法机关出具的有关法律文书为准）；</w:t>
      </w:r>
    </w:p>
    <w:p>
      <w:pPr>
        <w:spacing w:line="360" w:lineRule="auto"/>
        <w:ind w:firstLine="359" w:firstLineChars="171"/>
      </w:pPr>
      <w:r>
        <w:rPr>
          <w:rFonts w:hint="eastAsia"/>
        </w:rPr>
        <w:t>（8）</w:t>
      </w:r>
      <w:r>
        <w:t>被工商行政管理机关在全国企业信用信息公示系统中列入严重违法失信企业名单；</w:t>
      </w:r>
    </w:p>
    <w:p>
      <w:pPr>
        <w:spacing w:line="360" w:lineRule="auto"/>
        <w:ind w:firstLine="359" w:firstLineChars="171"/>
      </w:pPr>
      <w:r>
        <w:rPr>
          <w:rFonts w:hint="eastAsia"/>
        </w:rPr>
        <w:t>（9）</w:t>
      </w:r>
      <w:r>
        <w:t>被最高人民法院在“信用中国”网站（www.creditchina.gov.cn）或各级信用信息共享平台中列入失信被执行人名单；</w:t>
      </w:r>
    </w:p>
    <w:p>
      <w:pPr>
        <w:spacing w:line="360" w:lineRule="auto"/>
        <w:ind w:firstLine="359" w:firstLineChars="171"/>
      </w:pPr>
      <w:r>
        <w:rPr>
          <w:rFonts w:hint="eastAsia"/>
        </w:rPr>
        <w:t>（10）</w:t>
      </w:r>
      <w:r>
        <w:t>在近三年内</w:t>
      </w:r>
      <w:r>
        <w:rPr>
          <w:rFonts w:hint="eastAsia"/>
        </w:rPr>
        <w:t>投标人</w:t>
      </w:r>
      <w:r>
        <w:t>或其法定代表人、拟委任的项目负责人有行贿犯罪行为的（以检察机关职务犯罪预防部门出具的查询结果为准）；</w:t>
      </w:r>
    </w:p>
    <w:p>
      <w:pPr>
        <w:spacing w:line="360" w:lineRule="auto"/>
        <w:ind w:firstLine="359" w:firstLineChars="171"/>
      </w:pPr>
      <w:r>
        <w:rPr>
          <w:rFonts w:hint="eastAsia"/>
        </w:rPr>
        <w:t>（11）</w:t>
      </w:r>
      <w:r>
        <w:t>法律法规或</w:t>
      </w:r>
      <w:r>
        <w:rPr>
          <w:rFonts w:hint="eastAsia"/>
        </w:rPr>
        <w:t>投标人</w:t>
      </w:r>
      <w:r>
        <w:t>须知前附表规定的其他情形。</w:t>
      </w:r>
    </w:p>
    <w:p>
      <w:pPr>
        <w:pStyle w:val="5"/>
        <w:spacing w:before="20" w:after="20" w:line="360" w:lineRule="auto"/>
        <w:rPr>
          <w:rFonts w:hint="eastAsia" w:ascii="宋体" w:hAnsi="宋体" w:eastAsia="宋体"/>
        </w:rPr>
      </w:pPr>
      <w:bookmarkStart w:id="805" w:name="_Toc12747"/>
      <w:bookmarkStart w:id="806" w:name="_Toc457992962"/>
      <w:bookmarkStart w:id="807" w:name="_Toc17463"/>
      <w:bookmarkStart w:id="808" w:name="_Toc13480"/>
      <w:bookmarkStart w:id="809" w:name="_Toc22372"/>
      <w:bookmarkStart w:id="810" w:name="_Toc29694"/>
      <w:bookmarkStart w:id="811" w:name="_Toc25269"/>
      <w:bookmarkStart w:id="812" w:name="_Toc6372"/>
      <w:bookmarkStart w:id="813" w:name="_Toc26631"/>
      <w:bookmarkStart w:id="814" w:name="_Toc30080"/>
      <w:bookmarkStart w:id="815" w:name="_Toc24041"/>
      <w:bookmarkStart w:id="816" w:name="_Toc32532"/>
      <w:bookmarkStart w:id="817" w:name="_Toc4299"/>
      <w:bookmarkStart w:id="818" w:name="_Toc4448"/>
      <w:bookmarkStart w:id="819" w:name="_Toc31240"/>
      <w:bookmarkStart w:id="820" w:name="_Toc7215"/>
      <w:bookmarkStart w:id="821" w:name="_Toc16589"/>
      <w:bookmarkStart w:id="822" w:name="_Toc18054"/>
      <w:bookmarkStart w:id="823" w:name="_Toc9842"/>
      <w:bookmarkStart w:id="824" w:name="_Toc6883"/>
      <w:bookmarkStart w:id="825" w:name="_Toc6772"/>
      <w:bookmarkStart w:id="826" w:name="_Toc4360"/>
      <w:bookmarkStart w:id="827" w:name="_Toc27098"/>
      <w:bookmarkStart w:id="828" w:name="_Toc18556"/>
      <w:bookmarkStart w:id="829" w:name="_Toc6839"/>
      <w:bookmarkStart w:id="830" w:name="_Toc6333"/>
      <w:bookmarkStart w:id="831" w:name="_Toc18574"/>
      <w:r>
        <w:rPr>
          <w:rFonts w:hint="eastAsia" w:ascii="宋体" w:hAnsi="宋体" w:eastAsia="宋体"/>
        </w:rPr>
        <w:t>1.5 费用承担</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spacing w:line="360" w:lineRule="auto"/>
        <w:ind w:firstLine="420" w:firstLineChars="200"/>
        <w:rPr>
          <w:rFonts w:hint="eastAsia" w:ascii="宋体" w:hAnsi="宋体"/>
        </w:rPr>
      </w:pPr>
      <w:r>
        <w:rPr>
          <w:rFonts w:hint="eastAsia" w:ascii="宋体" w:hAnsi="宋体"/>
        </w:rPr>
        <w:t>投标人准备和参加招标活动发生的费用自理。</w:t>
      </w:r>
    </w:p>
    <w:p>
      <w:pPr>
        <w:pStyle w:val="5"/>
        <w:spacing w:before="20" w:after="20" w:line="360" w:lineRule="auto"/>
        <w:rPr>
          <w:rFonts w:hint="eastAsia" w:ascii="宋体" w:hAnsi="宋体" w:eastAsia="宋体"/>
        </w:rPr>
      </w:pPr>
      <w:bookmarkStart w:id="832" w:name="_Toc14981"/>
      <w:bookmarkStart w:id="833" w:name="_Toc31586"/>
      <w:bookmarkStart w:id="834" w:name="_Toc1444"/>
      <w:bookmarkStart w:id="835" w:name="_Toc26875"/>
      <w:bookmarkStart w:id="836" w:name="_Toc12436"/>
      <w:bookmarkStart w:id="837" w:name="_Toc14456"/>
      <w:bookmarkStart w:id="838" w:name="_Toc18219"/>
      <w:bookmarkStart w:id="839" w:name="_Toc2323"/>
      <w:bookmarkStart w:id="840" w:name="_Toc12115"/>
      <w:bookmarkStart w:id="841" w:name="_Toc17913"/>
      <w:bookmarkStart w:id="842" w:name="_Toc4698"/>
      <w:bookmarkStart w:id="843" w:name="_Toc21877"/>
      <w:bookmarkStart w:id="844" w:name="_Toc20452"/>
      <w:bookmarkStart w:id="845" w:name="_Toc29550"/>
      <w:bookmarkStart w:id="846" w:name="_Toc23689"/>
      <w:bookmarkStart w:id="847" w:name="_Toc20379"/>
      <w:bookmarkStart w:id="848" w:name="_Toc4255"/>
      <w:bookmarkStart w:id="849" w:name="_Toc22318"/>
      <w:bookmarkStart w:id="850" w:name="_Toc10833"/>
      <w:bookmarkStart w:id="851" w:name="_Toc13264"/>
      <w:bookmarkStart w:id="852" w:name="_Toc15700"/>
      <w:bookmarkStart w:id="853" w:name="_Toc10009"/>
      <w:bookmarkStart w:id="854" w:name="_Toc14290"/>
      <w:bookmarkStart w:id="855" w:name="_Toc2794"/>
      <w:bookmarkStart w:id="856" w:name="_Toc31350"/>
      <w:bookmarkStart w:id="857" w:name="_Toc15893"/>
      <w:bookmarkStart w:id="858" w:name="_Toc457992963"/>
      <w:bookmarkStart w:id="859" w:name="_Toc31979"/>
      <w:r>
        <w:rPr>
          <w:rFonts w:hint="eastAsia" w:ascii="宋体" w:hAnsi="宋体" w:eastAsia="宋体"/>
        </w:rPr>
        <w:t>1.6 保密</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spacing w:line="360" w:lineRule="auto"/>
        <w:ind w:firstLine="420" w:firstLineChars="200"/>
        <w:rPr>
          <w:rFonts w:hint="eastAsia" w:ascii="宋体" w:hAnsi="宋体"/>
        </w:rPr>
      </w:pPr>
      <w:r>
        <w:rPr>
          <w:rFonts w:hint="eastAsia" w:ascii="宋体" w:hAnsi="宋体"/>
        </w:rPr>
        <w:t xml:space="preserve">参与投标招标活动的各方应对招标文件和投标文件中的商业和技术等秘密保密，违者应对由此造成的后果承担法律责任。 </w:t>
      </w:r>
    </w:p>
    <w:p>
      <w:pPr>
        <w:pStyle w:val="5"/>
        <w:spacing w:before="20" w:after="20" w:line="360" w:lineRule="auto"/>
        <w:rPr>
          <w:rFonts w:hint="eastAsia" w:ascii="宋体" w:hAnsi="宋体" w:eastAsia="宋体"/>
        </w:rPr>
      </w:pPr>
      <w:bookmarkStart w:id="860" w:name="_Toc15055"/>
      <w:bookmarkStart w:id="861" w:name="_Toc14789"/>
      <w:bookmarkStart w:id="862" w:name="_Toc20941"/>
      <w:bookmarkStart w:id="863" w:name="_Toc30674"/>
      <w:bookmarkStart w:id="864" w:name="_Toc457992964"/>
      <w:bookmarkStart w:id="865" w:name="_Toc1824"/>
      <w:bookmarkStart w:id="866" w:name="_Toc11229"/>
      <w:bookmarkStart w:id="867" w:name="_Toc13157"/>
      <w:bookmarkStart w:id="868" w:name="_Toc25741"/>
      <w:bookmarkStart w:id="869" w:name="_Toc10110"/>
      <w:bookmarkStart w:id="870" w:name="_Toc14225"/>
      <w:bookmarkStart w:id="871" w:name="_Toc25981"/>
      <w:bookmarkStart w:id="872" w:name="_Toc17427"/>
      <w:bookmarkStart w:id="873" w:name="_Toc9510"/>
      <w:bookmarkStart w:id="874" w:name="_Toc19589"/>
      <w:bookmarkStart w:id="875" w:name="_Toc2688"/>
      <w:bookmarkStart w:id="876" w:name="_Toc20966"/>
      <w:bookmarkStart w:id="877" w:name="_Toc31168"/>
      <w:bookmarkStart w:id="878" w:name="_Toc30010"/>
      <w:bookmarkStart w:id="879" w:name="_Toc31239"/>
      <w:bookmarkStart w:id="880" w:name="_Toc27723"/>
      <w:bookmarkStart w:id="881" w:name="_Toc27187"/>
      <w:bookmarkStart w:id="882" w:name="_Toc23921"/>
      <w:bookmarkStart w:id="883" w:name="_Toc778"/>
      <w:bookmarkStart w:id="884" w:name="_Toc80"/>
      <w:bookmarkStart w:id="885" w:name="_Toc10234"/>
      <w:bookmarkStart w:id="886" w:name="_Toc8511"/>
      <w:bookmarkStart w:id="887" w:name="_Toc26746"/>
      <w:r>
        <w:rPr>
          <w:rFonts w:hint="eastAsia" w:ascii="宋体" w:hAnsi="宋体" w:eastAsia="宋体"/>
        </w:rPr>
        <w:t>1.7 语言文字</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spacing w:line="360" w:lineRule="auto"/>
        <w:ind w:firstLine="420" w:firstLineChars="200"/>
        <w:rPr>
          <w:rFonts w:hint="eastAsia" w:ascii="宋体" w:hAnsi="宋体"/>
        </w:rPr>
      </w:pPr>
      <w:r>
        <w:rPr>
          <w:rFonts w:hint="eastAsia" w:ascii="宋体" w:hAnsi="宋体"/>
        </w:rPr>
        <w:t>招标投标文件使用的语言文字为中文。专用术语使用外文的，应附有中文注释。</w:t>
      </w:r>
    </w:p>
    <w:p>
      <w:pPr>
        <w:pStyle w:val="5"/>
        <w:spacing w:before="20" w:after="20" w:line="360" w:lineRule="auto"/>
        <w:rPr>
          <w:rFonts w:hint="eastAsia" w:ascii="宋体" w:hAnsi="宋体" w:eastAsia="宋体"/>
        </w:rPr>
      </w:pPr>
      <w:bookmarkStart w:id="888" w:name="_Toc639"/>
      <w:bookmarkStart w:id="889" w:name="_Toc27204"/>
      <w:bookmarkStart w:id="890" w:name="_Toc11881"/>
      <w:bookmarkStart w:id="891" w:name="_Toc18442"/>
      <w:bookmarkStart w:id="892" w:name="_Toc29182"/>
      <w:bookmarkStart w:id="893" w:name="_Toc11767"/>
      <w:bookmarkStart w:id="894" w:name="_Toc12458"/>
      <w:bookmarkStart w:id="895" w:name="_Toc3302"/>
      <w:bookmarkStart w:id="896" w:name="_Toc24549"/>
      <w:bookmarkStart w:id="897" w:name="_Toc31373"/>
      <w:bookmarkStart w:id="898" w:name="_Toc18569"/>
      <w:bookmarkStart w:id="899" w:name="_Toc29636"/>
      <w:bookmarkStart w:id="900" w:name="_Toc24966"/>
      <w:bookmarkStart w:id="901" w:name="_Toc24670"/>
      <w:bookmarkStart w:id="902" w:name="_Toc4220"/>
      <w:bookmarkStart w:id="903" w:name="_Toc19346"/>
      <w:bookmarkStart w:id="904" w:name="_Toc30536"/>
      <w:bookmarkStart w:id="905" w:name="_Toc21830"/>
      <w:bookmarkStart w:id="906" w:name="_Toc16321"/>
      <w:bookmarkStart w:id="907" w:name="_Toc12401"/>
      <w:bookmarkStart w:id="908" w:name="_Toc457992965"/>
      <w:bookmarkStart w:id="909" w:name="_Toc27281"/>
      <w:bookmarkStart w:id="910" w:name="_Toc6190"/>
      <w:bookmarkStart w:id="911" w:name="_Toc30245"/>
      <w:bookmarkStart w:id="912" w:name="_Toc5016"/>
      <w:bookmarkStart w:id="913" w:name="_Toc16723"/>
      <w:bookmarkStart w:id="914" w:name="_Toc28525"/>
      <w:r>
        <w:rPr>
          <w:rFonts w:hint="eastAsia" w:ascii="宋体" w:hAnsi="宋体" w:eastAsia="宋体"/>
        </w:rPr>
        <w:t>1.8 计量单位</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spacing w:line="360" w:lineRule="auto"/>
        <w:ind w:firstLine="420" w:firstLineChars="200"/>
        <w:rPr>
          <w:rFonts w:hint="eastAsia" w:ascii="宋体" w:hAnsi="宋体"/>
        </w:rPr>
      </w:pPr>
      <w:r>
        <w:rPr>
          <w:rFonts w:hint="eastAsia" w:ascii="宋体" w:hAnsi="宋体"/>
        </w:rPr>
        <w:t>所有计量均采用中华人民共和国法定计量单位。</w:t>
      </w:r>
    </w:p>
    <w:p>
      <w:pPr>
        <w:pStyle w:val="5"/>
        <w:spacing w:before="20" w:after="20" w:line="360" w:lineRule="auto"/>
        <w:rPr>
          <w:rFonts w:hint="eastAsia" w:ascii="宋体" w:hAnsi="宋体" w:eastAsia="宋体"/>
        </w:rPr>
      </w:pPr>
      <w:bookmarkStart w:id="915" w:name="_Toc28536"/>
      <w:bookmarkStart w:id="916" w:name="_Toc2802"/>
      <w:bookmarkStart w:id="917" w:name="_Toc16677"/>
      <w:bookmarkStart w:id="918" w:name="_Toc30516"/>
      <w:bookmarkStart w:id="919" w:name="_Toc25081"/>
      <w:bookmarkStart w:id="920" w:name="_Toc26267"/>
      <w:bookmarkStart w:id="921" w:name="_Toc1129"/>
      <w:bookmarkStart w:id="922" w:name="_Toc20092"/>
      <w:bookmarkStart w:id="923" w:name="_Toc10286"/>
      <w:bookmarkStart w:id="924" w:name="_Toc28615"/>
      <w:bookmarkStart w:id="925" w:name="_Toc27502"/>
      <w:bookmarkStart w:id="926" w:name="_Toc4931"/>
      <w:bookmarkStart w:id="927" w:name="_Toc32429"/>
      <w:bookmarkStart w:id="928" w:name="_Toc14881"/>
      <w:bookmarkStart w:id="929" w:name="_Toc3355"/>
      <w:bookmarkStart w:id="930" w:name="_Toc4061"/>
      <w:bookmarkStart w:id="931" w:name="_Toc16269"/>
      <w:bookmarkStart w:id="932" w:name="_Toc3801"/>
      <w:bookmarkStart w:id="933" w:name="_Toc21606"/>
      <w:bookmarkStart w:id="934" w:name="_Toc18592"/>
      <w:bookmarkStart w:id="935" w:name="_Toc12563"/>
      <w:bookmarkStart w:id="936" w:name="_Toc11033"/>
      <w:bookmarkStart w:id="937" w:name="_Toc6827"/>
      <w:bookmarkStart w:id="938" w:name="_Toc457992966"/>
      <w:bookmarkStart w:id="939" w:name="_Toc11887"/>
      <w:bookmarkStart w:id="940" w:name="_Toc2650"/>
      <w:bookmarkStart w:id="941" w:name="_Toc19812"/>
      <w:bookmarkStart w:id="942" w:name="_Toc18658"/>
      <w:bookmarkStart w:id="943" w:name="_Toc6803"/>
      <w:bookmarkStart w:id="944" w:name="_Toc18997"/>
      <w:bookmarkStart w:id="945" w:name="_Toc28322"/>
      <w:r>
        <w:rPr>
          <w:rFonts w:hint="eastAsia" w:ascii="宋体" w:hAnsi="宋体" w:eastAsia="宋体"/>
        </w:rPr>
        <w:t>2. 招标文件</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5"/>
        <w:spacing w:before="20" w:after="20" w:line="360" w:lineRule="auto"/>
        <w:rPr>
          <w:rFonts w:hint="eastAsia" w:ascii="宋体" w:hAnsi="宋体" w:eastAsia="宋体"/>
        </w:rPr>
      </w:pPr>
      <w:bookmarkStart w:id="946" w:name="_Toc8112"/>
      <w:bookmarkStart w:id="947" w:name="_Toc8159"/>
      <w:bookmarkStart w:id="948" w:name="_Toc967"/>
      <w:bookmarkStart w:id="949" w:name="_Toc4560"/>
      <w:bookmarkStart w:id="950" w:name="_Toc740"/>
      <w:bookmarkStart w:id="951" w:name="_Toc11096"/>
      <w:bookmarkStart w:id="952" w:name="_Toc782"/>
      <w:bookmarkStart w:id="953" w:name="_Toc15660"/>
      <w:bookmarkStart w:id="954" w:name="_Toc24425"/>
      <w:bookmarkStart w:id="955" w:name="_Toc27873"/>
      <w:bookmarkStart w:id="956" w:name="_Toc8864"/>
      <w:bookmarkStart w:id="957" w:name="_Toc10395"/>
      <w:bookmarkStart w:id="958" w:name="_Toc22492"/>
      <w:bookmarkStart w:id="959" w:name="_Toc26220"/>
      <w:bookmarkStart w:id="960" w:name="_Toc25629"/>
      <w:bookmarkStart w:id="961" w:name="_Toc27424"/>
      <w:bookmarkStart w:id="962" w:name="_Toc27027"/>
      <w:bookmarkStart w:id="963" w:name="_Toc10846"/>
      <w:bookmarkStart w:id="964" w:name="_Toc18508"/>
      <w:bookmarkStart w:id="965" w:name="_Toc30870"/>
      <w:bookmarkStart w:id="966" w:name="_Toc7116"/>
      <w:r>
        <w:rPr>
          <w:rFonts w:hint="eastAsia" w:ascii="宋体" w:hAnsi="宋体" w:eastAsia="宋体"/>
        </w:rPr>
        <w:t>2.1 招标文件的组成</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spacing w:line="360" w:lineRule="auto"/>
        <w:rPr>
          <w:rFonts w:hint="eastAsia" w:ascii="宋体" w:hAnsi="宋体"/>
        </w:rPr>
      </w:pPr>
      <w:r>
        <w:rPr>
          <w:rFonts w:hint="eastAsia" w:ascii="宋体" w:hAnsi="宋体"/>
        </w:rPr>
        <w:t>　　2.1.1 本招标文件包括：</w:t>
      </w:r>
    </w:p>
    <w:p>
      <w:pPr>
        <w:spacing w:line="360" w:lineRule="auto"/>
        <w:ind w:firstLine="359" w:firstLineChars="171"/>
        <w:rPr>
          <w:rFonts w:hint="eastAsia" w:ascii="宋体" w:hAnsi="宋体"/>
        </w:rPr>
      </w:pPr>
      <w:r>
        <w:rPr>
          <w:rFonts w:hint="eastAsia" w:ascii="宋体" w:hAnsi="宋体"/>
        </w:rPr>
        <w:t>（1）招标公告；</w:t>
      </w:r>
    </w:p>
    <w:p>
      <w:pPr>
        <w:spacing w:line="360" w:lineRule="auto"/>
        <w:ind w:firstLine="359" w:firstLineChars="171"/>
        <w:rPr>
          <w:rFonts w:hint="eastAsia" w:ascii="宋体" w:hAnsi="宋体"/>
        </w:rPr>
      </w:pPr>
      <w:r>
        <w:rPr>
          <w:rFonts w:hint="eastAsia" w:ascii="宋体" w:hAnsi="宋体"/>
        </w:rPr>
        <w:t>（2）投标人须知；</w:t>
      </w:r>
    </w:p>
    <w:p>
      <w:pPr>
        <w:spacing w:line="360" w:lineRule="auto"/>
        <w:ind w:firstLine="359" w:firstLineChars="171"/>
        <w:rPr>
          <w:rFonts w:hint="eastAsia" w:ascii="宋体" w:hAnsi="宋体"/>
        </w:rPr>
      </w:pPr>
      <w:r>
        <w:rPr>
          <w:rFonts w:hint="eastAsia" w:ascii="宋体" w:hAnsi="宋体"/>
        </w:rPr>
        <w:t>（3）评审办法；</w:t>
      </w:r>
    </w:p>
    <w:p>
      <w:pPr>
        <w:spacing w:line="360" w:lineRule="auto"/>
        <w:ind w:firstLine="359" w:firstLineChars="171"/>
        <w:rPr>
          <w:rFonts w:hint="eastAsia" w:ascii="宋体" w:hAnsi="宋体"/>
        </w:rPr>
      </w:pPr>
      <w:r>
        <w:rPr>
          <w:rFonts w:hint="eastAsia" w:ascii="宋体" w:hAnsi="宋体"/>
        </w:rPr>
        <w:t>（4）合同主要条款；</w:t>
      </w:r>
    </w:p>
    <w:p>
      <w:pPr>
        <w:spacing w:line="360" w:lineRule="auto"/>
        <w:ind w:firstLine="359" w:firstLineChars="171"/>
        <w:rPr>
          <w:rFonts w:hint="eastAsia" w:ascii="宋体" w:hAnsi="宋体"/>
        </w:rPr>
      </w:pPr>
      <w:r>
        <w:rPr>
          <w:rFonts w:hint="eastAsia" w:ascii="宋体" w:hAnsi="宋体"/>
        </w:rPr>
        <w:t>（5）投标报价；</w:t>
      </w:r>
    </w:p>
    <w:p>
      <w:pPr>
        <w:spacing w:line="360" w:lineRule="auto"/>
        <w:ind w:firstLine="359" w:firstLineChars="171"/>
        <w:rPr>
          <w:rFonts w:hint="eastAsia" w:ascii="宋体" w:hAnsi="宋体"/>
        </w:rPr>
      </w:pPr>
      <w:r>
        <w:rPr>
          <w:rFonts w:hint="eastAsia" w:ascii="宋体" w:hAnsi="宋体"/>
        </w:rPr>
        <w:t xml:space="preserve">（6）项目要求； </w:t>
      </w:r>
    </w:p>
    <w:p>
      <w:pPr>
        <w:spacing w:line="360" w:lineRule="auto"/>
        <w:ind w:firstLine="359" w:firstLineChars="171"/>
        <w:rPr>
          <w:rFonts w:hint="eastAsia" w:ascii="宋体" w:hAnsi="宋体"/>
        </w:rPr>
      </w:pPr>
      <w:r>
        <w:rPr>
          <w:rFonts w:hint="eastAsia" w:ascii="宋体" w:hAnsi="宋体"/>
        </w:rPr>
        <w:t>（7）投标文件格式。</w:t>
      </w:r>
    </w:p>
    <w:p>
      <w:pPr>
        <w:spacing w:line="360" w:lineRule="auto"/>
        <w:ind w:firstLine="420" w:firstLineChars="200"/>
        <w:rPr>
          <w:rFonts w:hint="eastAsia" w:ascii="宋体" w:hAnsi="宋体"/>
        </w:rPr>
      </w:pPr>
      <w:r>
        <w:rPr>
          <w:rFonts w:hint="eastAsia" w:ascii="宋体" w:hAnsi="宋体"/>
        </w:rPr>
        <w:t>2.1.2 根据本章第2.2款和第2.3款对招标文件所作的澄清、修改，构成招标文件的组成部分。</w:t>
      </w:r>
    </w:p>
    <w:p>
      <w:pPr>
        <w:pStyle w:val="5"/>
        <w:spacing w:before="20" w:after="20" w:line="360" w:lineRule="auto"/>
        <w:rPr>
          <w:rFonts w:hint="eastAsia" w:ascii="宋体" w:hAnsi="宋体" w:eastAsia="宋体"/>
        </w:rPr>
      </w:pPr>
      <w:bookmarkStart w:id="967" w:name="_Toc10041"/>
      <w:bookmarkStart w:id="968" w:name="_Toc18598"/>
      <w:bookmarkStart w:id="969" w:name="_Toc21699"/>
      <w:bookmarkStart w:id="970" w:name="_Toc16774"/>
      <w:bookmarkStart w:id="971" w:name="_Toc9539"/>
      <w:bookmarkStart w:id="972" w:name="_Toc5518"/>
      <w:bookmarkStart w:id="973" w:name="_Toc8140"/>
      <w:bookmarkStart w:id="974" w:name="_Toc19769"/>
      <w:bookmarkStart w:id="975" w:name="_Toc19740"/>
      <w:bookmarkStart w:id="976" w:name="_Toc10191"/>
      <w:bookmarkStart w:id="977" w:name="_Toc16643"/>
      <w:bookmarkStart w:id="978" w:name="_Toc17132"/>
      <w:bookmarkStart w:id="979" w:name="_Toc16279"/>
      <w:bookmarkStart w:id="980" w:name="_Toc26650"/>
      <w:bookmarkStart w:id="981" w:name="_Toc26508"/>
      <w:bookmarkStart w:id="982" w:name="_Toc30812"/>
      <w:bookmarkStart w:id="983" w:name="_Toc18727"/>
      <w:bookmarkStart w:id="984" w:name="_Toc24467"/>
      <w:bookmarkStart w:id="985" w:name="_Toc20226"/>
      <w:bookmarkStart w:id="986" w:name="_Toc18975"/>
      <w:bookmarkStart w:id="987" w:name="_Toc6876"/>
      <w:r>
        <w:rPr>
          <w:rFonts w:hint="eastAsia" w:ascii="宋体" w:hAnsi="宋体" w:eastAsia="宋体"/>
        </w:rPr>
        <w:t>2.2 招标文件的澄清</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Pr>
          <w:rFonts w:hint="eastAsia" w:ascii="宋体" w:hAnsi="宋体" w:eastAsia="宋体"/>
        </w:rPr>
        <w:t xml:space="preserve"> </w:t>
      </w:r>
    </w:p>
    <w:p>
      <w:pPr>
        <w:spacing w:line="360" w:lineRule="auto"/>
        <w:ind w:firstLine="420" w:firstLineChars="200"/>
        <w:rPr>
          <w:rFonts w:hint="eastAsia" w:ascii="宋体" w:hAnsi="宋体"/>
          <w:sz w:val="18"/>
          <w:szCs w:val="18"/>
        </w:rPr>
      </w:pPr>
      <w:r>
        <w:rPr>
          <w:rFonts w:hint="eastAsia" w:ascii="宋体" w:hAnsi="宋体"/>
        </w:rPr>
        <w:t>2.2.1 投标人应仔</w:t>
      </w:r>
      <w:r>
        <w:rPr>
          <w:rFonts w:hint="eastAsia" w:ascii="宋体" w:hAnsi="宋体"/>
          <w:sz w:val="18"/>
          <w:szCs w:val="18"/>
        </w:rPr>
        <w:t>细阅读和检查招标文件的全部内容。如发现缺页或附件不全，应及时向招标人提出，以便补齐。如有疑问，应在投标人须知前附表规定的时间前发送电子邮件给招标人（提交疑问的文件需加盖企业公章，并以PDF的格式发送），要求招标人对招标文件予以澄清。发送电子邮件地址和时间见投标人须知前附表。</w:t>
      </w:r>
    </w:p>
    <w:p>
      <w:pPr>
        <w:spacing w:line="360" w:lineRule="auto"/>
        <w:ind w:firstLine="420" w:firstLineChars="200"/>
        <w:rPr>
          <w:rFonts w:hint="eastAsia" w:ascii="宋体" w:hAnsi="宋体"/>
          <w:sz w:val="32"/>
          <w:szCs w:val="32"/>
        </w:rPr>
      </w:pPr>
      <w:r>
        <w:rPr>
          <w:rFonts w:hint="eastAsia" w:ascii="宋体" w:hAnsi="宋体"/>
        </w:rPr>
        <w:t>2.2.2招标文件的澄清将通过招标人的网站统一公布。招标人将在投标截止期2日前通过招标人网站（</w:t>
      </w:r>
      <w:r>
        <w:rPr>
          <w:rFonts w:ascii="宋体" w:hAnsi="宋体" w:cs="宋体"/>
          <w:kern w:val="0"/>
          <w:szCs w:val="21"/>
        </w:rPr>
        <w:t>https://zbtb.southcn.com/node_9381c01914</w:t>
      </w:r>
      <w:r>
        <w:rPr>
          <w:rFonts w:hint="eastAsia" w:ascii="宋体" w:hAnsi="宋体"/>
        </w:rPr>
        <w:t>）答复给所有投标人，但不指明澄清问题的来源。如果澄清发出的时间距投标人须知前附表规定的投标截止时间不足2天，并且澄清内容影响投标文件编制的，将相应延长投标截止时间。</w:t>
      </w:r>
      <w:r>
        <w:rPr>
          <w:rFonts w:hint="eastAsia" w:ascii="宋体" w:hAnsi="宋体"/>
          <w:sz w:val="32"/>
          <w:szCs w:val="32"/>
        </w:rPr>
        <w:t xml:space="preserve"> </w:t>
      </w:r>
    </w:p>
    <w:p>
      <w:pPr>
        <w:pStyle w:val="40"/>
        <w:spacing w:line="360" w:lineRule="auto"/>
        <w:ind w:firstLineChars="200"/>
        <w:rPr>
          <w:rFonts w:hint="eastAsia" w:ascii="宋体" w:hAnsi="宋体" w:cs="宋体"/>
          <w:kern w:val="0"/>
          <w:sz w:val="21"/>
          <w:szCs w:val="21"/>
        </w:rPr>
      </w:pPr>
      <w:r>
        <w:rPr>
          <w:rFonts w:ascii="宋体" w:hAnsi="宋体" w:cs="宋体"/>
          <w:kern w:val="0"/>
          <w:sz w:val="21"/>
          <w:szCs w:val="21"/>
        </w:rPr>
        <w:t>2.2.3澄清内容一经在</w:t>
      </w:r>
      <w:r>
        <w:rPr>
          <w:rFonts w:hint="eastAsia" w:ascii="宋体" w:hAnsi="宋体" w:cs="宋体"/>
          <w:kern w:val="0"/>
          <w:sz w:val="21"/>
          <w:szCs w:val="21"/>
        </w:rPr>
        <w:t>招标人</w:t>
      </w:r>
      <w:r>
        <w:rPr>
          <w:rFonts w:ascii="宋体" w:hAnsi="宋体" w:cs="宋体"/>
          <w:kern w:val="0"/>
          <w:sz w:val="21"/>
          <w:szCs w:val="21"/>
        </w:rPr>
        <w:t>网站上发布，视作已发布给所有</w:t>
      </w:r>
      <w:r>
        <w:rPr>
          <w:rFonts w:hint="eastAsia" w:ascii="宋体" w:hAnsi="宋体" w:cs="宋体"/>
          <w:kern w:val="0"/>
          <w:sz w:val="21"/>
          <w:szCs w:val="21"/>
        </w:rPr>
        <w:t>投标人</w:t>
      </w:r>
      <w:r>
        <w:rPr>
          <w:rFonts w:ascii="宋体" w:hAnsi="宋体" w:cs="宋体"/>
          <w:kern w:val="0"/>
          <w:sz w:val="21"/>
          <w:szCs w:val="21"/>
        </w:rPr>
        <w:t>。澄清文件将作为</w:t>
      </w:r>
      <w:r>
        <w:rPr>
          <w:rFonts w:hint="eastAsia" w:ascii="宋体" w:hAnsi="宋体" w:cs="宋体"/>
          <w:kern w:val="0"/>
          <w:sz w:val="21"/>
          <w:szCs w:val="21"/>
        </w:rPr>
        <w:t>招标</w:t>
      </w:r>
      <w:r>
        <w:rPr>
          <w:rFonts w:ascii="宋体" w:hAnsi="宋体" w:cs="宋体"/>
          <w:kern w:val="0"/>
          <w:sz w:val="21"/>
          <w:szCs w:val="21"/>
        </w:rPr>
        <w:t>文件的一部分，视为签订合同和项目结算的依据。</w:t>
      </w:r>
    </w:p>
    <w:p>
      <w:pPr>
        <w:pStyle w:val="5"/>
        <w:spacing w:before="20" w:after="20" w:line="360" w:lineRule="auto"/>
        <w:rPr>
          <w:rFonts w:hint="eastAsia" w:ascii="宋体" w:hAnsi="宋体" w:eastAsia="宋体"/>
        </w:rPr>
      </w:pPr>
      <w:bookmarkStart w:id="988" w:name="_Toc13554"/>
      <w:bookmarkStart w:id="989" w:name="_Toc22918"/>
      <w:bookmarkStart w:id="990" w:name="_Toc13162"/>
      <w:bookmarkStart w:id="991" w:name="_Toc17349"/>
      <w:bookmarkStart w:id="992" w:name="_Toc21966"/>
      <w:bookmarkStart w:id="993" w:name="_Toc30987"/>
      <w:bookmarkStart w:id="994" w:name="_Toc1574"/>
      <w:bookmarkStart w:id="995" w:name="_Toc22148"/>
      <w:bookmarkStart w:id="996" w:name="_Toc13301"/>
      <w:bookmarkStart w:id="997" w:name="_Toc698"/>
      <w:bookmarkStart w:id="998" w:name="_Toc2957"/>
      <w:bookmarkStart w:id="999" w:name="_Toc7626"/>
      <w:bookmarkStart w:id="1000" w:name="_Toc15265"/>
      <w:bookmarkStart w:id="1001" w:name="_Toc32239"/>
      <w:bookmarkStart w:id="1002" w:name="_Toc27732"/>
      <w:bookmarkStart w:id="1003" w:name="_Toc12805"/>
      <w:bookmarkStart w:id="1004" w:name="_Toc6451"/>
      <w:bookmarkStart w:id="1005" w:name="_Toc29619"/>
      <w:bookmarkStart w:id="1006" w:name="_Toc29139"/>
      <w:bookmarkStart w:id="1007" w:name="_Toc19586"/>
      <w:bookmarkStart w:id="1008" w:name="_Toc24291"/>
      <w:r>
        <w:rPr>
          <w:rFonts w:hint="eastAsia" w:ascii="宋体" w:hAnsi="宋体" w:eastAsia="宋体"/>
        </w:rPr>
        <w:t>2.3 招标文件的修改</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spacing w:line="360" w:lineRule="auto"/>
        <w:ind w:firstLine="420" w:firstLineChars="200"/>
        <w:rPr>
          <w:rFonts w:hint="eastAsia" w:ascii="宋体" w:hAnsi="宋体"/>
        </w:rPr>
      </w:pPr>
      <w:r>
        <w:rPr>
          <w:rFonts w:hint="eastAsia" w:ascii="宋体" w:hAnsi="宋体"/>
        </w:rPr>
        <w:t>2.3.1招标人可以通过招标人网站统一发布修改招标文件的内容。但如果修改招标文件的时间距投标截止时间不足2天，并且修改内容影响投标文件编制的，将相应延长投标截止时间。</w:t>
      </w:r>
    </w:p>
    <w:p>
      <w:pPr>
        <w:spacing w:line="360" w:lineRule="auto"/>
        <w:ind w:firstLine="420" w:firstLineChars="200"/>
        <w:rPr>
          <w:rFonts w:hint="eastAsia" w:ascii="宋体" w:hAnsi="宋体"/>
        </w:rPr>
      </w:pPr>
      <w:r>
        <w:rPr>
          <w:rFonts w:hint="eastAsia" w:ascii="宋体" w:hAnsi="宋体"/>
        </w:rPr>
        <w:t>2.3.2修改内容一经在招标人网站上发布，视作已发布给所有投标人</w:t>
      </w:r>
      <w:r>
        <w:rPr>
          <w:rFonts w:hint="eastAsia" w:ascii="宋体" w:hAnsi="宋体"/>
          <w:bCs/>
        </w:rPr>
        <w:t>。</w:t>
      </w:r>
      <w:r>
        <w:rPr>
          <w:rFonts w:hint="eastAsia" w:ascii="宋体" w:hAnsi="宋体"/>
        </w:rPr>
        <w:t>修改的</w:t>
      </w:r>
      <w:r>
        <w:rPr>
          <w:rFonts w:hint="eastAsia" w:ascii="宋体" w:hAnsi="宋体"/>
          <w:bCs/>
        </w:rPr>
        <w:t>文件将作为招标文件的一部分，</w:t>
      </w:r>
      <w:r>
        <w:rPr>
          <w:rFonts w:hint="eastAsia" w:ascii="宋体" w:hAnsi="宋体"/>
        </w:rPr>
        <w:t>视为签订合同和项目结算的依据。</w:t>
      </w:r>
    </w:p>
    <w:p>
      <w:pPr>
        <w:pStyle w:val="5"/>
        <w:spacing w:before="20" w:after="20" w:line="360" w:lineRule="auto"/>
        <w:rPr>
          <w:rFonts w:hint="eastAsia" w:ascii="宋体" w:hAnsi="宋体" w:eastAsia="宋体"/>
        </w:rPr>
      </w:pPr>
      <w:bookmarkStart w:id="1009" w:name="_Toc4226"/>
      <w:bookmarkStart w:id="1010" w:name="_Toc32022"/>
      <w:bookmarkStart w:id="1011" w:name="_Toc5840"/>
      <w:bookmarkStart w:id="1012" w:name="_Toc8915"/>
      <w:bookmarkStart w:id="1013" w:name="_Toc11188"/>
      <w:bookmarkStart w:id="1014" w:name="_Toc24491"/>
      <w:bookmarkStart w:id="1015" w:name="_Toc3890"/>
      <w:bookmarkStart w:id="1016" w:name="_Toc12141"/>
      <w:bookmarkStart w:id="1017" w:name="_Toc12211"/>
      <w:bookmarkStart w:id="1018" w:name="_Toc14347"/>
      <w:bookmarkStart w:id="1019" w:name="_Toc2913"/>
      <w:bookmarkStart w:id="1020" w:name="_Toc28935"/>
      <w:bookmarkStart w:id="1021" w:name="_Toc4431"/>
      <w:bookmarkStart w:id="1022" w:name="_Toc12704"/>
      <w:bookmarkStart w:id="1023" w:name="_Toc30512"/>
      <w:bookmarkStart w:id="1024" w:name="_Toc30795"/>
      <w:bookmarkStart w:id="1025" w:name="_Toc21448"/>
      <w:bookmarkStart w:id="1026" w:name="_Toc16461"/>
      <w:bookmarkStart w:id="1027" w:name="_Toc15674"/>
      <w:bookmarkStart w:id="1028" w:name="_Toc641"/>
      <w:bookmarkStart w:id="1029" w:name="_Toc23811"/>
      <w:r>
        <w:rPr>
          <w:rFonts w:hint="eastAsia" w:ascii="宋体" w:hAnsi="宋体" w:eastAsia="宋体"/>
        </w:rPr>
        <w:t>2.4 招标文件的异议</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spacing w:line="360" w:lineRule="auto"/>
        <w:ind w:firstLine="420" w:firstLineChars="200"/>
        <w:rPr>
          <w:rFonts w:hint="eastAsia" w:ascii="宋体" w:hAnsi="宋体" w:cs="宋体"/>
          <w:kern w:val="0"/>
          <w:szCs w:val="21"/>
        </w:rPr>
      </w:pPr>
      <w:r>
        <w:rPr>
          <w:rFonts w:hint="eastAsia" w:ascii="宋体" w:hAnsi="宋体" w:cs="宋体"/>
          <w:kern w:val="0"/>
          <w:szCs w:val="21"/>
        </w:rPr>
        <w:t>2.4.1 投标人</w:t>
      </w:r>
      <w:r>
        <w:rPr>
          <w:rFonts w:ascii="宋体" w:hAnsi="宋体" w:cs="宋体"/>
          <w:kern w:val="0"/>
          <w:szCs w:val="21"/>
        </w:rPr>
        <w:t>或者其他利害关系人对</w:t>
      </w:r>
      <w:r>
        <w:rPr>
          <w:rFonts w:hint="eastAsia" w:ascii="宋体" w:hAnsi="宋体" w:cs="宋体"/>
          <w:kern w:val="0"/>
          <w:szCs w:val="21"/>
        </w:rPr>
        <w:t>招标</w:t>
      </w:r>
      <w:r>
        <w:rPr>
          <w:rFonts w:ascii="宋体" w:hAnsi="宋体" w:cs="宋体"/>
          <w:kern w:val="0"/>
          <w:szCs w:val="21"/>
        </w:rPr>
        <w:t>文件有异议的，应当在</w:t>
      </w:r>
      <w:r>
        <w:rPr>
          <w:rFonts w:hint="eastAsia" w:ascii="宋体" w:hAnsi="宋体" w:cs="宋体"/>
          <w:kern w:val="0"/>
          <w:szCs w:val="21"/>
        </w:rPr>
        <w:t>递交投标文件</w:t>
      </w:r>
      <w:r>
        <w:rPr>
          <w:rFonts w:ascii="宋体" w:hAnsi="宋体" w:cs="宋体"/>
          <w:kern w:val="0"/>
          <w:szCs w:val="21"/>
        </w:rPr>
        <w:t>截止时间</w:t>
      </w:r>
      <w:r>
        <w:rPr>
          <w:kern w:val="0"/>
          <w:szCs w:val="21"/>
        </w:rPr>
        <w:t>10</w:t>
      </w:r>
      <w:r>
        <w:rPr>
          <w:rFonts w:ascii="宋体" w:hAnsi="宋体" w:cs="宋体"/>
          <w:kern w:val="0"/>
          <w:szCs w:val="21"/>
        </w:rPr>
        <w:t>日前以书面形式提出。</w:t>
      </w:r>
    </w:p>
    <w:p>
      <w:pPr>
        <w:spacing w:line="360" w:lineRule="auto"/>
        <w:ind w:firstLine="420" w:firstLineChars="200"/>
      </w:pPr>
      <w:r>
        <w:rPr>
          <w:rFonts w:hint="eastAsia" w:ascii="宋体" w:hAnsi="宋体" w:cs="宋体"/>
          <w:kern w:val="0"/>
          <w:szCs w:val="21"/>
        </w:rPr>
        <w:t>2.4.2对</w:t>
      </w:r>
      <w:r>
        <w:rPr>
          <w:rFonts w:hint="eastAsia"/>
        </w:rPr>
        <w:t>招标文件的异议的答复通过招标人的网站统一公布，答复</w:t>
      </w:r>
      <w:r>
        <w:rPr>
          <w:rFonts w:hint="eastAsia" w:ascii="宋体" w:hAnsi="宋体"/>
        </w:rPr>
        <w:t>内容一经在招标人网站（</w:t>
      </w:r>
      <w:r>
        <w:rPr>
          <w:rFonts w:ascii="宋体" w:hAnsi="宋体" w:cs="宋体"/>
          <w:kern w:val="0"/>
          <w:szCs w:val="21"/>
        </w:rPr>
        <w:t>https://zbtb.southcn.com/node_9381c01914</w:t>
      </w:r>
      <w:r>
        <w:rPr>
          <w:rFonts w:hint="eastAsia" w:ascii="宋体" w:hAnsi="宋体"/>
        </w:rPr>
        <w:t>）上发布，视作已发布给所有投标人</w:t>
      </w:r>
      <w:r>
        <w:rPr>
          <w:rFonts w:hint="eastAsia"/>
          <w:bCs/>
        </w:rPr>
        <w:t>。</w:t>
      </w:r>
      <w:r>
        <w:rPr>
          <w:rFonts w:hint="eastAsia"/>
        </w:rPr>
        <w:t>答复</w:t>
      </w:r>
      <w:r>
        <w:rPr>
          <w:rFonts w:hint="eastAsia"/>
          <w:bCs/>
        </w:rPr>
        <w:t>文件将作为招标文件的一部分，</w:t>
      </w:r>
      <w:r>
        <w:rPr>
          <w:rFonts w:hint="eastAsia" w:ascii="宋体" w:hAnsi="宋体"/>
        </w:rPr>
        <w:t>视为签订合同和项目结算的依据。</w:t>
      </w:r>
    </w:p>
    <w:bookmarkEnd w:id="936"/>
    <w:bookmarkEnd w:id="937"/>
    <w:bookmarkEnd w:id="938"/>
    <w:bookmarkEnd w:id="939"/>
    <w:bookmarkEnd w:id="940"/>
    <w:bookmarkEnd w:id="941"/>
    <w:bookmarkEnd w:id="942"/>
    <w:bookmarkEnd w:id="943"/>
    <w:bookmarkEnd w:id="944"/>
    <w:bookmarkEnd w:id="945"/>
    <w:p>
      <w:pPr>
        <w:pStyle w:val="5"/>
        <w:spacing w:before="20" w:after="20" w:line="360" w:lineRule="auto"/>
        <w:rPr>
          <w:rFonts w:hint="eastAsia" w:ascii="宋体" w:hAnsi="宋体" w:eastAsia="宋体"/>
        </w:rPr>
      </w:pPr>
      <w:bookmarkStart w:id="1030" w:name="_Toc12986"/>
      <w:bookmarkStart w:id="1031" w:name="_Toc13715"/>
      <w:bookmarkStart w:id="1032" w:name="_Toc10141"/>
      <w:bookmarkStart w:id="1033" w:name="_Toc28380"/>
      <w:bookmarkStart w:id="1034" w:name="_Toc4832"/>
      <w:bookmarkStart w:id="1035" w:name="_Toc11876"/>
      <w:bookmarkStart w:id="1036" w:name="_Toc7482"/>
      <w:bookmarkStart w:id="1037" w:name="_Toc29359"/>
      <w:bookmarkStart w:id="1038" w:name="_Toc28632"/>
      <w:bookmarkStart w:id="1039" w:name="_Toc23385"/>
      <w:bookmarkStart w:id="1040" w:name="_Toc25"/>
      <w:bookmarkStart w:id="1041" w:name="_Toc23052"/>
      <w:bookmarkStart w:id="1042" w:name="_Toc2985"/>
      <w:bookmarkStart w:id="1043" w:name="_Toc21319"/>
      <w:bookmarkStart w:id="1044" w:name="_Toc28273"/>
      <w:bookmarkStart w:id="1045" w:name="_Toc389"/>
      <w:bookmarkStart w:id="1046" w:name="_Toc29303"/>
      <w:bookmarkStart w:id="1047" w:name="_Toc14166"/>
      <w:bookmarkStart w:id="1048" w:name="_Toc32100"/>
      <w:bookmarkStart w:id="1049" w:name="_Toc3640"/>
      <w:bookmarkStart w:id="1050" w:name="_Toc29260"/>
      <w:bookmarkStart w:id="1051" w:name="_Toc179632564"/>
      <w:bookmarkStart w:id="1052" w:name="_Toc246996934"/>
      <w:bookmarkStart w:id="1053" w:name="_Toc144974514"/>
      <w:bookmarkStart w:id="1054" w:name="_Toc152042322"/>
      <w:bookmarkStart w:id="1055" w:name="_Toc16147"/>
      <w:bookmarkStart w:id="1056" w:name="_Toc11190"/>
      <w:bookmarkStart w:id="1057" w:name="_Toc246996191"/>
      <w:bookmarkStart w:id="1058" w:name="_Toc457992970"/>
      <w:bookmarkStart w:id="1059" w:name="_Toc152045546"/>
      <w:bookmarkStart w:id="1060" w:name="_Toc247085705"/>
      <w:bookmarkStart w:id="1061" w:name="_Toc9456"/>
      <w:bookmarkStart w:id="1062" w:name="_Toc5311"/>
      <w:bookmarkStart w:id="1063" w:name="_Toc28362"/>
      <w:bookmarkStart w:id="1064" w:name="_Toc22527"/>
      <w:bookmarkStart w:id="1065" w:name="_Toc3941"/>
      <w:bookmarkStart w:id="1066" w:name="_Toc16958"/>
      <w:bookmarkStart w:id="1067" w:name="_Toc10050"/>
      <w:r>
        <w:rPr>
          <w:rFonts w:hint="eastAsia" w:ascii="宋体" w:hAnsi="宋体" w:eastAsia="宋体"/>
        </w:rPr>
        <w:t>3. 投标文件</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5"/>
        <w:spacing w:before="20" w:after="20" w:line="360" w:lineRule="auto"/>
        <w:rPr>
          <w:rFonts w:hint="eastAsia" w:ascii="宋体" w:hAnsi="宋体" w:eastAsia="宋体"/>
        </w:rPr>
      </w:pPr>
      <w:bookmarkStart w:id="1068" w:name="_Toc7762"/>
      <w:bookmarkStart w:id="1069" w:name="_Toc12684"/>
      <w:bookmarkStart w:id="1070" w:name="_Toc7472"/>
      <w:bookmarkStart w:id="1071" w:name="_Toc1380"/>
      <w:bookmarkStart w:id="1072" w:name="_Toc2987"/>
      <w:bookmarkStart w:id="1073" w:name="_Toc27175"/>
      <w:bookmarkStart w:id="1074" w:name="_Toc20851"/>
      <w:bookmarkStart w:id="1075" w:name="_Toc24523"/>
      <w:bookmarkStart w:id="1076" w:name="_Toc17848"/>
      <w:bookmarkStart w:id="1077" w:name="_Toc2088"/>
      <w:bookmarkStart w:id="1078" w:name="_Toc23592"/>
      <w:bookmarkStart w:id="1079" w:name="_Toc3399"/>
      <w:bookmarkStart w:id="1080" w:name="_Toc2332"/>
      <w:bookmarkStart w:id="1081" w:name="_Toc15494"/>
      <w:bookmarkStart w:id="1082" w:name="_Toc20310"/>
      <w:bookmarkStart w:id="1083" w:name="_Toc9042"/>
      <w:bookmarkStart w:id="1084" w:name="_Toc29397"/>
      <w:bookmarkStart w:id="1085" w:name="_Toc7038"/>
      <w:bookmarkStart w:id="1086" w:name="_Toc9507"/>
      <w:bookmarkStart w:id="1087" w:name="_Toc22461"/>
      <w:bookmarkStart w:id="1088" w:name="_Toc14209"/>
      <w:r>
        <w:rPr>
          <w:rFonts w:hint="eastAsia" w:ascii="宋体" w:hAnsi="宋体" w:eastAsia="宋体"/>
        </w:rPr>
        <w:t>3.1 投标文件的组成</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spacing w:line="360" w:lineRule="auto"/>
      </w:pPr>
      <w:r>
        <w:rPr>
          <w:rFonts w:hint="eastAsia"/>
        </w:rPr>
        <w:t>投标文件的组成详见本招标文件第七章相关要求。</w:t>
      </w:r>
    </w:p>
    <w:p>
      <w:pPr>
        <w:pStyle w:val="5"/>
        <w:spacing w:before="20" w:after="20" w:line="360" w:lineRule="auto"/>
        <w:rPr>
          <w:rFonts w:hint="eastAsia" w:ascii="宋体" w:hAnsi="宋体" w:eastAsia="宋体"/>
        </w:rPr>
      </w:pPr>
      <w:bookmarkStart w:id="1089" w:name="_Toc9172"/>
      <w:bookmarkStart w:id="1090" w:name="_Toc24307"/>
      <w:bookmarkStart w:id="1091" w:name="_Toc14477"/>
      <w:bookmarkStart w:id="1092" w:name="_Toc8237"/>
      <w:bookmarkStart w:id="1093" w:name="_Toc152042324"/>
      <w:bookmarkStart w:id="1094" w:name="_Toc25095"/>
      <w:bookmarkStart w:id="1095" w:name="_Toc19045"/>
      <w:bookmarkStart w:id="1096" w:name="_Toc2870"/>
      <w:bookmarkStart w:id="1097" w:name="_Toc247085707"/>
      <w:bookmarkStart w:id="1098" w:name="_Toc20620"/>
      <w:bookmarkStart w:id="1099" w:name="_Toc24190"/>
      <w:bookmarkStart w:id="1100" w:name="_Toc27782"/>
      <w:bookmarkStart w:id="1101" w:name="_Toc32702"/>
      <w:bookmarkStart w:id="1102" w:name="_Toc21454"/>
      <w:bookmarkStart w:id="1103" w:name="_Toc246996936"/>
      <w:bookmarkStart w:id="1104" w:name="_Toc8652"/>
      <w:bookmarkStart w:id="1105" w:name="_Toc30079"/>
      <w:bookmarkStart w:id="1106" w:name="_Toc28862"/>
      <w:bookmarkStart w:id="1107" w:name="_Toc30067"/>
      <w:bookmarkStart w:id="1108" w:name="_Toc152045548"/>
      <w:bookmarkStart w:id="1109" w:name="_Toc13523"/>
      <w:bookmarkStart w:id="1110" w:name="_Toc28102"/>
      <w:bookmarkStart w:id="1111" w:name="_Toc14867"/>
      <w:bookmarkStart w:id="1112" w:name="_Toc21657"/>
      <w:bookmarkStart w:id="1113" w:name="_Toc27166"/>
      <w:bookmarkStart w:id="1114" w:name="_Toc21576"/>
      <w:bookmarkStart w:id="1115" w:name="_Toc25183"/>
      <w:bookmarkStart w:id="1116" w:name="_Toc10502"/>
      <w:bookmarkStart w:id="1117" w:name="_Toc30651"/>
      <w:bookmarkStart w:id="1118" w:name="_Toc435178381"/>
      <w:bookmarkStart w:id="1119" w:name="_Toc526"/>
      <w:bookmarkStart w:id="1120" w:name="_Toc7913"/>
      <w:bookmarkStart w:id="1121" w:name="_Toc11991"/>
      <w:bookmarkStart w:id="1122" w:name="_Toc24214"/>
      <w:bookmarkStart w:id="1123" w:name="_Toc246996193"/>
      <w:bookmarkStart w:id="1124" w:name="_Toc144974516"/>
      <w:bookmarkStart w:id="1125" w:name="_Toc137"/>
      <w:bookmarkStart w:id="1126" w:name="_Toc850"/>
      <w:bookmarkStart w:id="1127" w:name="_Toc179632566"/>
      <w:bookmarkStart w:id="1128" w:name="_Toc4609"/>
      <w:bookmarkStart w:id="1129" w:name="_Toc496601948"/>
      <w:bookmarkStart w:id="1130" w:name="_Toc16574"/>
      <w:bookmarkStart w:id="1131" w:name="_Toc9163"/>
      <w:bookmarkStart w:id="1132" w:name="_Toc15510"/>
      <w:bookmarkStart w:id="1133" w:name="_Toc16994"/>
      <w:bookmarkStart w:id="1134" w:name="_Toc436215739"/>
      <w:bookmarkStart w:id="1135" w:name="_Toc7999"/>
      <w:bookmarkStart w:id="1136" w:name="_Toc8747"/>
      <w:bookmarkStart w:id="1137" w:name="_Toc3419"/>
      <w:r>
        <w:rPr>
          <w:rFonts w:hint="eastAsia" w:ascii="宋体" w:hAnsi="宋体" w:eastAsia="宋体"/>
        </w:rPr>
        <w:t>3.2 投标报价</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spacing w:line="360" w:lineRule="auto"/>
        <w:ind w:firstLine="420" w:firstLineChars="200"/>
      </w:pPr>
      <w:r>
        <w:rPr>
          <w:rFonts w:hint="eastAsia"/>
        </w:rPr>
        <w:t>3.2.1 投标</w:t>
      </w:r>
      <w:r>
        <w:t>报价应包括国家规定的增值税税金，除</w:t>
      </w:r>
      <w:r>
        <w:rPr>
          <w:rFonts w:hint="eastAsia"/>
        </w:rPr>
        <w:t>投标</w:t>
      </w:r>
      <w:r>
        <w:t>人须知前附表另有规定外，增值税税金按一般计税方法计算。</w:t>
      </w:r>
      <w:r>
        <w:rPr>
          <w:rFonts w:hint="eastAsia"/>
        </w:rPr>
        <w:t>投标人应按投标文件附件的</w:t>
      </w:r>
      <w:r>
        <w:rPr>
          <w:rFonts w:hint="eastAsia"/>
          <w:b/>
          <w:bCs/>
        </w:rPr>
        <w:t>“投标报价”(标段1-标段</w:t>
      </w:r>
      <w:r>
        <w:rPr>
          <w:rFonts w:hint="eastAsia"/>
          <w:b/>
          <w:bCs/>
          <w:lang w:val="en-US" w:eastAsia="zh-CN"/>
        </w:rPr>
        <w:t>3</w:t>
      </w:r>
      <w:r>
        <w:rPr>
          <w:rFonts w:hint="eastAsia"/>
          <w:b/>
          <w:bCs/>
        </w:rPr>
        <w:t>)</w:t>
      </w:r>
      <w:r>
        <w:rPr>
          <w:rFonts w:hint="eastAsia"/>
        </w:rPr>
        <w:t>要求分别填写相应表格。</w:t>
      </w:r>
    </w:p>
    <w:p>
      <w:pPr>
        <w:spacing w:line="360" w:lineRule="auto"/>
        <w:ind w:firstLine="420" w:firstLineChars="200"/>
      </w:pPr>
      <w:r>
        <w:rPr>
          <w:rFonts w:hint="eastAsia"/>
        </w:rPr>
        <w:t>3.2.2 招标人设有最高投标限价的，投标人的投标报价不得超过最高投标限价，最高投标限价在招标人须知前附表中载明。</w:t>
      </w:r>
    </w:p>
    <w:p>
      <w:pPr>
        <w:spacing w:line="360" w:lineRule="auto"/>
        <w:ind w:firstLine="420" w:firstLineChars="200"/>
      </w:pPr>
      <w:r>
        <w:t>3.2.</w:t>
      </w:r>
      <w:r>
        <w:rPr>
          <w:rFonts w:hint="eastAsia"/>
        </w:rPr>
        <w:t>3</w:t>
      </w:r>
      <w:r>
        <w:t xml:space="preserve"> </w:t>
      </w:r>
      <w:r>
        <w:rPr>
          <w:rFonts w:hint="eastAsia"/>
        </w:rPr>
        <w:t>投标</w:t>
      </w:r>
      <w:r>
        <w:t>人应充分了解该项目的总体情况以及影响</w:t>
      </w:r>
      <w:r>
        <w:rPr>
          <w:rFonts w:hint="eastAsia"/>
        </w:rPr>
        <w:t>投标</w:t>
      </w:r>
      <w:r>
        <w:t>报价的其他要素。</w:t>
      </w:r>
    </w:p>
    <w:p>
      <w:pPr>
        <w:spacing w:line="360" w:lineRule="auto"/>
        <w:ind w:firstLine="420" w:firstLineChars="200"/>
      </w:pPr>
      <w:r>
        <w:t>3.2.</w:t>
      </w:r>
      <w:r>
        <w:rPr>
          <w:rFonts w:hint="eastAsia"/>
        </w:rPr>
        <w:t>4投标</w:t>
      </w:r>
      <w:r>
        <w:rPr>
          <w:rFonts w:ascii="宋体" w:hAnsi="宋体" w:cs="宋体"/>
          <w:kern w:val="0"/>
          <w:szCs w:val="21"/>
        </w:rPr>
        <w:t>报价有算术错误及其他错误的</w:t>
      </w:r>
      <w:r>
        <w:rPr>
          <w:rFonts w:hint="eastAsia" w:ascii="宋体" w:hAnsi="宋体" w:cs="宋体"/>
          <w:kern w:val="0"/>
          <w:szCs w:val="21"/>
        </w:rPr>
        <w:t>，修正方式详见本投标文件第三章3.1.3条款。</w:t>
      </w:r>
    </w:p>
    <w:p>
      <w:pPr>
        <w:spacing w:line="360" w:lineRule="auto"/>
        <w:ind w:firstLine="420" w:firstLineChars="200"/>
      </w:pPr>
      <w:r>
        <w:t>3.2.</w:t>
      </w:r>
      <w:r>
        <w:rPr>
          <w:rFonts w:hint="eastAsia"/>
        </w:rPr>
        <w:t>4投标</w:t>
      </w:r>
      <w:r>
        <w:t>报价的其他要求见</w:t>
      </w:r>
      <w:r>
        <w:rPr>
          <w:rFonts w:hint="eastAsia"/>
        </w:rPr>
        <w:t>投标</w:t>
      </w:r>
      <w:r>
        <w:t>人须知前附表。</w:t>
      </w:r>
    </w:p>
    <w:p>
      <w:pPr>
        <w:pStyle w:val="5"/>
        <w:spacing w:before="20" w:after="20" w:line="360" w:lineRule="auto"/>
        <w:rPr>
          <w:rFonts w:hint="eastAsia" w:ascii="宋体" w:hAnsi="宋体" w:eastAsia="宋体"/>
        </w:rPr>
      </w:pPr>
      <w:bookmarkStart w:id="1138" w:name="_Toc16880"/>
      <w:bookmarkStart w:id="1139" w:name="_Toc13887"/>
      <w:bookmarkStart w:id="1140" w:name="_Toc19693"/>
      <w:bookmarkStart w:id="1141" w:name="_Toc31871"/>
      <w:bookmarkStart w:id="1142" w:name="_Toc22144"/>
      <w:bookmarkStart w:id="1143" w:name="_Toc19585"/>
      <w:bookmarkStart w:id="1144" w:name="_Toc7738"/>
      <w:bookmarkStart w:id="1145" w:name="_Toc28788"/>
      <w:bookmarkStart w:id="1146" w:name="_Toc18847"/>
      <w:bookmarkStart w:id="1147" w:name="_Toc3272"/>
      <w:bookmarkStart w:id="1148" w:name="_Toc21510"/>
      <w:bookmarkStart w:id="1149" w:name="_Toc18422"/>
      <w:bookmarkStart w:id="1150" w:name="_Toc17994"/>
      <w:bookmarkStart w:id="1151" w:name="_Toc25002"/>
      <w:bookmarkStart w:id="1152" w:name="_Toc19403"/>
      <w:bookmarkStart w:id="1153" w:name="_Toc8296"/>
      <w:bookmarkStart w:id="1154" w:name="_Toc29722"/>
      <w:bookmarkStart w:id="1155" w:name="_Toc28041"/>
      <w:bookmarkStart w:id="1156" w:name="_Toc1677"/>
      <w:r>
        <w:rPr>
          <w:rFonts w:hint="eastAsia" w:ascii="宋体" w:hAnsi="宋体" w:eastAsia="宋体"/>
        </w:rPr>
        <w:t xml:space="preserve">3.3 </w:t>
      </w:r>
      <w:bookmarkEnd w:id="1138"/>
      <w:bookmarkEnd w:id="1139"/>
      <w:bookmarkEnd w:id="1140"/>
      <w:r>
        <w:rPr>
          <w:rFonts w:hint="eastAsia" w:ascii="宋体" w:hAnsi="宋体" w:eastAsia="宋体"/>
        </w:rPr>
        <w:t>投标文件有效期</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spacing w:line="360" w:lineRule="auto"/>
        <w:ind w:firstLine="420" w:firstLineChars="200"/>
        <w:rPr>
          <w:rFonts w:hint="eastAsia" w:ascii="宋体" w:hAnsi="宋体"/>
        </w:rPr>
      </w:pPr>
      <w:r>
        <w:rPr>
          <w:rFonts w:hint="eastAsia" w:ascii="宋体" w:hAnsi="宋体"/>
        </w:rPr>
        <w:t>3.3.1 除投标人须知前附表另有规定外，投标文件有效期为90天。</w:t>
      </w:r>
    </w:p>
    <w:p>
      <w:pPr>
        <w:spacing w:line="360" w:lineRule="auto"/>
        <w:ind w:firstLine="420" w:firstLineChars="200"/>
        <w:rPr>
          <w:rFonts w:hint="eastAsia" w:ascii="宋体" w:hAnsi="宋体"/>
        </w:rPr>
      </w:pPr>
      <w:r>
        <w:rPr>
          <w:rFonts w:hint="eastAsia" w:ascii="宋体" w:hAnsi="宋体"/>
        </w:rPr>
        <w:t>3.3.2在投标文件有效期内，投标人撤销或修改其投标文件的，应承担招标文件和法律规定的责任。</w:t>
      </w:r>
    </w:p>
    <w:p>
      <w:pPr>
        <w:spacing w:line="360" w:lineRule="auto"/>
        <w:ind w:firstLine="420" w:firstLineChars="200"/>
        <w:rPr>
          <w:rFonts w:hint="eastAsia" w:ascii="宋体" w:hAnsi="宋体"/>
          <w:szCs w:val="21"/>
        </w:rPr>
      </w:pPr>
      <w:r>
        <w:rPr>
          <w:rFonts w:hint="eastAsia" w:ascii="宋体" w:hAnsi="宋体"/>
        </w:rPr>
        <w:t>3.3.3出现特殊情况需要延长投标文件有效期的，招标人将通过招标人网站统一公告，公告内容一经在招标人网站上发布，视作已发布给所有投标人。投标人同意延长的，不得要求或被允许修改或撤销其投标文件；投标人拒绝延长的，其投标失效。</w:t>
      </w:r>
    </w:p>
    <w:p>
      <w:pPr>
        <w:pStyle w:val="5"/>
        <w:spacing w:before="20" w:after="20" w:line="360" w:lineRule="auto"/>
        <w:rPr>
          <w:rFonts w:hint="eastAsia" w:ascii="宋体" w:hAnsi="宋体" w:eastAsia="宋体"/>
        </w:rPr>
      </w:pPr>
      <w:bookmarkStart w:id="1157" w:name="_Toc13875"/>
      <w:bookmarkStart w:id="1158" w:name="_Toc31896"/>
      <w:bookmarkStart w:id="1159" w:name="_Toc488"/>
      <w:bookmarkStart w:id="1160" w:name="_Toc29152"/>
      <w:bookmarkStart w:id="1161" w:name="_Toc2285"/>
      <w:bookmarkStart w:id="1162" w:name="_Toc10213"/>
      <w:bookmarkStart w:id="1163" w:name="_Toc7638"/>
      <w:bookmarkStart w:id="1164" w:name="_Toc2347"/>
      <w:bookmarkStart w:id="1165" w:name="_Toc24082"/>
      <w:bookmarkStart w:id="1166" w:name="_Toc30902"/>
      <w:bookmarkStart w:id="1167" w:name="_Toc2227"/>
      <w:bookmarkStart w:id="1168" w:name="_Toc28377"/>
      <w:bookmarkStart w:id="1169" w:name="_Toc19617"/>
      <w:bookmarkStart w:id="1170" w:name="_Toc10252"/>
      <w:bookmarkStart w:id="1171" w:name="_Toc275"/>
      <w:bookmarkStart w:id="1172" w:name="_Toc2613"/>
      <w:bookmarkStart w:id="1173" w:name="_Toc26826"/>
      <w:bookmarkStart w:id="1174" w:name="_Toc7518"/>
      <w:bookmarkStart w:id="1175" w:name="_Toc10714"/>
      <w:bookmarkStart w:id="1176" w:name="_Toc1070"/>
      <w:bookmarkStart w:id="1177" w:name="_Toc29989"/>
      <w:r>
        <w:rPr>
          <w:rFonts w:hint="eastAsia" w:ascii="宋体" w:hAnsi="宋体" w:eastAsia="宋体"/>
        </w:rPr>
        <w:t>3.4投标文件的编制</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spacing w:line="360" w:lineRule="auto"/>
        <w:ind w:firstLine="420" w:firstLineChars="200"/>
        <w:rPr>
          <w:rFonts w:hint="eastAsia" w:ascii="宋体" w:hAnsi="宋体"/>
        </w:rPr>
      </w:pPr>
      <w:r>
        <w:rPr>
          <w:rFonts w:hint="eastAsia" w:ascii="宋体" w:hAnsi="宋体"/>
        </w:rPr>
        <w:t>3.4.1投标文件应按第七章“投标文件格式”进行编写，如有必要，可以增加附页，作为投标文件的组成部分。其中，投标函在满足招标文件实质性要求的基础上，可以提出比招标文件要求更有利于招标人的承诺。</w:t>
      </w:r>
    </w:p>
    <w:p>
      <w:pPr>
        <w:spacing w:line="360" w:lineRule="auto"/>
        <w:ind w:firstLine="420" w:firstLineChars="200"/>
        <w:rPr>
          <w:rFonts w:hint="eastAsia" w:ascii="宋体" w:hAnsi="宋体"/>
          <w:szCs w:val="21"/>
        </w:rPr>
      </w:pPr>
      <w:r>
        <w:rPr>
          <w:rFonts w:hint="eastAsia" w:ascii="宋体" w:hAnsi="宋体"/>
        </w:rPr>
        <w:t>3.4.2 投标文件应当对招标文件</w:t>
      </w:r>
      <w:r>
        <w:rPr>
          <w:rFonts w:hint="eastAsia" w:ascii="宋体" w:hAnsi="宋体"/>
          <w:szCs w:val="21"/>
        </w:rPr>
        <w:t>投标文件有效期、质量要求、技术标准和要求、招标范围等实质性内容作出响应。</w:t>
      </w:r>
    </w:p>
    <w:p>
      <w:pPr>
        <w:spacing w:line="360" w:lineRule="auto"/>
        <w:ind w:firstLine="420" w:firstLineChars="200"/>
        <w:rPr>
          <w:rFonts w:hint="eastAsia" w:ascii="宋体" w:hAnsi="宋体"/>
        </w:rPr>
      </w:pPr>
      <w:r>
        <w:rPr>
          <w:rFonts w:hint="eastAsia" w:ascii="宋体" w:hAnsi="宋体"/>
        </w:rPr>
        <w:t>3.4.3投标文件应用不褪色的材料书写或打印，并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w:t>
      </w:r>
    </w:p>
    <w:p>
      <w:pPr>
        <w:spacing w:line="360" w:lineRule="auto"/>
        <w:ind w:firstLine="420" w:firstLineChars="200"/>
        <w:rPr>
          <w:rFonts w:hint="eastAsia" w:ascii="宋体" w:hAnsi="宋体"/>
        </w:rPr>
      </w:pPr>
      <w:r>
        <w:rPr>
          <w:rFonts w:hint="eastAsia" w:ascii="宋体" w:hAnsi="宋体"/>
        </w:rPr>
        <w:t>3.4.4  投标文件的正本与副本应分别装订成册，具体装订要求见投标人须知前附表规定。</w:t>
      </w:r>
    </w:p>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Pr>
        <w:pStyle w:val="5"/>
        <w:spacing w:before="20" w:after="20" w:line="360" w:lineRule="auto"/>
        <w:rPr>
          <w:rFonts w:hint="eastAsia" w:ascii="宋体" w:hAnsi="宋体" w:eastAsia="宋体"/>
        </w:rPr>
      </w:pPr>
      <w:bookmarkStart w:id="1178" w:name="_Toc29007"/>
      <w:bookmarkStart w:id="1179" w:name="_Toc23382"/>
      <w:bookmarkStart w:id="1180" w:name="_Toc2954"/>
      <w:bookmarkStart w:id="1181" w:name="_Toc30659"/>
      <w:bookmarkStart w:id="1182" w:name="_Toc25641"/>
      <w:bookmarkStart w:id="1183" w:name="_Toc5940"/>
      <w:bookmarkStart w:id="1184" w:name="_Toc3503"/>
      <w:bookmarkStart w:id="1185" w:name="_Toc17978"/>
      <w:bookmarkStart w:id="1186" w:name="_Toc12098"/>
      <w:bookmarkStart w:id="1187" w:name="_Toc2764"/>
      <w:bookmarkStart w:id="1188" w:name="_Toc13814"/>
      <w:bookmarkStart w:id="1189" w:name="_Toc16394"/>
      <w:bookmarkStart w:id="1190" w:name="_Toc8849"/>
      <w:bookmarkStart w:id="1191" w:name="_Toc23588"/>
      <w:bookmarkStart w:id="1192" w:name="_Toc6459"/>
      <w:bookmarkStart w:id="1193" w:name="_Toc2464"/>
      <w:bookmarkStart w:id="1194" w:name="_Toc30339"/>
      <w:bookmarkStart w:id="1195" w:name="_Toc28294"/>
      <w:bookmarkStart w:id="1196" w:name="_Toc19014"/>
      <w:bookmarkStart w:id="1197" w:name="_Toc30062"/>
      <w:bookmarkStart w:id="1198" w:name="_Toc8939"/>
      <w:bookmarkStart w:id="1199" w:name="_Toc4635"/>
      <w:bookmarkStart w:id="1200" w:name="_Toc25179"/>
      <w:bookmarkStart w:id="1201" w:name="_Toc457992974"/>
      <w:bookmarkStart w:id="1202" w:name="_Toc20992"/>
      <w:bookmarkStart w:id="1203" w:name="_Toc16272"/>
      <w:bookmarkStart w:id="1204" w:name="_Toc4973"/>
      <w:bookmarkStart w:id="1205" w:name="_Toc5460"/>
      <w:bookmarkStart w:id="1206" w:name="_Toc26497"/>
      <w:bookmarkStart w:id="1207" w:name="_Toc1946"/>
      <w:bookmarkStart w:id="1208" w:name="_Toc11091"/>
      <w:r>
        <w:rPr>
          <w:rFonts w:hint="eastAsia" w:ascii="宋体" w:hAnsi="宋体" w:eastAsia="宋体"/>
        </w:rPr>
        <w:t xml:space="preserve">4. </w:t>
      </w:r>
      <w:bookmarkEnd w:id="1178"/>
      <w:bookmarkEnd w:id="1179"/>
      <w:bookmarkEnd w:id="1180"/>
      <w:bookmarkEnd w:id="1181"/>
      <w:bookmarkEnd w:id="1182"/>
      <w:bookmarkEnd w:id="1183"/>
      <w:bookmarkEnd w:id="1184"/>
      <w:bookmarkEnd w:id="1185"/>
      <w:bookmarkEnd w:id="1186"/>
      <w:bookmarkEnd w:id="1187"/>
      <w:bookmarkEnd w:id="1188"/>
      <w:r>
        <w:rPr>
          <w:rFonts w:hint="eastAsia" w:ascii="宋体" w:hAnsi="宋体" w:eastAsia="宋体"/>
        </w:rPr>
        <w:t>投标</w:t>
      </w:r>
      <w:bookmarkEnd w:id="1189"/>
      <w:bookmarkEnd w:id="1190"/>
      <w:bookmarkEnd w:id="1191"/>
      <w:bookmarkEnd w:id="1192"/>
      <w:bookmarkEnd w:id="1193"/>
      <w:bookmarkEnd w:id="1194"/>
      <w:bookmarkEnd w:id="1195"/>
      <w:bookmarkEnd w:id="1196"/>
      <w:bookmarkEnd w:id="1197"/>
      <w:bookmarkEnd w:id="1198"/>
    </w:p>
    <w:p>
      <w:pPr>
        <w:pStyle w:val="5"/>
        <w:spacing w:before="20" w:after="20" w:line="360" w:lineRule="auto"/>
        <w:rPr>
          <w:rFonts w:hint="eastAsia" w:ascii="宋体" w:hAnsi="宋体" w:eastAsia="宋体"/>
        </w:rPr>
      </w:pPr>
      <w:bookmarkStart w:id="1209" w:name="_Toc19159"/>
      <w:bookmarkStart w:id="1210" w:name="_Toc7589"/>
      <w:bookmarkStart w:id="1211" w:name="_Toc10798"/>
      <w:bookmarkStart w:id="1212" w:name="_Toc25054"/>
      <w:bookmarkStart w:id="1213" w:name="_Toc6967"/>
      <w:bookmarkStart w:id="1214" w:name="_Toc21518"/>
      <w:bookmarkStart w:id="1215" w:name="_Toc7114"/>
      <w:bookmarkStart w:id="1216" w:name="_Toc13812"/>
      <w:bookmarkStart w:id="1217" w:name="_Toc16059"/>
      <w:bookmarkStart w:id="1218" w:name="_Toc11468"/>
      <w:bookmarkStart w:id="1219" w:name="_Toc1870"/>
      <w:bookmarkStart w:id="1220" w:name="_Toc23734"/>
      <w:bookmarkStart w:id="1221" w:name="_Toc9491"/>
      <w:bookmarkStart w:id="1222" w:name="_Toc10319"/>
      <w:bookmarkStart w:id="1223" w:name="_Toc13749"/>
      <w:bookmarkStart w:id="1224" w:name="_Toc9000"/>
      <w:bookmarkStart w:id="1225" w:name="_Toc713"/>
      <w:bookmarkStart w:id="1226" w:name="_Toc8378"/>
      <w:bookmarkStart w:id="1227" w:name="_Toc23180"/>
      <w:bookmarkStart w:id="1228" w:name="_Toc23292"/>
      <w:bookmarkStart w:id="1229" w:name="_Toc241"/>
      <w:r>
        <w:rPr>
          <w:rFonts w:hint="eastAsia" w:ascii="宋体" w:hAnsi="宋体" w:eastAsia="宋体"/>
        </w:rPr>
        <w:t>4.1 投标文件的密封和标记</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spacing w:line="360" w:lineRule="auto"/>
        <w:ind w:firstLine="420" w:firstLineChars="200"/>
        <w:rPr>
          <w:rFonts w:hint="eastAsia" w:ascii="宋体" w:hAnsi="宋体"/>
        </w:rPr>
      </w:pPr>
      <w:r>
        <w:rPr>
          <w:rFonts w:hint="eastAsia" w:ascii="宋体" w:hAnsi="宋体"/>
        </w:rPr>
        <w:t xml:space="preserve">4.1.1 </w:t>
      </w:r>
      <w:r>
        <w:rPr>
          <w:rFonts w:hint="eastAsia" w:ascii="宋体" w:hAnsi="宋体"/>
          <w:b/>
          <w:bCs/>
        </w:rPr>
        <w:t>投标文件应进行包装、加贴封条，并在封套的封口处加盖投标人单位公章。</w:t>
      </w:r>
    </w:p>
    <w:p>
      <w:pPr>
        <w:spacing w:line="360" w:lineRule="auto"/>
        <w:ind w:firstLine="420" w:firstLineChars="200"/>
        <w:rPr>
          <w:rFonts w:hint="eastAsia" w:ascii="宋体" w:hAnsi="宋体"/>
        </w:rPr>
      </w:pPr>
      <w:r>
        <w:rPr>
          <w:rFonts w:hint="eastAsia" w:ascii="宋体" w:hAnsi="宋体"/>
        </w:rPr>
        <w:t xml:space="preserve">4.1.2 </w:t>
      </w:r>
      <w:r>
        <w:rPr>
          <w:rFonts w:hint="eastAsia" w:ascii="宋体" w:hAnsi="宋体"/>
          <w:b/>
          <w:bCs/>
        </w:rPr>
        <w:t>投标文件封套上应写明的内容见投标人须知前附表。</w:t>
      </w:r>
    </w:p>
    <w:p>
      <w:pPr>
        <w:spacing w:line="360" w:lineRule="auto"/>
        <w:ind w:firstLine="420" w:firstLineChars="200"/>
        <w:rPr>
          <w:rFonts w:hint="eastAsia" w:ascii="宋体" w:hAnsi="宋体"/>
        </w:rPr>
      </w:pPr>
      <w:r>
        <w:rPr>
          <w:rFonts w:hint="eastAsia" w:ascii="宋体" w:hAnsi="宋体"/>
        </w:rPr>
        <w:t>4.1.3 未按本章第4.1.1项或第4.1.2项要求密封和加写标记的投标文件，招标人应予拒收。</w:t>
      </w:r>
    </w:p>
    <w:p>
      <w:pPr>
        <w:pStyle w:val="5"/>
        <w:spacing w:before="20" w:after="20" w:line="360" w:lineRule="auto"/>
        <w:rPr>
          <w:rFonts w:hint="eastAsia" w:ascii="宋体" w:hAnsi="宋体" w:eastAsia="宋体"/>
        </w:rPr>
      </w:pPr>
      <w:bookmarkStart w:id="1230" w:name="_Toc16541"/>
      <w:bookmarkStart w:id="1231" w:name="_Toc24045"/>
      <w:bookmarkStart w:id="1232" w:name="_Toc1005"/>
      <w:bookmarkStart w:id="1233" w:name="_Toc9878"/>
      <w:bookmarkStart w:id="1234" w:name="_Toc25673"/>
      <w:bookmarkStart w:id="1235" w:name="_Toc15336"/>
      <w:bookmarkStart w:id="1236" w:name="_Toc29479"/>
      <w:bookmarkStart w:id="1237" w:name="_Toc23623"/>
      <w:bookmarkStart w:id="1238" w:name="_Toc11677"/>
      <w:bookmarkStart w:id="1239" w:name="_Toc30041"/>
      <w:bookmarkStart w:id="1240" w:name="_Toc3760"/>
      <w:bookmarkStart w:id="1241" w:name="_Toc418"/>
      <w:bookmarkStart w:id="1242" w:name="_Toc17459"/>
      <w:bookmarkStart w:id="1243" w:name="_Toc3981"/>
      <w:bookmarkStart w:id="1244" w:name="_Toc23798"/>
      <w:bookmarkStart w:id="1245" w:name="_Toc4752"/>
      <w:bookmarkStart w:id="1246" w:name="_Toc8776"/>
      <w:bookmarkStart w:id="1247" w:name="_Toc5599"/>
      <w:bookmarkStart w:id="1248" w:name="_Toc6277"/>
      <w:bookmarkStart w:id="1249" w:name="_Toc10455"/>
      <w:bookmarkStart w:id="1250" w:name="_Toc24123"/>
      <w:r>
        <w:rPr>
          <w:rFonts w:hint="eastAsia" w:ascii="宋体" w:hAnsi="宋体" w:eastAsia="宋体"/>
        </w:rPr>
        <w:t>4.2 投标文件的递交</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spacing w:line="360" w:lineRule="auto"/>
        <w:ind w:firstLine="420" w:firstLineChars="200"/>
        <w:rPr>
          <w:rFonts w:hint="eastAsia" w:ascii="宋体" w:hAnsi="宋体"/>
        </w:rPr>
      </w:pPr>
      <w:r>
        <w:rPr>
          <w:rFonts w:hint="eastAsia" w:ascii="宋体" w:hAnsi="宋体"/>
        </w:rPr>
        <w:t>4.2.1 投标人应在规定的投标截止时间前递交投标文件。</w:t>
      </w:r>
    </w:p>
    <w:p>
      <w:pPr>
        <w:spacing w:line="360" w:lineRule="auto"/>
        <w:ind w:firstLine="420" w:firstLineChars="200"/>
        <w:rPr>
          <w:rFonts w:hint="eastAsia" w:ascii="宋体" w:hAnsi="宋体"/>
        </w:rPr>
      </w:pPr>
      <w:r>
        <w:rPr>
          <w:rFonts w:hint="eastAsia" w:ascii="宋体" w:hAnsi="宋体"/>
        </w:rPr>
        <w:t>4.2.2 投标人递交投标文件的地点：见投标人须知前附表。</w:t>
      </w:r>
    </w:p>
    <w:p>
      <w:pPr>
        <w:spacing w:line="360" w:lineRule="auto"/>
        <w:ind w:firstLine="420" w:firstLineChars="200"/>
        <w:rPr>
          <w:rFonts w:hint="eastAsia" w:ascii="宋体" w:hAnsi="宋体"/>
        </w:rPr>
      </w:pPr>
      <w:r>
        <w:rPr>
          <w:rFonts w:hint="eastAsia" w:ascii="宋体" w:hAnsi="宋体"/>
        </w:rPr>
        <w:t>4.2.3 除投标人须知前附表另有规定外，投标人所递交的投标文件不予退还。</w:t>
      </w:r>
    </w:p>
    <w:p>
      <w:pPr>
        <w:spacing w:line="360" w:lineRule="auto"/>
        <w:ind w:firstLine="420" w:firstLineChars="200"/>
        <w:rPr>
          <w:rFonts w:hint="eastAsia" w:ascii="宋体" w:hAnsi="宋体"/>
        </w:rPr>
      </w:pPr>
      <w:r>
        <w:rPr>
          <w:rFonts w:hint="eastAsia" w:ascii="宋体" w:hAnsi="宋体"/>
        </w:rPr>
        <w:t>4.2.4 逾期送达的或者未送达指定地点的投标文件，招标人不予受理。</w:t>
      </w:r>
    </w:p>
    <w:p>
      <w:pPr>
        <w:pStyle w:val="5"/>
        <w:spacing w:before="20" w:after="20" w:line="360" w:lineRule="auto"/>
        <w:rPr>
          <w:rFonts w:hint="eastAsia" w:ascii="宋体" w:hAnsi="宋体" w:eastAsia="宋体"/>
        </w:rPr>
      </w:pPr>
      <w:bookmarkStart w:id="1251" w:name="_Toc5631"/>
      <w:bookmarkStart w:id="1252" w:name="_Toc8637"/>
      <w:bookmarkStart w:id="1253" w:name="_Toc31304"/>
      <w:bookmarkStart w:id="1254" w:name="_Toc23775"/>
      <w:bookmarkStart w:id="1255" w:name="_Toc439"/>
      <w:bookmarkStart w:id="1256" w:name="_Toc19485"/>
      <w:bookmarkStart w:id="1257" w:name="_Toc22970"/>
      <w:bookmarkStart w:id="1258" w:name="_Toc27847"/>
      <w:bookmarkStart w:id="1259" w:name="_Toc31638"/>
      <w:bookmarkStart w:id="1260" w:name="_Toc10242"/>
      <w:bookmarkStart w:id="1261" w:name="_Toc2565"/>
      <w:bookmarkStart w:id="1262" w:name="_Toc9072"/>
      <w:bookmarkStart w:id="1263" w:name="_Toc19055"/>
      <w:bookmarkStart w:id="1264" w:name="_Toc3582"/>
      <w:bookmarkStart w:id="1265" w:name="_Toc11824"/>
      <w:bookmarkStart w:id="1266" w:name="_Toc7757"/>
      <w:bookmarkStart w:id="1267" w:name="_Toc32288"/>
      <w:bookmarkStart w:id="1268" w:name="_Toc14910"/>
      <w:bookmarkStart w:id="1269" w:name="_Toc26544"/>
      <w:bookmarkStart w:id="1270" w:name="_Toc18448"/>
      <w:bookmarkStart w:id="1271" w:name="_Toc14478"/>
      <w:r>
        <w:rPr>
          <w:rFonts w:hint="eastAsia" w:ascii="宋体" w:hAnsi="宋体" w:eastAsia="宋体"/>
        </w:rPr>
        <w:t>4.3 投标文件的修改与撤回</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spacing w:line="360" w:lineRule="auto"/>
        <w:ind w:firstLine="420" w:firstLineChars="200"/>
        <w:rPr>
          <w:rFonts w:hint="eastAsia" w:ascii="宋体" w:hAnsi="宋体"/>
        </w:rPr>
      </w:pPr>
      <w:r>
        <w:rPr>
          <w:rFonts w:hint="eastAsia" w:ascii="宋体" w:hAnsi="宋体"/>
        </w:rPr>
        <w:t>4.3.1 在规定的投标截止时间前，投标人可以修改或撤回已递交的投标文件，但应以书面形式通知招标人。</w:t>
      </w:r>
    </w:p>
    <w:p>
      <w:pPr>
        <w:spacing w:line="360" w:lineRule="auto"/>
        <w:ind w:firstLine="420" w:firstLineChars="200"/>
        <w:rPr>
          <w:rFonts w:hint="eastAsia" w:ascii="宋体" w:hAnsi="宋体"/>
        </w:rPr>
      </w:pPr>
      <w:r>
        <w:rPr>
          <w:rFonts w:hint="eastAsia" w:ascii="宋体" w:hAnsi="宋体"/>
        </w:rPr>
        <w:t>4.3.2 投标人修改或撤回已递交投标文件的书面通知应按要求签字或盖章。招标人收到书面通知后，向投标人出具签收凭证。</w:t>
      </w:r>
    </w:p>
    <w:p>
      <w:pPr>
        <w:spacing w:line="360" w:lineRule="auto"/>
        <w:ind w:firstLine="420" w:firstLineChars="200"/>
        <w:rPr>
          <w:rFonts w:hint="eastAsia" w:ascii="宋体" w:hAnsi="宋体"/>
        </w:rPr>
      </w:pPr>
      <w:r>
        <w:rPr>
          <w:rFonts w:hint="eastAsia" w:ascii="宋体" w:hAnsi="宋体"/>
        </w:rPr>
        <w:t>4.3.3 修改的内容为投标文件的组成部分。修改的投标文件应按照规定进行编制、密封、标记和递交，并标明“修改”字样。</w:t>
      </w:r>
    </w:p>
    <w:p>
      <w:pPr>
        <w:pStyle w:val="5"/>
        <w:spacing w:before="20" w:after="20" w:line="240" w:lineRule="atLeast"/>
      </w:pPr>
      <w:bookmarkStart w:id="1272" w:name="_Toc14329"/>
      <w:bookmarkStart w:id="1273" w:name="_Toc1352"/>
      <w:bookmarkStart w:id="1274" w:name="_Toc555"/>
      <w:bookmarkStart w:id="1275" w:name="_Toc10192"/>
      <w:bookmarkStart w:id="1276" w:name="_Toc27799"/>
      <w:bookmarkStart w:id="1277" w:name="_Toc9060"/>
      <w:bookmarkStart w:id="1278" w:name="_Toc6293"/>
      <w:bookmarkStart w:id="1279" w:name="_Toc23242"/>
      <w:bookmarkStart w:id="1280" w:name="_Toc28075"/>
      <w:bookmarkStart w:id="1281" w:name="_Toc29069"/>
      <w:bookmarkStart w:id="1282" w:name="_Toc14771"/>
      <w:bookmarkStart w:id="1283" w:name="_Toc9338"/>
      <w:bookmarkStart w:id="1284" w:name="_Toc6172"/>
      <w:bookmarkStart w:id="1285" w:name="_Toc28307"/>
      <w:bookmarkStart w:id="1286" w:name="_Toc24428"/>
      <w:bookmarkStart w:id="1287" w:name="_Toc13878"/>
      <w:bookmarkStart w:id="1288" w:name="_Toc15886"/>
      <w:bookmarkStart w:id="1289" w:name="_Toc23256"/>
      <w:bookmarkStart w:id="1290" w:name="_Toc2956"/>
      <w:bookmarkStart w:id="1291" w:name="_Toc22539"/>
      <w:bookmarkStart w:id="1292" w:name="_Toc21232"/>
      <w:r>
        <w:rPr>
          <w:rFonts w:hint="eastAsia"/>
        </w:rPr>
        <w:t>4.4 投标保证金</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spacing w:line="400" w:lineRule="exact"/>
        <w:ind w:firstLine="420" w:firstLineChars="200"/>
      </w:pPr>
      <w:r>
        <w:rPr>
          <w:rFonts w:hint="eastAsia" w:ascii="宋体" w:hAnsi="宋体"/>
        </w:rPr>
        <w:t>4.4.1  第二章</w:t>
      </w:r>
      <w:r>
        <w:rPr>
          <w:rFonts w:hint="eastAsia"/>
        </w:rPr>
        <w:t>投标人须知前附表规定递交投标保证金的，投标人在递交投标文件的同时，应按第二章投标人须知前附表规定的金额、形式和第七章“招标文件格式”规定的投标保证金格式递交投标保证金，并作为其投标文件的组成部分。</w:t>
      </w:r>
    </w:p>
    <w:p>
      <w:pPr>
        <w:spacing w:line="400" w:lineRule="exact"/>
        <w:ind w:firstLine="420" w:firstLineChars="200"/>
        <w:rPr>
          <w:rFonts w:hint="eastAsia" w:ascii="宋体" w:hAnsi="宋体"/>
        </w:rPr>
      </w:pPr>
      <w:r>
        <w:rPr>
          <w:rFonts w:hint="eastAsia" w:ascii="宋体" w:hAnsi="宋体"/>
        </w:rPr>
        <w:t>4.4.2投标人以银行转账方式缴纳，须在投标文件递交截止时间之前到达招标人保证金账户。保证金必须由投标人自有对公账户转出，不允许代缴，不接受银行柜台缴纳现金方式。汇款时，需在汇款单备注栏添加本项目的项目编号，例如 “投标保证金ZB202614”。  </w:t>
      </w:r>
    </w:p>
    <w:p>
      <w:pPr>
        <w:spacing w:line="400" w:lineRule="exact"/>
        <w:ind w:firstLine="420" w:firstLineChars="200"/>
        <w:rPr>
          <w:rFonts w:hint="eastAsia" w:ascii="宋体" w:hAnsi="宋体"/>
        </w:rPr>
      </w:pPr>
      <w:r>
        <w:rPr>
          <w:rFonts w:hint="eastAsia" w:ascii="宋体" w:hAnsi="宋体"/>
        </w:rPr>
        <w:t>招标人开户银行： </w:t>
      </w:r>
      <w:r>
        <w:rPr>
          <w:rFonts w:hint="eastAsia" w:ascii="宋体" w:hAnsi="宋体"/>
        </w:rPr>
        <w:br w:type="textWrapping"/>
      </w:r>
      <w:r>
        <w:rPr>
          <w:rFonts w:hint="eastAsia" w:ascii="宋体" w:hAnsi="宋体"/>
        </w:rPr>
        <w:t xml:space="preserve">    单 位：广东省南方传媒发行物流有限公司 </w:t>
      </w:r>
    </w:p>
    <w:p>
      <w:pPr>
        <w:spacing w:line="400" w:lineRule="exact"/>
        <w:ind w:firstLine="420" w:firstLineChars="200"/>
        <w:rPr>
          <w:rFonts w:hint="eastAsia" w:ascii="宋体" w:hAnsi="宋体"/>
        </w:rPr>
      </w:pPr>
      <w:r>
        <w:rPr>
          <w:rFonts w:hint="eastAsia" w:ascii="宋体" w:hAnsi="宋体"/>
        </w:rPr>
        <w:t xml:space="preserve">开 户 行：中国农业银行广州五羊新城支行  </w:t>
      </w:r>
    </w:p>
    <w:p>
      <w:pPr>
        <w:spacing w:line="400" w:lineRule="exact"/>
        <w:ind w:firstLine="420" w:firstLineChars="200"/>
        <w:rPr>
          <w:rFonts w:hint="eastAsia" w:ascii="宋体" w:hAnsi="宋体"/>
        </w:rPr>
      </w:pPr>
      <w:r>
        <w:rPr>
          <w:rFonts w:hint="eastAsia" w:ascii="宋体" w:hAnsi="宋体"/>
        </w:rPr>
        <w:t>账 号：44030401040003075</w:t>
      </w:r>
    </w:p>
    <w:p>
      <w:pPr>
        <w:spacing w:line="400" w:lineRule="exact"/>
        <w:ind w:firstLine="420" w:firstLineChars="200"/>
        <w:rPr>
          <w:rFonts w:hint="eastAsia" w:ascii="宋体" w:hAnsi="宋体"/>
        </w:rPr>
      </w:pPr>
      <w:r>
        <w:rPr>
          <w:rFonts w:hint="eastAsia" w:ascii="宋体" w:hAnsi="宋体"/>
        </w:rPr>
        <w:t>保证金到账咨询电话：020-87379445，龙先生；</w:t>
      </w:r>
    </w:p>
    <w:p>
      <w:pPr>
        <w:pStyle w:val="37"/>
        <w:spacing w:before="0" w:beforeAutospacing="0" w:after="0" w:afterAutospacing="0" w:line="360" w:lineRule="auto"/>
        <w:ind w:firstLine="420" w:firstLineChars="200"/>
        <w:rPr>
          <w:rFonts w:hint="eastAsia" w:cs="Times New Roman"/>
        </w:rPr>
      </w:pPr>
      <w:r>
        <w:rPr>
          <w:rFonts w:hint="eastAsia" w:cs="Times New Roman"/>
          <w:kern w:val="2"/>
          <w:sz w:val="21"/>
        </w:rPr>
        <w:t>4.4.3投标人不按本章第4.4.1项要求提交</w:t>
      </w:r>
      <w:r>
        <w:rPr>
          <w:rFonts w:cs="Times New Roman"/>
          <w:kern w:val="2"/>
          <w:sz w:val="21"/>
        </w:rPr>
        <w:t>投标</w:t>
      </w:r>
      <w:r>
        <w:rPr>
          <w:rFonts w:hint="eastAsia" w:cs="Times New Roman"/>
          <w:kern w:val="2"/>
          <w:sz w:val="21"/>
        </w:rPr>
        <w:t>保证金的，评标委员会将否决其投标。</w:t>
      </w:r>
    </w:p>
    <w:p>
      <w:pPr>
        <w:ind w:firstLine="420" w:firstLineChars="200"/>
        <w:rPr>
          <w:rFonts w:hint="eastAsia" w:ascii="宋体" w:hAnsi="宋体"/>
        </w:rPr>
      </w:pPr>
      <w:r>
        <w:rPr>
          <w:rFonts w:hint="eastAsia" w:ascii="宋体" w:hAnsi="宋体"/>
        </w:rPr>
        <w:t>4.4.4 如无质疑或投诉，未中标的投标保证金将在中标公示期结束后10个工作日内退还（不计算银行利息）；如有质疑或投诉，将在质疑和投诉处理完毕后10个工作日内退还（不计算银行利息）。</w:t>
      </w:r>
    </w:p>
    <w:p>
      <w:pPr>
        <w:ind w:firstLine="420" w:firstLineChars="200"/>
        <w:rPr>
          <w:rFonts w:hint="eastAsia" w:ascii="宋体" w:hAnsi="宋体"/>
        </w:rPr>
      </w:pPr>
      <w:r>
        <w:rPr>
          <w:rFonts w:hint="eastAsia" w:ascii="宋体" w:hAnsi="宋体"/>
        </w:rPr>
        <w:t>4.4.5中标人的投标保证金，在签署合同并按要求提供了履约保证后（如有要求）予以退还（不计算银行利息）。</w:t>
      </w:r>
    </w:p>
    <w:p>
      <w:pPr>
        <w:spacing w:line="360" w:lineRule="auto"/>
        <w:ind w:firstLine="420" w:firstLineChars="200"/>
        <w:rPr>
          <w:rFonts w:hint="eastAsia" w:ascii="宋体" w:hAnsi="宋体"/>
        </w:rPr>
      </w:pPr>
      <w:r>
        <w:rPr>
          <w:rFonts w:hint="eastAsia" w:ascii="宋体" w:hAnsi="宋体"/>
        </w:rPr>
        <w:t xml:space="preserve">4.4.6 有下列情形之一的，投标保证金将不予退还： </w:t>
      </w:r>
    </w:p>
    <w:p>
      <w:pPr>
        <w:spacing w:line="360" w:lineRule="auto"/>
        <w:ind w:firstLine="420" w:firstLineChars="200"/>
        <w:rPr>
          <w:rFonts w:hint="eastAsia" w:ascii="宋体" w:hAnsi="宋体"/>
        </w:rPr>
      </w:pPr>
      <w:r>
        <w:rPr>
          <w:rFonts w:hint="eastAsia" w:ascii="宋体" w:hAnsi="宋体"/>
        </w:rPr>
        <w:t>（1）投标人在规定的投标有效期内撤销或修改其投标文件；</w:t>
      </w:r>
    </w:p>
    <w:p>
      <w:pPr>
        <w:spacing w:line="360" w:lineRule="auto"/>
        <w:ind w:firstLine="420" w:firstLineChars="200"/>
      </w:pPr>
      <w:r>
        <w:rPr>
          <w:rFonts w:hint="eastAsia" w:ascii="宋体" w:hAnsi="宋体"/>
        </w:rPr>
        <w:t>（2）中标人在收到中标通知书后，无正当理由拒签合同协议书或未按招标文件规定提交履约担保。</w:t>
      </w:r>
    </w:p>
    <w:bookmarkEnd w:id="1199"/>
    <w:bookmarkEnd w:id="1200"/>
    <w:bookmarkEnd w:id="1201"/>
    <w:bookmarkEnd w:id="1202"/>
    <w:bookmarkEnd w:id="1203"/>
    <w:bookmarkEnd w:id="1204"/>
    <w:bookmarkEnd w:id="1205"/>
    <w:bookmarkEnd w:id="1206"/>
    <w:bookmarkEnd w:id="1207"/>
    <w:bookmarkEnd w:id="1208"/>
    <w:p>
      <w:pPr>
        <w:pStyle w:val="5"/>
        <w:spacing w:before="20" w:after="20" w:line="360" w:lineRule="auto"/>
        <w:rPr>
          <w:rFonts w:hint="eastAsia" w:ascii="宋体" w:hAnsi="宋体" w:eastAsia="宋体"/>
        </w:rPr>
      </w:pPr>
      <w:bookmarkStart w:id="1293" w:name="_Toc6483"/>
      <w:bookmarkStart w:id="1294" w:name="_Toc3461"/>
      <w:bookmarkStart w:id="1295" w:name="_Toc19544"/>
      <w:bookmarkStart w:id="1296" w:name="_Toc17489"/>
      <w:bookmarkStart w:id="1297" w:name="_Toc3873"/>
      <w:bookmarkStart w:id="1298" w:name="_Toc22075"/>
      <w:bookmarkStart w:id="1299" w:name="_Toc30518"/>
      <w:bookmarkStart w:id="1300" w:name="_Toc6552"/>
      <w:bookmarkStart w:id="1301" w:name="_Toc19780"/>
      <w:bookmarkStart w:id="1302" w:name="_Toc944"/>
      <w:bookmarkStart w:id="1303" w:name="_Toc12298"/>
      <w:bookmarkStart w:id="1304" w:name="_Toc17241"/>
      <w:bookmarkStart w:id="1305" w:name="_Toc28222"/>
      <w:bookmarkStart w:id="1306" w:name="_Toc30570"/>
      <w:bookmarkStart w:id="1307" w:name="_Toc30375"/>
      <w:bookmarkStart w:id="1308" w:name="_Toc5691"/>
      <w:bookmarkStart w:id="1309" w:name="_Toc30612"/>
      <w:bookmarkStart w:id="1310" w:name="_Toc8062"/>
      <w:bookmarkStart w:id="1311" w:name="_Toc22841"/>
      <w:bookmarkStart w:id="1312" w:name="_Toc4120"/>
      <w:bookmarkStart w:id="1313" w:name="_Toc247085717"/>
      <w:bookmarkStart w:id="1314" w:name="_Toc5661"/>
      <w:bookmarkStart w:id="1315" w:name="_Toc26270"/>
      <w:bookmarkStart w:id="1316" w:name="_Toc179632577"/>
      <w:bookmarkStart w:id="1317" w:name="_Toc246996203"/>
      <w:bookmarkStart w:id="1318" w:name="_Toc5234"/>
      <w:bookmarkStart w:id="1319" w:name="_Toc246996946"/>
      <w:bookmarkStart w:id="1320" w:name="_Toc152042335"/>
      <w:bookmarkStart w:id="1321" w:name="_Toc152045559"/>
      <w:bookmarkStart w:id="1322" w:name="_Toc20469"/>
      <w:bookmarkStart w:id="1323" w:name="_Toc22317"/>
      <w:bookmarkStart w:id="1324" w:name="_Toc30063"/>
      <w:bookmarkStart w:id="1325" w:name="_Toc144974527"/>
      <w:bookmarkStart w:id="1326" w:name="_Toc17174"/>
      <w:bookmarkStart w:id="1327" w:name="_Toc247085720"/>
      <w:bookmarkStart w:id="1328" w:name="_Toc144974530"/>
      <w:bookmarkStart w:id="1329" w:name="_Toc152045562"/>
      <w:bookmarkStart w:id="1330" w:name="_Toc5730"/>
      <w:bookmarkStart w:id="1331" w:name="_Toc179632580"/>
      <w:bookmarkStart w:id="1332" w:name="_Toc246996949"/>
      <w:bookmarkStart w:id="1333" w:name="_Toc246996206"/>
      <w:bookmarkStart w:id="1334" w:name="_Toc152042338"/>
      <w:bookmarkStart w:id="1335" w:name="_Toc457992979"/>
      <w:r>
        <w:rPr>
          <w:rFonts w:hint="eastAsia" w:ascii="宋体" w:hAnsi="宋体" w:eastAsia="宋体"/>
        </w:rPr>
        <w:t xml:space="preserve">5. </w:t>
      </w:r>
      <w:bookmarkEnd w:id="1293"/>
      <w:bookmarkEnd w:id="1294"/>
      <w:bookmarkEnd w:id="1295"/>
      <w:bookmarkEnd w:id="1296"/>
      <w:bookmarkEnd w:id="1297"/>
      <w:bookmarkEnd w:id="1298"/>
      <w:bookmarkEnd w:id="1299"/>
      <w:bookmarkEnd w:id="1300"/>
      <w:bookmarkEnd w:id="1301"/>
      <w:bookmarkEnd w:id="1302"/>
      <w:r>
        <w:rPr>
          <w:rFonts w:hint="eastAsia" w:ascii="宋体" w:hAnsi="宋体" w:eastAsia="宋体"/>
        </w:rPr>
        <w:t>招标</w:t>
      </w:r>
      <w:bookmarkEnd w:id="1303"/>
      <w:bookmarkEnd w:id="1304"/>
      <w:bookmarkEnd w:id="1305"/>
      <w:bookmarkEnd w:id="1306"/>
      <w:bookmarkEnd w:id="1307"/>
      <w:bookmarkEnd w:id="1308"/>
      <w:bookmarkEnd w:id="1309"/>
      <w:bookmarkEnd w:id="1310"/>
      <w:bookmarkEnd w:id="1311"/>
      <w:bookmarkEnd w:id="1312"/>
    </w:p>
    <w:p>
      <w:pPr>
        <w:pStyle w:val="5"/>
        <w:spacing w:before="20" w:after="20" w:line="360" w:lineRule="auto"/>
        <w:rPr>
          <w:rFonts w:hint="eastAsia" w:ascii="宋体" w:hAnsi="宋体" w:eastAsia="宋体"/>
        </w:rPr>
      </w:pPr>
      <w:bookmarkStart w:id="1336" w:name="_Toc11385"/>
      <w:bookmarkStart w:id="1337" w:name="_Toc25165"/>
      <w:bookmarkStart w:id="1338" w:name="_Toc19078"/>
      <w:bookmarkStart w:id="1339" w:name="_Toc29851"/>
      <w:bookmarkStart w:id="1340" w:name="_Toc17846"/>
      <w:bookmarkStart w:id="1341" w:name="_Toc12775"/>
      <w:bookmarkStart w:id="1342" w:name="_Toc11788"/>
      <w:bookmarkStart w:id="1343" w:name="_Toc26831"/>
      <w:bookmarkStart w:id="1344" w:name="_Toc13781"/>
      <w:bookmarkStart w:id="1345" w:name="_Toc32003"/>
      <w:bookmarkStart w:id="1346" w:name="_Toc31190"/>
      <w:bookmarkStart w:id="1347" w:name="_Toc24884"/>
      <w:bookmarkStart w:id="1348" w:name="_Toc29052"/>
      <w:bookmarkStart w:id="1349" w:name="_Toc29948"/>
      <w:bookmarkStart w:id="1350" w:name="_Toc9810"/>
      <w:bookmarkStart w:id="1351" w:name="_Toc7327"/>
      <w:bookmarkStart w:id="1352" w:name="_Toc32088"/>
      <w:bookmarkStart w:id="1353" w:name="_Toc3013"/>
      <w:bookmarkStart w:id="1354" w:name="_Toc22231"/>
      <w:bookmarkStart w:id="1355" w:name="_Toc20541"/>
      <w:bookmarkStart w:id="1356" w:name="_Toc1449"/>
      <w:r>
        <w:rPr>
          <w:rFonts w:hint="eastAsia" w:ascii="宋体" w:hAnsi="宋体" w:eastAsia="宋体"/>
        </w:rPr>
        <w:t>5.1 开标时间和地点</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autoSpaceDE w:val="0"/>
        <w:autoSpaceDN w:val="0"/>
        <w:adjustRightInd w:val="0"/>
        <w:spacing w:line="500" w:lineRule="exact"/>
        <w:ind w:firstLine="420" w:firstLineChars="200"/>
        <w:jc w:val="left"/>
      </w:pPr>
      <w:r>
        <w:rPr>
          <w:rFonts w:hint="eastAsia"/>
        </w:rPr>
        <w:t>5.1.1 本项目公开开标。</w:t>
      </w:r>
    </w:p>
    <w:p>
      <w:pPr>
        <w:autoSpaceDE w:val="0"/>
        <w:autoSpaceDN w:val="0"/>
        <w:adjustRightInd w:val="0"/>
        <w:spacing w:line="500" w:lineRule="exact"/>
        <w:ind w:firstLine="420" w:firstLineChars="200"/>
        <w:jc w:val="left"/>
      </w:pPr>
      <w:r>
        <w:rPr>
          <w:rFonts w:hint="eastAsia"/>
        </w:rPr>
        <w:t>5.1.2 开标时间：2026年</w:t>
      </w:r>
      <w:r>
        <w:rPr>
          <w:rFonts w:hint="eastAsia"/>
          <w:lang w:eastAsia="zh-CN"/>
        </w:rPr>
        <w:t>10月12日</w:t>
      </w:r>
      <w:r>
        <w:rPr>
          <w:rFonts w:hint="eastAsia"/>
        </w:rPr>
        <w:t>14时00分(同投标截止时间）。</w:t>
      </w:r>
    </w:p>
    <w:p>
      <w:pPr>
        <w:autoSpaceDE w:val="0"/>
        <w:autoSpaceDN w:val="0"/>
        <w:adjustRightInd w:val="0"/>
        <w:spacing w:line="500" w:lineRule="exact"/>
        <w:ind w:firstLine="420" w:firstLineChars="200"/>
        <w:jc w:val="left"/>
        <w:rPr>
          <w:rFonts w:hint="eastAsia" w:ascii="宋体" w:hAnsi="宋体" w:cs="宋体"/>
          <w:kern w:val="0"/>
          <w:szCs w:val="21"/>
        </w:rPr>
      </w:pPr>
      <w:r>
        <w:rPr>
          <w:rFonts w:hint="eastAsia"/>
        </w:rPr>
        <w:t>5.1.3 开标地点：广州市黄埔区黄埔大道东888号南方智媒大厦南塔20楼。</w:t>
      </w:r>
    </w:p>
    <w:p>
      <w:pPr>
        <w:pStyle w:val="5"/>
        <w:spacing w:before="20" w:after="20" w:line="360" w:lineRule="auto"/>
        <w:rPr>
          <w:rFonts w:hint="eastAsia" w:ascii="宋体" w:hAnsi="宋体" w:eastAsia="宋体"/>
        </w:rPr>
      </w:pPr>
      <w:bookmarkStart w:id="1357" w:name="_Toc1768"/>
      <w:bookmarkStart w:id="1358" w:name="_Toc2211"/>
      <w:bookmarkStart w:id="1359" w:name="_Toc10453"/>
      <w:bookmarkStart w:id="1360" w:name="_Toc11827"/>
      <w:bookmarkStart w:id="1361" w:name="_Toc22284"/>
      <w:bookmarkStart w:id="1362" w:name="_Toc32734"/>
      <w:bookmarkStart w:id="1363" w:name="_Toc32569"/>
      <w:bookmarkStart w:id="1364" w:name="_Toc23920"/>
      <w:bookmarkStart w:id="1365" w:name="_Toc13891"/>
      <w:bookmarkStart w:id="1366" w:name="_Toc23458"/>
      <w:bookmarkStart w:id="1367" w:name="_Toc17016"/>
      <w:bookmarkStart w:id="1368" w:name="_Toc18347"/>
      <w:bookmarkStart w:id="1369" w:name="_Toc28707"/>
      <w:bookmarkStart w:id="1370" w:name="_Toc2618"/>
      <w:bookmarkStart w:id="1371" w:name="_Toc30205"/>
      <w:bookmarkStart w:id="1372" w:name="_Toc7706"/>
      <w:bookmarkStart w:id="1373" w:name="_Toc19944"/>
      <w:bookmarkStart w:id="1374" w:name="_Toc2321"/>
      <w:bookmarkStart w:id="1375" w:name="_Toc7076"/>
      <w:bookmarkStart w:id="1376" w:name="_Toc7393"/>
      <w:r>
        <w:rPr>
          <w:rFonts w:hint="eastAsia" w:ascii="宋体" w:hAnsi="宋体" w:eastAsia="宋体"/>
        </w:rPr>
        <w:t>5.2 开标程序</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spacing w:line="360" w:lineRule="auto"/>
        <w:ind w:firstLine="420" w:firstLineChars="200"/>
      </w:pPr>
      <w:r>
        <w:rPr>
          <w:rFonts w:hint="eastAsia"/>
        </w:rPr>
        <w:t>主持人按下列程序开标：</w:t>
      </w:r>
    </w:p>
    <w:p>
      <w:pPr>
        <w:spacing w:line="360" w:lineRule="auto"/>
        <w:ind w:firstLine="359" w:firstLineChars="171"/>
      </w:pPr>
      <w:r>
        <w:rPr>
          <w:rFonts w:hint="eastAsia"/>
        </w:rPr>
        <w:t>（1）宣布纪律；</w:t>
      </w:r>
    </w:p>
    <w:p>
      <w:pPr>
        <w:spacing w:line="360" w:lineRule="auto"/>
        <w:ind w:firstLine="359" w:firstLineChars="171"/>
      </w:pPr>
      <w:r>
        <w:rPr>
          <w:rFonts w:hint="eastAsia"/>
        </w:rPr>
        <w:t>（2）公布在递交投标文件截止时间前递交投标文件的投标人名称；</w:t>
      </w:r>
    </w:p>
    <w:p>
      <w:pPr>
        <w:spacing w:line="360" w:lineRule="auto"/>
        <w:ind w:firstLine="359" w:firstLineChars="171"/>
      </w:pPr>
      <w:r>
        <w:rPr>
          <w:rFonts w:hint="eastAsia"/>
        </w:rPr>
        <w:t>（3）由投标人推选的代表检查投标文件的密封情况；</w:t>
      </w:r>
    </w:p>
    <w:p>
      <w:pPr>
        <w:spacing w:line="360" w:lineRule="auto"/>
        <w:ind w:firstLine="359" w:firstLineChars="171"/>
      </w:pPr>
      <w:r>
        <w:rPr>
          <w:rFonts w:hint="eastAsia"/>
        </w:rPr>
        <w:t>（4）由招标人工作人员当众拆封，宣布投标人名称和投标保证金的递交情况、投标报价和招标文件规定的需要宣布的其他内容，并记录在案；</w:t>
      </w:r>
    </w:p>
    <w:p>
      <w:pPr>
        <w:spacing w:line="360" w:lineRule="auto"/>
        <w:ind w:firstLine="359" w:firstLineChars="171"/>
      </w:pPr>
      <w:r>
        <w:rPr>
          <w:rFonts w:hint="eastAsia"/>
        </w:rPr>
        <w:t>（5）投标人代表、招标人代表、监督人、记录人等有关人员在唱价记录表上签字确认。</w:t>
      </w:r>
    </w:p>
    <w:p>
      <w:pPr>
        <w:spacing w:before="20" w:after="20"/>
        <w:ind w:firstLine="359" w:firstLineChars="171"/>
        <w:rPr>
          <w:rFonts w:hint="eastAsia" w:ascii="宋体" w:hAnsi="宋体"/>
        </w:rPr>
      </w:pPr>
      <w:r>
        <w:rPr>
          <w:rFonts w:hint="eastAsia"/>
        </w:rPr>
        <w:t>（6）开标结束。</w:t>
      </w:r>
    </w:p>
    <w:bookmarkEnd w:id="1313"/>
    <w:bookmarkEnd w:id="1314"/>
    <w:bookmarkEnd w:id="1315"/>
    <w:bookmarkEnd w:id="1316"/>
    <w:bookmarkEnd w:id="1317"/>
    <w:bookmarkEnd w:id="1318"/>
    <w:bookmarkEnd w:id="1319"/>
    <w:bookmarkEnd w:id="1320"/>
    <w:bookmarkEnd w:id="1321"/>
    <w:bookmarkEnd w:id="1322"/>
    <w:bookmarkEnd w:id="1323"/>
    <w:bookmarkEnd w:id="1324"/>
    <w:bookmarkEnd w:id="1325"/>
    <w:p>
      <w:pPr>
        <w:pStyle w:val="5"/>
        <w:spacing w:before="20" w:after="20" w:line="360" w:lineRule="auto"/>
        <w:rPr>
          <w:rFonts w:hint="eastAsia" w:ascii="宋体" w:hAnsi="宋体" w:eastAsia="宋体"/>
        </w:rPr>
      </w:pPr>
      <w:bookmarkStart w:id="1377" w:name="_Toc15713"/>
      <w:bookmarkStart w:id="1378" w:name="_Toc7382"/>
      <w:bookmarkStart w:id="1379" w:name="_Toc11974"/>
      <w:bookmarkStart w:id="1380" w:name="_Toc19030"/>
      <w:bookmarkStart w:id="1381" w:name="_Toc23986"/>
      <w:bookmarkStart w:id="1382" w:name="_Toc3784"/>
      <w:bookmarkStart w:id="1383" w:name="_Toc30606"/>
      <w:bookmarkStart w:id="1384" w:name="_Toc12327"/>
      <w:bookmarkStart w:id="1385" w:name="_Toc30586"/>
      <w:bookmarkStart w:id="1386" w:name="_Toc30923"/>
      <w:bookmarkStart w:id="1387" w:name="_Toc16466"/>
      <w:bookmarkStart w:id="1388" w:name="_Toc19605"/>
      <w:bookmarkStart w:id="1389" w:name="_Toc22829"/>
      <w:bookmarkStart w:id="1390" w:name="_Toc27268"/>
      <w:bookmarkStart w:id="1391" w:name="_Toc18127"/>
      <w:bookmarkStart w:id="1392" w:name="_Toc20768"/>
      <w:bookmarkStart w:id="1393" w:name="_Toc25482"/>
      <w:bookmarkStart w:id="1394" w:name="_Toc16090"/>
      <w:bookmarkStart w:id="1395" w:name="_Toc9573"/>
      <w:bookmarkStart w:id="1396" w:name="_Toc3548"/>
      <w:bookmarkStart w:id="1397" w:name="_Toc9272"/>
      <w:bookmarkStart w:id="1398" w:name="_Toc30648"/>
      <w:bookmarkStart w:id="1399" w:name="_Toc7694"/>
      <w:bookmarkStart w:id="1400" w:name="_Toc11692"/>
      <w:bookmarkStart w:id="1401" w:name="_Toc6823"/>
      <w:bookmarkStart w:id="1402" w:name="_Toc22093"/>
      <w:bookmarkStart w:id="1403" w:name="_Toc13544"/>
      <w:r>
        <w:rPr>
          <w:rFonts w:hint="eastAsia" w:ascii="宋体" w:hAnsi="宋体" w:eastAsia="宋体"/>
        </w:rPr>
        <w:t>6. 评审</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5"/>
        <w:spacing w:before="20" w:after="20" w:line="360" w:lineRule="auto"/>
        <w:rPr>
          <w:rFonts w:hint="eastAsia" w:ascii="宋体" w:hAnsi="宋体" w:eastAsia="宋体"/>
        </w:rPr>
      </w:pPr>
      <w:bookmarkStart w:id="1404" w:name="_Toc30963"/>
      <w:bookmarkStart w:id="1405" w:name="_Toc17054"/>
      <w:bookmarkStart w:id="1406" w:name="_Toc10268"/>
      <w:bookmarkStart w:id="1407" w:name="_Toc17953"/>
      <w:bookmarkStart w:id="1408" w:name="_Toc5497"/>
      <w:bookmarkStart w:id="1409" w:name="_Toc30421"/>
      <w:bookmarkStart w:id="1410" w:name="_Toc28153"/>
      <w:bookmarkStart w:id="1411" w:name="_Toc6595"/>
      <w:bookmarkStart w:id="1412" w:name="_Toc12573"/>
      <w:bookmarkStart w:id="1413" w:name="_Toc5906"/>
      <w:bookmarkStart w:id="1414" w:name="_Toc24266"/>
      <w:bookmarkStart w:id="1415" w:name="_Toc25758"/>
      <w:bookmarkStart w:id="1416" w:name="_Toc5050"/>
      <w:bookmarkStart w:id="1417" w:name="_Toc24738"/>
      <w:bookmarkStart w:id="1418" w:name="_Toc28596"/>
      <w:bookmarkStart w:id="1419" w:name="_Toc17705"/>
      <w:bookmarkStart w:id="1420" w:name="_Toc13101"/>
      <w:bookmarkStart w:id="1421" w:name="_Toc2676"/>
      <w:bookmarkStart w:id="1422" w:name="_Toc259"/>
      <w:bookmarkStart w:id="1423" w:name="_Toc2689"/>
      <w:r>
        <w:rPr>
          <w:rFonts w:hint="eastAsia" w:ascii="宋体" w:hAnsi="宋体" w:eastAsia="宋体"/>
        </w:rPr>
        <w:t xml:space="preserve">6.1 </w:t>
      </w:r>
      <w:bookmarkEnd w:id="1404"/>
      <w:bookmarkEnd w:id="1405"/>
      <w:bookmarkEnd w:id="1406"/>
      <w:bookmarkEnd w:id="1407"/>
      <w:bookmarkEnd w:id="1408"/>
      <w:bookmarkEnd w:id="1409"/>
      <w:bookmarkEnd w:id="1410"/>
      <w:bookmarkEnd w:id="1411"/>
      <w:bookmarkEnd w:id="1412"/>
      <w:bookmarkEnd w:id="1413"/>
      <w:r>
        <w:rPr>
          <w:rFonts w:hint="eastAsia" w:ascii="宋体" w:hAnsi="宋体" w:eastAsia="宋体"/>
        </w:rPr>
        <w:t>评标委员会</w:t>
      </w:r>
      <w:bookmarkEnd w:id="1414"/>
      <w:bookmarkEnd w:id="1415"/>
      <w:bookmarkEnd w:id="1416"/>
      <w:bookmarkEnd w:id="1417"/>
      <w:bookmarkEnd w:id="1418"/>
      <w:bookmarkEnd w:id="1419"/>
      <w:bookmarkEnd w:id="1420"/>
      <w:bookmarkEnd w:id="1421"/>
      <w:bookmarkEnd w:id="1422"/>
      <w:bookmarkEnd w:id="1423"/>
    </w:p>
    <w:p>
      <w:pPr>
        <w:spacing w:line="360" w:lineRule="auto"/>
        <w:ind w:firstLine="420" w:firstLineChars="200"/>
        <w:rPr>
          <w:rFonts w:hint="eastAsia" w:ascii="宋体" w:hAnsi="宋体"/>
        </w:rPr>
      </w:pPr>
      <w:r>
        <w:rPr>
          <w:rFonts w:hint="eastAsia" w:ascii="宋体" w:hAnsi="宋体"/>
        </w:rPr>
        <w:t>6.1.1 评审由招标人组建的评标委员会负责，评审时间由招标人自行确认。</w:t>
      </w:r>
    </w:p>
    <w:p>
      <w:pPr>
        <w:spacing w:line="360" w:lineRule="auto"/>
        <w:ind w:firstLine="420" w:firstLineChars="200"/>
        <w:rPr>
          <w:rFonts w:hint="eastAsia" w:ascii="宋体" w:hAnsi="宋体"/>
        </w:rPr>
      </w:pPr>
      <w:r>
        <w:rPr>
          <w:rFonts w:hint="eastAsia" w:ascii="宋体" w:hAnsi="宋体"/>
        </w:rPr>
        <w:t>6.1.2 评标委员会成员有下列情形之一的，应当回避：</w:t>
      </w:r>
    </w:p>
    <w:p>
      <w:pPr>
        <w:spacing w:line="360" w:lineRule="auto"/>
        <w:ind w:firstLine="359" w:firstLineChars="171"/>
        <w:rPr>
          <w:rFonts w:hint="eastAsia" w:ascii="宋体" w:hAnsi="宋体"/>
        </w:rPr>
      </w:pPr>
      <w:r>
        <w:rPr>
          <w:rFonts w:hint="eastAsia" w:ascii="宋体" w:hAnsi="宋体"/>
        </w:rPr>
        <w:t>（1）投标人或投标人主要负责人的近亲属；</w:t>
      </w:r>
    </w:p>
    <w:p>
      <w:pPr>
        <w:spacing w:line="360" w:lineRule="auto"/>
        <w:ind w:firstLine="359" w:firstLineChars="171"/>
        <w:rPr>
          <w:rFonts w:hint="eastAsia" w:ascii="宋体" w:hAnsi="宋体"/>
        </w:rPr>
      </w:pPr>
      <w:r>
        <w:rPr>
          <w:rFonts w:hint="eastAsia" w:ascii="宋体" w:hAnsi="宋体"/>
        </w:rPr>
        <w:t>（2）监督部门的人员；</w:t>
      </w:r>
    </w:p>
    <w:p>
      <w:pPr>
        <w:spacing w:line="360" w:lineRule="auto"/>
        <w:ind w:firstLine="359" w:firstLineChars="171"/>
        <w:rPr>
          <w:rFonts w:hint="eastAsia" w:ascii="宋体" w:hAnsi="宋体"/>
        </w:rPr>
      </w:pPr>
      <w:r>
        <w:rPr>
          <w:rFonts w:hint="eastAsia" w:ascii="宋体" w:hAnsi="宋体"/>
        </w:rPr>
        <w:t>（3）与投标人有经济利益关系；</w:t>
      </w:r>
    </w:p>
    <w:p>
      <w:pPr>
        <w:spacing w:line="360" w:lineRule="auto"/>
        <w:ind w:firstLine="359" w:firstLineChars="171"/>
        <w:rPr>
          <w:rFonts w:hint="eastAsia" w:ascii="宋体" w:hAnsi="宋体"/>
        </w:rPr>
      </w:pPr>
      <w:r>
        <w:rPr>
          <w:rFonts w:hint="eastAsia" w:ascii="宋体" w:hAnsi="宋体"/>
        </w:rPr>
        <w:t>（4）曾因在招标、评审以及其他与招标投标有关活动中从事违法行为而受过行政处罚或刑事处罚的；</w:t>
      </w:r>
    </w:p>
    <w:p>
      <w:pPr>
        <w:spacing w:line="360" w:lineRule="auto"/>
        <w:ind w:firstLine="359" w:firstLineChars="171"/>
        <w:rPr>
          <w:rFonts w:hint="eastAsia" w:ascii="宋体" w:hAnsi="宋体"/>
        </w:rPr>
      </w:pPr>
      <w:r>
        <w:rPr>
          <w:rFonts w:hint="eastAsia" w:ascii="宋体" w:hAnsi="宋体"/>
        </w:rPr>
        <w:t>（5）与投标人有其他利害关系。</w:t>
      </w:r>
    </w:p>
    <w:p>
      <w:pPr>
        <w:pStyle w:val="5"/>
        <w:spacing w:before="20" w:after="20" w:line="360" w:lineRule="auto"/>
        <w:rPr>
          <w:rFonts w:hint="eastAsia" w:ascii="宋体" w:hAnsi="宋体" w:eastAsia="宋体"/>
        </w:rPr>
      </w:pPr>
      <w:bookmarkStart w:id="1424" w:name="_Toc6040"/>
      <w:bookmarkStart w:id="1425" w:name="_Toc26121"/>
      <w:bookmarkStart w:id="1426" w:name="_Toc16688"/>
      <w:bookmarkStart w:id="1427" w:name="_Toc9029"/>
      <w:bookmarkStart w:id="1428" w:name="_Toc19646"/>
      <w:bookmarkStart w:id="1429" w:name="_Toc6619"/>
      <w:bookmarkStart w:id="1430" w:name="_Toc7685"/>
      <w:bookmarkStart w:id="1431" w:name="_Toc5205"/>
      <w:bookmarkStart w:id="1432" w:name="_Toc16400"/>
      <w:bookmarkStart w:id="1433" w:name="_Toc28483"/>
      <w:bookmarkStart w:id="1434" w:name="_Toc21516"/>
      <w:bookmarkStart w:id="1435" w:name="_Toc19040"/>
      <w:bookmarkStart w:id="1436" w:name="_Toc3593"/>
      <w:bookmarkStart w:id="1437" w:name="_Toc9417"/>
      <w:bookmarkStart w:id="1438" w:name="_Toc3068"/>
      <w:bookmarkStart w:id="1439" w:name="_Toc8502"/>
      <w:bookmarkStart w:id="1440" w:name="_Toc24521"/>
      <w:bookmarkStart w:id="1441" w:name="_Toc27801"/>
      <w:bookmarkStart w:id="1442" w:name="_Toc3829"/>
      <w:bookmarkStart w:id="1443" w:name="_Toc3960"/>
      <w:bookmarkStart w:id="1444" w:name="_Toc23295"/>
      <w:r>
        <w:rPr>
          <w:rFonts w:hint="eastAsia" w:ascii="宋体" w:hAnsi="宋体" w:eastAsia="宋体"/>
        </w:rPr>
        <w:t>6.2 评审原则</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spacing w:line="360" w:lineRule="auto"/>
        <w:ind w:firstLine="420" w:firstLineChars="200"/>
        <w:rPr>
          <w:rFonts w:hint="eastAsia" w:ascii="宋体" w:hAnsi="宋体"/>
        </w:rPr>
      </w:pPr>
      <w:r>
        <w:rPr>
          <w:rFonts w:hint="eastAsia" w:ascii="宋体" w:hAnsi="宋体"/>
        </w:rPr>
        <w:t>评审活动遵循公平、公正、科学和择优的原则。</w:t>
      </w:r>
    </w:p>
    <w:p>
      <w:pPr>
        <w:pStyle w:val="5"/>
        <w:spacing w:before="20" w:after="20" w:line="360" w:lineRule="auto"/>
        <w:rPr>
          <w:rFonts w:hint="eastAsia" w:ascii="宋体" w:hAnsi="宋体" w:eastAsia="宋体"/>
        </w:rPr>
      </w:pPr>
      <w:bookmarkStart w:id="1445" w:name="_Toc32415"/>
      <w:bookmarkStart w:id="1446" w:name="_Toc15481"/>
      <w:bookmarkStart w:id="1447" w:name="_Toc25133"/>
      <w:bookmarkStart w:id="1448" w:name="_Toc13528"/>
      <w:bookmarkStart w:id="1449" w:name="_Toc12659"/>
      <w:bookmarkStart w:id="1450" w:name="_Toc25456"/>
      <w:bookmarkStart w:id="1451" w:name="_Toc24965"/>
      <w:bookmarkStart w:id="1452" w:name="_Toc25701"/>
      <w:bookmarkStart w:id="1453" w:name="_Toc21837"/>
      <w:bookmarkStart w:id="1454" w:name="_Toc30539"/>
      <w:bookmarkStart w:id="1455" w:name="_Toc255"/>
      <w:bookmarkStart w:id="1456" w:name="_Toc24097"/>
      <w:bookmarkStart w:id="1457" w:name="_Toc12147"/>
      <w:bookmarkStart w:id="1458" w:name="_Toc10005"/>
      <w:bookmarkStart w:id="1459" w:name="_Toc23277"/>
      <w:bookmarkStart w:id="1460" w:name="_Toc28827"/>
      <w:bookmarkStart w:id="1461" w:name="_Toc3724"/>
      <w:bookmarkStart w:id="1462" w:name="_Toc17116"/>
      <w:bookmarkStart w:id="1463" w:name="_Toc25191"/>
      <w:bookmarkStart w:id="1464" w:name="_Toc27414"/>
      <w:bookmarkStart w:id="1465" w:name="_Toc5900"/>
      <w:r>
        <w:rPr>
          <w:rFonts w:hint="eastAsia" w:ascii="宋体" w:hAnsi="宋体" w:eastAsia="宋体"/>
        </w:rPr>
        <w:t>6.3 评审</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spacing w:line="360" w:lineRule="auto"/>
        <w:ind w:firstLine="420" w:firstLineChars="200"/>
        <w:rPr>
          <w:rFonts w:hint="eastAsia" w:ascii="宋体" w:hAnsi="宋体"/>
        </w:rPr>
      </w:pPr>
      <w:r>
        <w:rPr>
          <w:rFonts w:hint="eastAsia" w:ascii="宋体" w:hAnsi="宋体"/>
        </w:rPr>
        <w:t>评标委员会按照第三章“评审办法”规定的方法、标准和程序对投标文件进行评审。第三章“评审办法”没有规定的方法，不作为评审依据。</w:t>
      </w:r>
    </w:p>
    <w:bookmarkEnd w:id="1326"/>
    <w:bookmarkEnd w:id="1327"/>
    <w:bookmarkEnd w:id="1328"/>
    <w:bookmarkEnd w:id="1329"/>
    <w:bookmarkEnd w:id="1330"/>
    <w:bookmarkEnd w:id="1331"/>
    <w:bookmarkEnd w:id="1332"/>
    <w:bookmarkEnd w:id="1333"/>
    <w:bookmarkEnd w:id="1334"/>
    <w:bookmarkEnd w:id="1335"/>
    <w:bookmarkEnd w:id="1398"/>
    <w:bookmarkEnd w:id="1399"/>
    <w:bookmarkEnd w:id="1400"/>
    <w:bookmarkEnd w:id="1401"/>
    <w:bookmarkEnd w:id="1402"/>
    <w:bookmarkEnd w:id="1403"/>
    <w:p>
      <w:pPr>
        <w:pStyle w:val="5"/>
        <w:spacing w:before="20" w:after="20" w:line="360" w:lineRule="auto"/>
        <w:rPr>
          <w:rFonts w:hint="eastAsia" w:ascii="宋体" w:hAnsi="宋体" w:eastAsia="宋体"/>
        </w:rPr>
      </w:pPr>
      <w:bookmarkStart w:id="1466" w:name="_Toc20899"/>
      <w:bookmarkStart w:id="1467" w:name="_Toc11052"/>
      <w:bookmarkStart w:id="1468" w:name="_Toc20986"/>
      <w:bookmarkStart w:id="1469" w:name="_Toc20238"/>
      <w:bookmarkStart w:id="1470" w:name="_Toc756"/>
      <w:bookmarkStart w:id="1471" w:name="_Toc16587"/>
      <w:bookmarkStart w:id="1472" w:name="_Toc22654"/>
      <w:bookmarkStart w:id="1473" w:name="_Toc22652"/>
      <w:bookmarkStart w:id="1474" w:name="_Toc19344"/>
      <w:bookmarkStart w:id="1475" w:name="_Toc18426"/>
      <w:bookmarkStart w:id="1476" w:name="_Toc22910"/>
      <w:bookmarkStart w:id="1477" w:name="_Toc27240"/>
      <w:bookmarkStart w:id="1478" w:name="_Toc25954"/>
      <w:bookmarkStart w:id="1479" w:name="_Toc26372"/>
      <w:bookmarkStart w:id="1480" w:name="_Toc16773"/>
      <w:bookmarkStart w:id="1481" w:name="_Toc9713"/>
      <w:bookmarkStart w:id="1482" w:name="_Toc5687"/>
      <w:bookmarkStart w:id="1483" w:name="_Toc21997"/>
      <w:bookmarkStart w:id="1484" w:name="_Toc13028"/>
      <w:bookmarkStart w:id="1485" w:name="_Toc4364"/>
      <w:bookmarkStart w:id="1486" w:name="_Toc15222"/>
      <w:bookmarkStart w:id="1487" w:name="_Toc179632584"/>
      <w:bookmarkStart w:id="1488" w:name="_Toc152045566"/>
      <w:bookmarkStart w:id="1489" w:name="_Toc13129"/>
      <w:bookmarkStart w:id="1490" w:name="_Toc247085724"/>
      <w:bookmarkStart w:id="1491" w:name="_Toc144974534"/>
      <w:bookmarkStart w:id="1492" w:name="_Toc29067"/>
      <w:bookmarkStart w:id="1493" w:name="_Toc457992983"/>
      <w:bookmarkStart w:id="1494" w:name="_Toc246996210"/>
      <w:bookmarkStart w:id="1495" w:name="_Toc13721"/>
      <w:bookmarkStart w:id="1496" w:name="_Toc21724"/>
      <w:bookmarkStart w:id="1497" w:name="_Toc7984"/>
      <w:bookmarkStart w:id="1498" w:name="_Toc246996953"/>
      <w:bookmarkStart w:id="1499" w:name="_Toc21642"/>
      <w:bookmarkStart w:id="1500" w:name="_Toc152042342"/>
      <w:bookmarkStart w:id="1501" w:name="_Toc3876"/>
      <w:bookmarkStart w:id="1502" w:name="_Toc8193"/>
      <w:r>
        <w:rPr>
          <w:rFonts w:hint="eastAsia" w:ascii="宋体" w:hAnsi="宋体" w:eastAsia="宋体"/>
        </w:rPr>
        <w:t>7. 合同授予</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5"/>
        <w:spacing w:before="20" w:after="20" w:line="360" w:lineRule="auto"/>
        <w:rPr>
          <w:rFonts w:hint="eastAsia" w:ascii="宋体" w:hAnsi="宋体" w:eastAsia="宋体"/>
        </w:rPr>
      </w:pPr>
      <w:bookmarkStart w:id="1503" w:name="_Toc2518"/>
      <w:bookmarkStart w:id="1504" w:name="_Toc9228"/>
      <w:bookmarkStart w:id="1505" w:name="_Toc14308"/>
      <w:bookmarkStart w:id="1506" w:name="_Toc16842"/>
      <w:bookmarkStart w:id="1507" w:name="_Toc17092"/>
      <w:bookmarkStart w:id="1508" w:name="_Toc23643"/>
      <w:bookmarkStart w:id="1509" w:name="_Toc26995"/>
      <w:bookmarkStart w:id="1510" w:name="_Toc9530"/>
      <w:bookmarkStart w:id="1511" w:name="_Toc19336"/>
      <w:bookmarkStart w:id="1512" w:name="_Toc26683"/>
      <w:bookmarkStart w:id="1513" w:name="_Toc27624"/>
      <w:bookmarkStart w:id="1514" w:name="_Toc29254"/>
      <w:bookmarkStart w:id="1515" w:name="_Toc13484"/>
      <w:bookmarkStart w:id="1516" w:name="_Toc953"/>
      <w:bookmarkStart w:id="1517" w:name="_Toc11386"/>
      <w:bookmarkStart w:id="1518" w:name="_Toc26224"/>
      <w:bookmarkStart w:id="1519" w:name="_Toc461"/>
      <w:bookmarkStart w:id="1520" w:name="_Toc741"/>
      <w:bookmarkStart w:id="1521" w:name="_Toc21882"/>
      <w:bookmarkStart w:id="1522" w:name="_Toc18178"/>
      <w:bookmarkStart w:id="1523" w:name="_Toc23177"/>
      <w:r>
        <w:rPr>
          <w:rFonts w:hint="eastAsia" w:ascii="宋体" w:hAnsi="宋体" w:eastAsia="宋体"/>
        </w:rPr>
        <w:t>7.1 确定服务商方式</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40"/>
        <w:spacing w:line="360" w:lineRule="auto"/>
        <w:ind w:firstLineChars="0"/>
        <w:rPr>
          <w:rFonts w:hint="eastAsia" w:ascii="宋体" w:hAnsi="宋体" w:cs="宋体"/>
          <w:kern w:val="0"/>
          <w:sz w:val="21"/>
          <w:szCs w:val="21"/>
        </w:rPr>
      </w:pPr>
      <w:r>
        <w:rPr>
          <w:rFonts w:hint="eastAsia" w:ascii="宋体" w:hAnsi="宋体" w:cs="宋体"/>
          <w:kern w:val="0"/>
          <w:sz w:val="21"/>
          <w:szCs w:val="21"/>
        </w:rPr>
        <w:t>招标人</w:t>
      </w:r>
      <w:r>
        <w:rPr>
          <w:rFonts w:ascii="宋体" w:hAnsi="宋体" w:cs="宋体"/>
          <w:kern w:val="0"/>
          <w:sz w:val="21"/>
          <w:szCs w:val="21"/>
        </w:rPr>
        <w:t>依据</w:t>
      </w:r>
      <w:r>
        <w:rPr>
          <w:rFonts w:hint="eastAsia" w:ascii="宋体" w:hAnsi="宋体" w:cs="宋体"/>
          <w:kern w:val="0"/>
          <w:sz w:val="21"/>
          <w:szCs w:val="21"/>
        </w:rPr>
        <w:t>评标委员会</w:t>
      </w:r>
      <w:r>
        <w:rPr>
          <w:rFonts w:ascii="宋体" w:hAnsi="宋体" w:cs="宋体"/>
          <w:kern w:val="0"/>
          <w:sz w:val="21"/>
          <w:szCs w:val="21"/>
        </w:rPr>
        <w:t>评审确定</w:t>
      </w:r>
      <w:r>
        <w:rPr>
          <w:rFonts w:hint="eastAsia" w:ascii="宋体" w:hAnsi="宋体" w:cs="宋体"/>
          <w:kern w:val="0"/>
          <w:sz w:val="21"/>
          <w:szCs w:val="21"/>
        </w:rPr>
        <w:t>各标段</w:t>
      </w:r>
      <w:r>
        <w:rPr>
          <w:rFonts w:ascii="宋体" w:hAnsi="宋体" w:cs="宋体"/>
          <w:kern w:val="0"/>
          <w:sz w:val="21"/>
          <w:szCs w:val="21"/>
        </w:rPr>
        <w:t>服务商。</w:t>
      </w:r>
    </w:p>
    <w:p>
      <w:pPr>
        <w:pStyle w:val="5"/>
        <w:spacing w:before="20" w:after="20" w:line="360" w:lineRule="auto"/>
        <w:rPr>
          <w:rFonts w:hint="eastAsia" w:ascii="宋体" w:hAnsi="宋体" w:eastAsia="宋体"/>
        </w:rPr>
      </w:pPr>
      <w:bookmarkStart w:id="1524" w:name="_Toc4967"/>
      <w:bookmarkStart w:id="1525" w:name="_Toc3381"/>
      <w:bookmarkStart w:id="1526" w:name="_Toc14394"/>
      <w:bookmarkStart w:id="1527" w:name="_Toc30492"/>
      <w:bookmarkStart w:id="1528" w:name="_Toc12602"/>
      <w:bookmarkStart w:id="1529" w:name="_Toc32226"/>
      <w:bookmarkStart w:id="1530" w:name="_Toc16594"/>
      <w:bookmarkStart w:id="1531" w:name="_Toc7973"/>
      <w:bookmarkStart w:id="1532" w:name="_Toc3671"/>
      <w:bookmarkStart w:id="1533" w:name="_Toc25615"/>
      <w:bookmarkStart w:id="1534" w:name="_Toc20909"/>
      <w:bookmarkStart w:id="1535" w:name="_Toc6574"/>
      <w:bookmarkStart w:id="1536" w:name="_Toc20914"/>
      <w:bookmarkStart w:id="1537" w:name="_Toc10425"/>
      <w:bookmarkStart w:id="1538" w:name="_Toc19371"/>
      <w:bookmarkStart w:id="1539" w:name="_Toc576"/>
      <w:bookmarkStart w:id="1540" w:name="_Toc30956"/>
      <w:bookmarkStart w:id="1541" w:name="_Toc6492"/>
      <w:bookmarkStart w:id="1542" w:name="_Toc8263"/>
      <w:bookmarkStart w:id="1543" w:name="_Toc24212"/>
      <w:bookmarkStart w:id="1544" w:name="_Toc1316"/>
      <w:r>
        <w:rPr>
          <w:rFonts w:hint="eastAsia" w:ascii="宋体" w:hAnsi="宋体" w:eastAsia="宋体"/>
        </w:rPr>
        <w:t>7.2 服务商库及候选人公示</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40"/>
        <w:spacing w:line="360" w:lineRule="auto"/>
        <w:ind w:firstLineChars="200"/>
        <w:rPr>
          <w:rFonts w:hint="eastAsia" w:ascii="宋体" w:hAnsi="宋体" w:cs="宋体"/>
          <w:kern w:val="0"/>
          <w:sz w:val="21"/>
          <w:szCs w:val="21"/>
        </w:rPr>
      </w:pPr>
      <w:r>
        <w:rPr>
          <w:rFonts w:hint="eastAsia" w:ascii="宋体" w:hAnsi="宋体" w:cs="宋体"/>
          <w:kern w:val="0"/>
          <w:sz w:val="21"/>
          <w:szCs w:val="21"/>
        </w:rPr>
        <w:t>招标人</w:t>
      </w:r>
      <w:r>
        <w:rPr>
          <w:rFonts w:ascii="宋体" w:hAnsi="宋体" w:cs="宋体"/>
          <w:kern w:val="0"/>
          <w:sz w:val="21"/>
          <w:szCs w:val="21"/>
        </w:rPr>
        <w:t>在</w:t>
      </w:r>
      <w:r>
        <w:rPr>
          <w:rFonts w:hint="eastAsia" w:ascii="宋体" w:hAnsi="宋体" w:cs="宋体"/>
          <w:kern w:val="0"/>
          <w:sz w:val="21"/>
          <w:szCs w:val="21"/>
        </w:rPr>
        <w:t>投标人</w:t>
      </w:r>
      <w:r>
        <w:rPr>
          <w:rFonts w:ascii="宋体" w:hAnsi="宋体" w:cs="宋体"/>
          <w:kern w:val="0"/>
          <w:sz w:val="21"/>
          <w:szCs w:val="21"/>
        </w:rPr>
        <w:t>须知前附表规定的媒介公示本项目服务商库及</w:t>
      </w:r>
      <w:r>
        <w:rPr>
          <w:rFonts w:hint="eastAsia" w:ascii="宋体" w:hAnsi="宋体" w:cs="宋体"/>
          <w:kern w:val="0"/>
          <w:sz w:val="21"/>
          <w:szCs w:val="21"/>
        </w:rPr>
        <w:t>各标段</w:t>
      </w:r>
      <w:r>
        <w:rPr>
          <w:rFonts w:ascii="宋体" w:hAnsi="宋体" w:cs="宋体"/>
          <w:kern w:val="0"/>
          <w:sz w:val="21"/>
          <w:szCs w:val="21"/>
        </w:rPr>
        <w:t>候选人。</w:t>
      </w:r>
    </w:p>
    <w:p>
      <w:pPr>
        <w:pStyle w:val="5"/>
        <w:spacing w:before="20" w:after="20" w:line="360" w:lineRule="auto"/>
        <w:rPr>
          <w:rFonts w:hint="eastAsia" w:ascii="宋体" w:hAnsi="宋体" w:eastAsia="宋体"/>
        </w:rPr>
      </w:pPr>
      <w:bookmarkStart w:id="1545" w:name="_Toc25328"/>
      <w:bookmarkStart w:id="1546" w:name="_Toc32141"/>
      <w:bookmarkStart w:id="1547" w:name="_Toc26400"/>
      <w:bookmarkStart w:id="1548" w:name="_Toc27250"/>
      <w:bookmarkStart w:id="1549" w:name="_Toc2365"/>
      <w:bookmarkStart w:id="1550" w:name="_Toc25376"/>
      <w:bookmarkStart w:id="1551" w:name="_Toc6470"/>
      <w:bookmarkStart w:id="1552" w:name="_Toc10663"/>
      <w:bookmarkStart w:id="1553" w:name="_Toc29509"/>
      <w:bookmarkStart w:id="1554" w:name="_Toc15264"/>
      <w:bookmarkStart w:id="1555" w:name="_Toc17737"/>
      <w:bookmarkStart w:id="1556" w:name="_Toc9921"/>
      <w:bookmarkStart w:id="1557" w:name="_Toc17893"/>
      <w:bookmarkStart w:id="1558" w:name="_Toc14212"/>
      <w:bookmarkStart w:id="1559" w:name="_Toc32410"/>
      <w:bookmarkStart w:id="1560" w:name="_Toc20095"/>
      <w:bookmarkStart w:id="1561" w:name="_Toc18820"/>
      <w:bookmarkStart w:id="1562" w:name="_Toc3970"/>
      <w:bookmarkStart w:id="1563" w:name="_Toc13829"/>
      <w:bookmarkStart w:id="1564" w:name="_Toc27289"/>
      <w:bookmarkStart w:id="1565" w:name="_Toc11826"/>
      <w:r>
        <w:rPr>
          <w:rFonts w:hint="eastAsia" w:ascii="宋体" w:hAnsi="宋体" w:eastAsia="宋体"/>
        </w:rPr>
        <w:t>7.3 招标结果异议</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spacing w:line="360" w:lineRule="auto"/>
        <w:ind w:firstLine="420" w:firstLineChars="200"/>
        <w:rPr>
          <w:rFonts w:hint="eastAsia" w:ascii="宋体" w:hAnsi="宋体" w:cs="宋体"/>
          <w:kern w:val="0"/>
          <w:szCs w:val="21"/>
        </w:rPr>
      </w:pPr>
      <w:r>
        <w:rPr>
          <w:rFonts w:hint="eastAsia" w:ascii="宋体" w:hAnsi="宋体" w:cs="宋体"/>
          <w:kern w:val="0"/>
          <w:szCs w:val="21"/>
        </w:rPr>
        <w:t>投标人</w:t>
      </w:r>
      <w:r>
        <w:rPr>
          <w:rFonts w:ascii="宋体" w:hAnsi="宋体" w:cs="宋体"/>
          <w:kern w:val="0"/>
          <w:szCs w:val="21"/>
        </w:rPr>
        <w:t>或者其他利害关系人对</w:t>
      </w:r>
      <w:r>
        <w:rPr>
          <w:rFonts w:hint="eastAsia" w:ascii="宋体" w:hAnsi="宋体" w:cs="宋体"/>
          <w:kern w:val="0"/>
          <w:szCs w:val="21"/>
        </w:rPr>
        <w:t>招标</w:t>
      </w:r>
      <w:r>
        <w:rPr>
          <w:rFonts w:ascii="宋体" w:hAnsi="宋体" w:cs="宋体"/>
          <w:kern w:val="0"/>
          <w:szCs w:val="21"/>
        </w:rPr>
        <w:t>结果有异议的，应当在</w:t>
      </w:r>
      <w:r>
        <w:rPr>
          <w:rFonts w:hint="eastAsia" w:ascii="宋体" w:hAnsi="宋体"/>
        </w:rPr>
        <w:t>服务商库及各标段</w:t>
      </w:r>
      <w:r>
        <w:rPr>
          <w:rFonts w:ascii="宋体" w:hAnsi="宋体" w:cs="宋体"/>
          <w:kern w:val="0"/>
          <w:szCs w:val="21"/>
        </w:rPr>
        <w:t>候选人公示期间提出。</w:t>
      </w:r>
      <w:r>
        <w:rPr>
          <w:rFonts w:hint="eastAsia" w:ascii="宋体" w:hAnsi="宋体" w:cs="宋体"/>
          <w:kern w:val="0"/>
          <w:szCs w:val="21"/>
        </w:rPr>
        <w:t>招标人</w:t>
      </w:r>
      <w:r>
        <w:rPr>
          <w:rFonts w:ascii="宋体" w:hAnsi="宋体" w:cs="宋体"/>
          <w:kern w:val="0"/>
          <w:szCs w:val="21"/>
        </w:rPr>
        <w:t>将在收到异议</w:t>
      </w:r>
      <w:r>
        <w:rPr>
          <w:rFonts w:hint="eastAsia" w:ascii="宋体" w:hAnsi="宋体" w:cs="宋体"/>
          <w:kern w:val="0"/>
          <w:szCs w:val="21"/>
        </w:rPr>
        <w:t>后</w:t>
      </w:r>
      <w:r>
        <w:rPr>
          <w:rFonts w:ascii="宋体" w:hAnsi="宋体" w:cs="宋体"/>
          <w:kern w:val="0"/>
          <w:szCs w:val="21"/>
        </w:rPr>
        <w:t>作出答复；作出答复前，将暂停</w:t>
      </w:r>
      <w:r>
        <w:rPr>
          <w:rFonts w:hint="eastAsia" w:ascii="宋体" w:hAnsi="宋体" w:cs="宋体"/>
          <w:kern w:val="0"/>
          <w:szCs w:val="21"/>
        </w:rPr>
        <w:t>本项目</w:t>
      </w:r>
      <w:r>
        <w:rPr>
          <w:rFonts w:ascii="宋体" w:hAnsi="宋体" w:cs="宋体"/>
          <w:kern w:val="0"/>
          <w:szCs w:val="21"/>
        </w:rPr>
        <w:t>。</w:t>
      </w:r>
    </w:p>
    <w:p>
      <w:pPr>
        <w:pStyle w:val="5"/>
        <w:spacing w:before="20" w:after="20" w:line="360" w:lineRule="auto"/>
        <w:rPr>
          <w:rFonts w:hint="eastAsia" w:ascii="宋体" w:hAnsi="宋体" w:eastAsia="宋体"/>
        </w:rPr>
      </w:pPr>
      <w:bookmarkStart w:id="1566" w:name="_Toc7628"/>
      <w:bookmarkStart w:id="1567" w:name="_Toc15240"/>
      <w:bookmarkStart w:id="1568" w:name="_Toc7419"/>
      <w:bookmarkStart w:id="1569" w:name="_Toc6635"/>
      <w:bookmarkStart w:id="1570" w:name="_Toc30627"/>
      <w:bookmarkStart w:id="1571" w:name="_Toc1992"/>
      <w:bookmarkStart w:id="1572" w:name="_Toc32595"/>
      <w:bookmarkStart w:id="1573" w:name="_Toc26009"/>
      <w:bookmarkStart w:id="1574" w:name="_Toc19046"/>
      <w:bookmarkStart w:id="1575" w:name="_Toc30017"/>
      <w:bookmarkStart w:id="1576" w:name="_Toc16409"/>
      <w:bookmarkStart w:id="1577" w:name="_Toc8704"/>
      <w:bookmarkStart w:id="1578" w:name="_Toc4915"/>
      <w:bookmarkStart w:id="1579" w:name="_Toc7651"/>
      <w:bookmarkStart w:id="1580" w:name="_Toc26773"/>
      <w:bookmarkStart w:id="1581" w:name="_Toc25574"/>
      <w:bookmarkStart w:id="1582" w:name="_Toc29596"/>
      <w:bookmarkStart w:id="1583" w:name="_Toc23310"/>
      <w:bookmarkStart w:id="1584" w:name="_Toc32607"/>
      <w:bookmarkStart w:id="1585" w:name="_Toc6935"/>
      <w:bookmarkStart w:id="1586" w:name="_Toc6319"/>
      <w:r>
        <w:rPr>
          <w:rFonts w:hint="eastAsia" w:ascii="宋体" w:hAnsi="宋体" w:eastAsia="宋体"/>
        </w:rPr>
        <w:t>7.4 服务商候选人履约能力审查</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r>
        <w:rPr>
          <w:rFonts w:hint="eastAsia" w:ascii="宋体" w:hAnsi="宋体" w:eastAsia="宋体"/>
        </w:rPr>
        <w:t xml:space="preserve"> </w:t>
      </w:r>
    </w:p>
    <w:p>
      <w:pPr>
        <w:spacing w:line="360" w:lineRule="auto"/>
        <w:ind w:firstLine="420" w:firstLineChars="200"/>
        <w:rPr>
          <w:rFonts w:hint="eastAsia" w:ascii="宋体" w:hAnsi="宋体" w:cs="宋体"/>
          <w:kern w:val="0"/>
          <w:szCs w:val="21"/>
        </w:rPr>
      </w:pPr>
      <w:r>
        <w:rPr>
          <w:rFonts w:hint="eastAsia" w:ascii="宋体" w:hAnsi="宋体" w:cs="宋体"/>
          <w:kern w:val="0"/>
          <w:szCs w:val="21"/>
        </w:rPr>
        <w:t>服务商候选人的经营、财务状况发生较大变化或存在违法行为，招标人认为可能影响其履约能力的，将在发出成交通知书前提请原评审员会按照招标文件规定的标准和方法进行审查确认。</w:t>
      </w:r>
    </w:p>
    <w:p>
      <w:pPr>
        <w:pStyle w:val="5"/>
        <w:spacing w:before="20" w:after="20" w:line="360" w:lineRule="auto"/>
        <w:rPr>
          <w:rFonts w:hint="eastAsia" w:ascii="宋体" w:hAnsi="宋体" w:eastAsia="宋体"/>
        </w:rPr>
      </w:pPr>
      <w:bookmarkStart w:id="1587" w:name="_Toc17341"/>
      <w:bookmarkStart w:id="1588" w:name="_Toc26563"/>
      <w:bookmarkStart w:id="1589" w:name="_Toc6024"/>
      <w:bookmarkStart w:id="1590" w:name="_Toc28665"/>
      <w:bookmarkStart w:id="1591" w:name="_Toc10298"/>
      <w:bookmarkStart w:id="1592" w:name="_Toc12815"/>
      <w:bookmarkStart w:id="1593" w:name="_Toc350"/>
      <w:bookmarkStart w:id="1594" w:name="_Toc19619"/>
      <w:bookmarkStart w:id="1595" w:name="_Toc22825"/>
      <w:bookmarkStart w:id="1596" w:name="_Toc1187"/>
      <w:bookmarkStart w:id="1597" w:name="_Toc30252"/>
      <w:bookmarkStart w:id="1598" w:name="_Toc10198"/>
      <w:bookmarkStart w:id="1599" w:name="_Toc23683"/>
      <w:bookmarkStart w:id="1600" w:name="_Toc13267"/>
      <w:bookmarkStart w:id="1601" w:name="_Toc11267"/>
      <w:bookmarkStart w:id="1602" w:name="_Toc26153"/>
      <w:bookmarkStart w:id="1603" w:name="_Toc26297"/>
      <w:bookmarkStart w:id="1604" w:name="_Toc27034"/>
      <w:bookmarkStart w:id="1605" w:name="_Toc21332"/>
      <w:bookmarkStart w:id="1606" w:name="_Toc32202"/>
      <w:bookmarkStart w:id="1607" w:name="_Toc23197"/>
      <w:r>
        <w:rPr>
          <w:rFonts w:hint="eastAsia" w:ascii="宋体" w:hAnsi="宋体" w:eastAsia="宋体"/>
        </w:rPr>
        <w:t>7.5确认通知</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spacing w:line="360" w:lineRule="auto"/>
        <w:ind w:firstLine="420" w:firstLineChars="200"/>
        <w:rPr>
          <w:rFonts w:hint="eastAsia" w:ascii="宋体" w:hAnsi="宋体"/>
        </w:rPr>
      </w:pPr>
      <w:r>
        <w:rPr>
          <w:rFonts w:hint="eastAsia" w:ascii="宋体" w:hAnsi="宋体"/>
        </w:rPr>
        <w:t xml:space="preserve">在规定的投标文件有效期内，招标人以书面形式向服务商发成交通知书。 </w:t>
      </w:r>
    </w:p>
    <w:p>
      <w:pPr>
        <w:pStyle w:val="5"/>
        <w:spacing w:before="20" w:after="20" w:line="360" w:lineRule="auto"/>
        <w:rPr>
          <w:rFonts w:hint="eastAsia" w:ascii="宋体" w:hAnsi="宋体" w:eastAsia="宋体"/>
        </w:rPr>
      </w:pPr>
      <w:bookmarkStart w:id="1608" w:name="_Toc4038"/>
      <w:bookmarkStart w:id="1609" w:name="_Toc441"/>
      <w:bookmarkStart w:id="1610" w:name="_Toc5261"/>
      <w:bookmarkStart w:id="1611" w:name="_Toc12912"/>
      <w:bookmarkStart w:id="1612" w:name="_Toc17765"/>
      <w:bookmarkStart w:id="1613" w:name="_Toc3004"/>
      <w:bookmarkStart w:id="1614" w:name="_Toc15766"/>
      <w:bookmarkStart w:id="1615" w:name="_Toc27807"/>
      <w:bookmarkStart w:id="1616" w:name="_Toc7290"/>
      <w:bookmarkStart w:id="1617" w:name="_Toc13060"/>
      <w:bookmarkStart w:id="1618" w:name="_Toc25189"/>
      <w:bookmarkStart w:id="1619" w:name="_Toc12736"/>
      <w:bookmarkStart w:id="1620" w:name="_Toc10913"/>
      <w:bookmarkStart w:id="1621" w:name="_Toc8807"/>
      <w:bookmarkStart w:id="1622" w:name="_Toc4068"/>
      <w:bookmarkStart w:id="1623" w:name="_Toc12332"/>
      <w:bookmarkStart w:id="1624" w:name="_Toc30649"/>
      <w:bookmarkStart w:id="1625" w:name="_Toc422"/>
      <w:bookmarkStart w:id="1626" w:name="_Toc15910"/>
      <w:bookmarkStart w:id="1627" w:name="_Toc27501"/>
      <w:bookmarkStart w:id="1628" w:name="_Toc22519"/>
      <w:r>
        <w:rPr>
          <w:rFonts w:hint="eastAsia" w:ascii="宋体" w:hAnsi="宋体" w:eastAsia="宋体"/>
        </w:rPr>
        <w:t>7.6 签订合同</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spacing w:line="360" w:lineRule="auto"/>
        <w:ind w:firstLine="462" w:firstLineChars="220"/>
      </w:pPr>
      <w:r>
        <w:rPr>
          <w:rFonts w:hint="eastAsia"/>
        </w:rPr>
        <w:t>7.6.1招标人和服务商应当自成交通知书发出之日起30天内，根据招标文件和投标文件订立书面合同。服务商无正当理由拒签合同的，招标人取消其成交资格；给招标人造成损失的，服务商还应当对损失部分予以赔偿。</w:t>
      </w:r>
    </w:p>
    <w:p>
      <w:pPr>
        <w:spacing w:line="360" w:lineRule="auto"/>
        <w:ind w:firstLine="462" w:firstLineChars="220"/>
      </w:pPr>
      <w:r>
        <w:rPr>
          <w:rFonts w:hint="eastAsia"/>
        </w:rPr>
        <w:t>7.6.2 发出成交通知书后，招标人无正当理由拒签合同的，且给服务商造成损失的，应当赔偿损失。</w:t>
      </w:r>
    </w:p>
    <w:p>
      <w:pPr>
        <w:pStyle w:val="5"/>
        <w:spacing w:before="20" w:after="20" w:line="360" w:lineRule="auto"/>
        <w:rPr>
          <w:rFonts w:hint="eastAsia" w:ascii="宋体" w:hAnsi="宋体" w:eastAsia="宋体"/>
        </w:rPr>
      </w:pPr>
      <w:bookmarkStart w:id="1629" w:name="_Toc29754"/>
      <w:bookmarkStart w:id="1630" w:name="_Toc8973"/>
      <w:bookmarkStart w:id="1631" w:name="_Toc8819"/>
      <w:bookmarkStart w:id="1632" w:name="_Toc22683"/>
      <w:bookmarkStart w:id="1633" w:name="_Toc13738"/>
      <w:bookmarkStart w:id="1634" w:name="_Toc5892"/>
      <w:bookmarkStart w:id="1635" w:name="_Toc4781"/>
      <w:bookmarkStart w:id="1636" w:name="_Toc715"/>
      <w:bookmarkStart w:id="1637" w:name="_Toc3493"/>
      <w:bookmarkStart w:id="1638" w:name="_Toc7017"/>
      <w:bookmarkStart w:id="1639" w:name="_Toc2017"/>
      <w:bookmarkStart w:id="1640" w:name="_Toc17338"/>
      <w:bookmarkStart w:id="1641" w:name="_Toc20938"/>
      <w:bookmarkStart w:id="1642" w:name="_Toc3480"/>
      <w:bookmarkStart w:id="1643" w:name="_Toc25480"/>
      <w:bookmarkStart w:id="1644" w:name="_Toc25247"/>
      <w:bookmarkStart w:id="1645" w:name="_Toc15206"/>
      <w:bookmarkStart w:id="1646" w:name="_Toc30565"/>
      <w:bookmarkStart w:id="1647" w:name="_Toc16598"/>
      <w:bookmarkStart w:id="1648" w:name="_Toc17984"/>
      <w:bookmarkStart w:id="1649" w:name="_Toc31138"/>
      <w:r>
        <w:rPr>
          <w:rFonts w:hint="eastAsia" w:ascii="宋体" w:hAnsi="宋体" w:eastAsia="宋体"/>
        </w:rPr>
        <w:t>8.守则和监督</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5"/>
        <w:spacing w:before="20" w:after="20" w:line="360" w:lineRule="auto"/>
        <w:rPr>
          <w:rFonts w:hint="eastAsia" w:ascii="宋体" w:hAnsi="宋体" w:eastAsia="宋体"/>
        </w:rPr>
      </w:pPr>
      <w:bookmarkStart w:id="1650" w:name="_Toc17310"/>
      <w:bookmarkStart w:id="1651" w:name="_Toc13665"/>
      <w:bookmarkStart w:id="1652" w:name="_Toc14250"/>
      <w:bookmarkStart w:id="1653" w:name="_Toc11148"/>
      <w:bookmarkStart w:id="1654" w:name="_Toc8540"/>
      <w:bookmarkStart w:id="1655" w:name="_Toc26073"/>
      <w:bookmarkStart w:id="1656" w:name="_Toc20206"/>
      <w:bookmarkStart w:id="1657" w:name="_Toc32550"/>
      <w:bookmarkStart w:id="1658" w:name="_Toc6796"/>
      <w:bookmarkStart w:id="1659" w:name="_Toc7875"/>
      <w:bookmarkStart w:id="1660" w:name="_Toc22566"/>
      <w:bookmarkStart w:id="1661" w:name="_Toc5313"/>
      <w:bookmarkStart w:id="1662" w:name="_Toc15786"/>
      <w:bookmarkStart w:id="1663" w:name="_Toc9078"/>
      <w:bookmarkStart w:id="1664" w:name="_Toc13692"/>
      <w:bookmarkStart w:id="1665" w:name="_Toc16557"/>
      <w:bookmarkStart w:id="1666" w:name="_Toc13880"/>
      <w:bookmarkStart w:id="1667" w:name="_Toc5841"/>
      <w:bookmarkStart w:id="1668" w:name="_Toc18490"/>
      <w:bookmarkStart w:id="1669" w:name="_Toc30701"/>
      <w:bookmarkStart w:id="1670" w:name="_Toc17985"/>
      <w:r>
        <w:rPr>
          <w:rFonts w:hint="eastAsia" w:ascii="宋体" w:hAnsi="宋体" w:eastAsia="宋体"/>
        </w:rPr>
        <w:t>8.1 对招标人的要求</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spacing w:line="360" w:lineRule="auto"/>
        <w:ind w:firstLine="462" w:firstLineChars="220"/>
      </w:pPr>
      <w:r>
        <w:rPr>
          <w:rFonts w:hint="eastAsia"/>
        </w:rPr>
        <w:t>招标人不得泄漏招标活动中应当保密的情况和资料，不得与投标人串通损害国家利益、招标人利益或者他人合法权益。</w:t>
      </w:r>
    </w:p>
    <w:p>
      <w:pPr>
        <w:pStyle w:val="5"/>
        <w:spacing w:before="20" w:after="20" w:line="360" w:lineRule="auto"/>
        <w:rPr>
          <w:rFonts w:hint="eastAsia" w:ascii="宋体" w:hAnsi="宋体" w:eastAsia="宋体"/>
        </w:rPr>
      </w:pPr>
      <w:bookmarkStart w:id="1671" w:name="_Toc13920"/>
      <w:bookmarkStart w:id="1672" w:name="_Toc9266"/>
      <w:bookmarkStart w:id="1673" w:name="_Toc30778"/>
      <w:bookmarkStart w:id="1674" w:name="_Toc16787"/>
      <w:bookmarkStart w:id="1675" w:name="_Toc5791"/>
      <w:bookmarkStart w:id="1676" w:name="_Toc4350"/>
      <w:bookmarkStart w:id="1677" w:name="_Toc28211"/>
      <w:bookmarkStart w:id="1678" w:name="_Toc20604"/>
      <w:bookmarkStart w:id="1679" w:name="_Toc21079"/>
      <w:bookmarkStart w:id="1680" w:name="_Toc32497"/>
      <w:bookmarkStart w:id="1681" w:name="_Toc32273"/>
      <w:bookmarkStart w:id="1682" w:name="_Toc14412"/>
      <w:bookmarkStart w:id="1683" w:name="_Toc2767"/>
      <w:bookmarkStart w:id="1684" w:name="_Toc28069"/>
      <w:bookmarkStart w:id="1685" w:name="_Toc32494"/>
      <w:bookmarkStart w:id="1686" w:name="_Toc23541"/>
      <w:bookmarkStart w:id="1687" w:name="_Toc3178"/>
      <w:bookmarkStart w:id="1688" w:name="_Toc582"/>
      <w:bookmarkStart w:id="1689" w:name="_Toc19386"/>
      <w:bookmarkStart w:id="1690" w:name="_Toc14167"/>
      <w:bookmarkStart w:id="1691" w:name="_Toc23947"/>
      <w:r>
        <w:rPr>
          <w:rFonts w:hint="eastAsia" w:ascii="宋体" w:hAnsi="宋体" w:eastAsia="宋体"/>
        </w:rPr>
        <w:t>8.2 对投标人的要求</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spacing w:line="360" w:lineRule="auto"/>
        <w:ind w:firstLine="420" w:firstLineChars="200"/>
      </w:pPr>
      <w:r>
        <w:rPr>
          <w:rFonts w:hint="eastAsia"/>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5"/>
        <w:spacing w:before="20" w:after="20" w:line="360" w:lineRule="auto"/>
        <w:rPr>
          <w:rFonts w:hint="eastAsia" w:ascii="宋体" w:hAnsi="宋体" w:eastAsia="宋体"/>
        </w:rPr>
      </w:pPr>
      <w:bookmarkStart w:id="1692" w:name="_Toc22417"/>
      <w:bookmarkStart w:id="1693" w:name="_Toc31691"/>
      <w:bookmarkStart w:id="1694" w:name="_Toc18691"/>
      <w:bookmarkStart w:id="1695" w:name="_Toc6541"/>
      <w:bookmarkStart w:id="1696" w:name="_Toc26072"/>
      <w:bookmarkStart w:id="1697" w:name="_Toc27363"/>
      <w:bookmarkStart w:id="1698" w:name="_Toc28701"/>
      <w:bookmarkStart w:id="1699" w:name="_Toc17552"/>
      <w:bookmarkStart w:id="1700" w:name="_Toc31991"/>
      <w:bookmarkStart w:id="1701" w:name="_Toc6711"/>
      <w:bookmarkStart w:id="1702" w:name="_Toc6822"/>
      <w:bookmarkStart w:id="1703" w:name="_Toc9344"/>
      <w:bookmarkStart w:id="1704" w:name="_Toc18745"/>
      <w:bookmarkStart w:id="1705" w:name="_Toc23424"/>
      <w:bookmarkStart w:id="1706" w:name="_Toc1602"/>
      <w:bookmarkStart w:id="1707" w:name="_Toc19609"/>
      <w:bookmarkStart w:id="1708" w:name="_Toc2276"/>
      <w:bookmarkStart w:id="1709" w:name="_Toc20885"/>
      <w:bookmarkStart w:id="1710" w:name="_Toc26538"/>
      <w:bookmarkStart w:id="1711" w:name="_Toc5752"/>
      <w:bookmarkStart w:id="1712" w:name="_Toc26176"/>
      <w:r>
        <w:rPr>
          <w:rFonts w:hint="eastAsia" w:ascii="宋体" w:hAnsi="宋体" w:eastAsia="宋体"/>
        </w:rPr>
        <w:t>8.3 对评标委员会成员的要求</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spacing w:line="360" w:lineRule="auto"/>
        <w:ind w:firstLine="462" w:firstLineChars="220"/>
      </w:pPr>
      <w:r>
        <w:rPr>
          <w:rFonts w:hint="eastAsia"/>
        </w:rPr>
        <w:t>评标委员会成员不得收受他人的财物或者其他好处，不得向他人透漏对投标文件的评审和比较、入围候选人的推荐情况以及评审有关的其他情况。在评审活动中，评标委员会成员应当客观、公正地履行职责，遵守职业道德，不得擅离职守，影响评审程序正常进行，不得使用第三章“评审办法”没有规定的评审标准进行评审。</w:t>
      </w:r>
    </w:p>
    <w:p>
      <w:pPr>
        <w:pStyle w:val="5"/>
        <w:spacing w:before="20" w:after="20" w:line="360" w:lineRule="auto"/>
        <w:rPr>
          <w:rFonts w:hint="eastAsia" w:ascii="宋体" w:hAnsi="宋体" w:eastAsia="宋体"/>
        </w:rPr>
      </w:pPr>
      <w:bookmarkStart w:id="1713" w:name="_Toc12904"/>
      <w:bookmarkStart w:id="1714" w:name="_Toc2404"/>
      <w:bookmarkStart w:id="1715" w:name="_Toc10329"/>
      <w:bookmarkStart w:id="1716" w:name="_Toc16759"/>
      <w:bookmarkStart w:id="1717" w:name="_Toc23696"/>
      <w:bookmarkStart w:id="1718" w:name="_Toc22715"/>
      <w:bookmarkStart w:id="1719" w:name="_Toc12275"/>
      <w:bookmarkStart w:id="1720" w:name="_Toc7139"/>
      <w:bookmarkStart w:id="1721" w:name="_Toc24682"/>
      <w:bookmarkStart w:id="1722" w:name="_Toc15439"/>
      <w:bookmarkStart w:id="1723" w:name="_Toc28609"/>
      <w:bookmarkStart w:id="1724" w:name="_Toc15818"/>
      <w:bookmarkStart w:id="1725" w:name="_Toc9691"/>
      <w:bookmarkStart w:id="1726" w:name="_Toc20785"/>
      <w:bookmarkStart w:id="1727" w:name="_Toc10390"/>
      <w:bookmarkStart w:id="1728" w:name="_Toc21858"/>
      <w:bookmarkStart w:id="1729" w:name="_Toc8709"/>
      <w:bookmarkStart w:id="1730" w:name="_Toc30409"/>
      <w:bookmarkStart w:id="1731" w:name="_Toc21271"/>
      <w:bookmarkStart w:id="1732" w:name="_Toc9650"/>
      <w:bookmarkStart w:id="1733" w:name="_Toc13794"/>
      <w:r>
        <w:rPr>
          <w:rFonts w:hint="eastAsia" w:ascii="宋体" w:hAnsi="宋体" w:eastAsia="宋体"/>
        </w:rPr>
        <w:t>8.4 对与评审活动有关的工作人员的要求</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spacing w:line="360" w:lineRule="auto"/>
        <w:ind w:firstLine="462" w:firstLineChars="220"/>
      </w:pPr>
      <w:r>
        <w:rPr>
          <w:rFonts w:hint="eastAsia"/>
        </w:rPr>
        <w:t>与评审活动有关的工作人员不得收受他人的财物或者其他好处，不得向他人透漏对投标文件的评审和比较、入围候选人的推荐情况以及评审有关的其他情况。在评审活动中，与评审活动有关的工作人员不得擅离职守，影响评审程序正常进行。</w:t>
      </w:r>
    </w:p>
    <w:p>
      <w:pPr>
        <w:pStyle w:val="5"/>
        <w:spacing w:before="20" w:after="20" w:line="360" w:lineRule="auto"/>
        <w:rPr>
          <w:rFonts w:hint="eastAsia" w:ascii="宋体" w:hAnsi="宋体" w:eastAsia="宋体"/>
        </w:rPr>
      </w:pPr>
      <w:bookmarkStart w:id="1734" w:name="_Toc3212"/>
      <w:bookmarkStart w:id="1735" w:name="_Toc16342"/>
      <w:bookmarkStart w:id="1736" w:name="_Toc21801"/>
      <w:bookmarkStart w:id="1737" w:name="_Toc3062"/>
      <w:bookmarkStart w:id="1738" w:name="_Toc16586"/>
      <w:bookmarkStart w:id="1739" w:name="_Toc17558"/>
      <w:bookmarkStart w:id="1740" w:name="_Toc8309"/>
      <w:bookmarkStart w:id="1741" w:name="_Toc27465"/>
      <w:bookmarkStart w:id="1742" w:name="_Toc32501"/>
      <w:bookmarkStart w:id="1743" w:name="_Toc17559"/>
      <w:bookmarkStart w:id="1744" w:name="_Toc1721"/>
      <w:bookmarkStart w:id="1745" w:name="_Toc23610"/>
      <w:bookmarkStart w:id="1746" w:name="_Toc8375"/>
      <w:bookmarkStart w:id="1747" w:name="_Toc22362"/>
      <w:bookmarkStart w:id="1748" w:name="_Toc28955"/>
      <w:bookmarkStart w:id="1749" w:name="_Toc15047"/>
      <w:bookmarkStart w:id="1750" w:name="_Toc676"/>
      <w:bookmarkStart w:id="1751" w:name="_Toc13758"/>
      <w:bookmarkStart w:id="1752" w:name="_Toc8523"/>
      <w:r>
        <w:rPr>
          <w:rFonts w:hint="eastAsia" w:ascii="宋体" w:hAnsi="宋体" w:eastAsia="宋体"/>
        </w:rPr>
        <w:t>8.5 投诉</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spacing w:line="360" w:lineRule="auto"/>
        <w:ind w:firstLine="420" w:firstLineChars="200"/>
      </w:pPr>
      <w:r>
        <w:rPr>
          <w:rFonts w:hint="eastAsia"/>
        </w:rPr>
        <w:t>8.5.1投标人和其他利害关系人认为本次采购活动违反法律、法规和规章规定的，或有违廉洁自律的，有权向招标人监督部门反映。</w:t>
      </w:r>
    </w:p>
    <w:p>
      <w:pPr>
        <w:spacing w:line="360" w:lineRule="auto"/>
        <w:ind w:firstLine="420" w:firstLineChars="200"/>
        <w:rPr>
          <w:rFonts w:hint="eastAsia" w:ascii="宋体" w:hAnsi="宋体"/>
          <w:szCs w:val="21"/>
        </w:rPr>
      </w:pPr>
      <w:r>
        <w:rPr>
          <w:rFonts w:hint="eastAsia"/>
        </w:rPr>
        <w:t>8.5.2 投诉受理部门：</w:t>
      </w:r>
      <w:r>
        <w:rPr>
          <w:rFonts w:hint="eastAsia" w:ascii="宋体" w:hAnsi="宋体"/>
          <w:szCs w:val="21"/>
        </w:rPr>
        <w:t>南方报业传媒集团</w:t>
      </w:r>
      <w:r>
        <w:rPr>
          <w:rFonts w:hint="eastAsia" w:ascii="宋体" w:hAnsi="宋体"/>
          <w:szCs w:val="21"/>
          <w:lang w:eastAsia="zh-CN"/>
        </w:rPr>
        <w:t>（</w:t>
      </w:r>
      <w:r>
        <w:rPr>
          <w:rFonts w:hint="eastAsia" w:ascii="宋体" w:hAnsi="宋体"/>
          <w:szCs w:val="21"/>
          <w:lang w:val="en-US" w:eastAsia="zh-CN"/>
        </w:rPr>
        <w:t>南方日报社）</w:t>
      </w:r>
      <w:r>
        <w:rPr>
          <w:rFonts w:hint="eastAsia" w:ascii="宋体" w:hAnsi="宋体"/>
          <w:szCs w:val="21"/>
        </w:rPr>
        <w:t>招标办</w:t>
      </w:r>
    </w:p>
    <w:p>
      <w:pPr>
        <w:tabs>
          <w:tab w:val="left" w:pos="851"/>
        </w:tabs>
        <w:autoSpaceDE w:val="0"/>
        <w:autoSpaceDN w:val="0"/>
        <w:spacing w:line="360" w:lineRule="auto"/>
        <w:ind w:right="34" w:firstLine="420" w:firstLineChars="200"/>
        <w:rPr>
          <w:rFonts w:hint="eastAsia" w:ascii="宋体" w:hAnsi="宋体"/>
          <w:szCs w:val="21"/>
        </w:rPr>
      </w:pPr>
      <w:r>
        <w:rPr>
          <w:rFonts w:hint="eastAsia" w:ascii="宋体" w:hAnsi="宋体"/>
          <w:szCs w:val="21"/>
        </w:rPr>
        <w:t>地  址：广州大道中289号南方报业传媒集团1号楼20楼</w:t>
      </w:r>
    </w:p>
    <w:p>
      <w:pPr>
        <w:tabs>
          <w:tab w:val="left" w:pos="851"/>
        </w:tabs>
        <w:autoSpaceDE w:val="0"/>
        <w:autoSpaceDN w:val="0"/>
        <w:spacing w:line="360" w:lineRule="auto"/>
        <w:ind w:right="34" w:firstLine="420" w:firstLineChars="200"/>
        <w:rPr>
          <w:rFonts w:hint="eastAsia" w:ascii="宋体" w:hAnsi="宋体"/>
          <w:szCs w:val="21"/>
        </w:rPr>
      </w:pPr>
      <w:r>
        <w:rPr>
          <w:rFonts w:hint="eastAsia" w:ascii="宋体" w:hAnsi="宋体"/>
          <w:szCs w:val="21"/>
        </w:rPr>
        <w:t xml:space="preserve">电  话：020-83002023 </w:t>
      </w:r>
    </w:p>
    <w:p>
      <w:pPr>
        <w:tabs>
          <w:tab w:val="left" w:pos="851"/>
        </w:tabs>
        <w:autoSpaceDE w:val="0"/>
        <w:autoSpaceDN w:val="0"/>
        <w:adjustRightInd w:val="0"/>
        <w:snapToGrid w:val="0"/>
        <w:spacing w:line="360" w:lineRule="auto"/>
        <w:ind w:right="34" w:firstLine="420"/>
        <w:rPr>
          <w:rFonts w:hint="eastAsia" w:ascii="宋体" w:hAnsi="宋体"/>
          <w:szCs w:val="21"/>
        </w:rPr>
      </w:pPr>
      <w:r>
        <w:rPr>
          <w:rFonts w:hint="eastAsia" w:ascii="宋体" w:hAnsi="宋体"/>
          <w:szCs w:val="21"/>
        </w:rPr>
        <w:t>电  邮：</w:t>
      </w:r>
      <w:r>
        <w:fldChar w:fldCharType="begin"/>
      </w:r>
      <w:r>
        <w:instrText xml:space="preserve"> HYPERLINK "mailto:lzjd@nfmedia.com" </w:instrText>
      </w:r>
      <w:r>
        <w:fldChar w:fldCharType="separate"/>
      </w:r>
      <w:r>
        <w:rPr>
          <w:rFonts w:hint="eastAsia" w:ascii="宋体" w:hAnsi="宋体"/>
          <w:szCs w:val="21"/>
        </w:rPr>
        <w:t>nfzbtb@nfmedia.com</w:t>
      </w:r>
      <w:r>
        <w:rPr>
          <w:rFonts w:hint="eastAsia" w:ascii="宋体" w:hAnsi="宋体"/>
          <w:szCs w:val="21"/>
        </w:rPr>
        <w:fldChar w:fldCharType="end"/>
      </w:r>
    </w:p>
    <w:p>
      <w:pPr>
        <w:tabs>
          <w:tab w:val="left" w:pos="851"/>
        </w:tabs>
        <w:autoSpaceDE w:val="0"/>
        <w:autoSpaceDN w:val="0"/>
        <w:adjustRightInd w:val="0"/>
        <w:snapToGrid w:val="0"/>
        <w:ind w:right="34" w:firstLine="420"/>
        <w:rPr>
          <w:rFonts w:hint="eastAsia" w:ascii="宋体" w:hAnsi="宋体"/>
        </w:rPr>
      </w:pPr>
      <w:r>
        <w:rPr>
          <w:rFonts w:hint="eastAsia" w:ascii="宋体" w:hAnsi="宋体"/>
          <w:szCs w:val="21"/>
        </w:rPr>
        <w:t>邮  编：510601</w:t>
      </w:r>
    </w:p>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Pr>
        <w:pStyle w:val="5"/>
        <w:pageBreakBefore/>
        <w:spacing w:line="360" w:lineRule="auto"/>
      </w:pPr>
      <w:bookmarkStart w:id="1753" w:name="_Toc25200"/>
      <w:bookmarkStart w:id="1754" w:name="_Toc22856"/>
      <w:bookmarkStart w:id="1755" w:name="_Toc15170"/>
      <w:bookmarkStart w:id="1756" w:name="_Toc6984"/>
      <w:bookmarkStart w:id="1757" w:name="_Toc14468"/>
      <w:bookmarkStart w:id="1758" w:name="_Toc17002"/>
      <w:bookmarkStart w:id="1759" w:name="_Toc24138"/>
      <w:bookmarkStart w:id="1760" w:name="_Toc436215768"/>
      <w:bookmarkStart w:id="1761" w:name="_Toc16344"/>
      <w:bookmarkStart w:id="1762" w:name="_Toc31294"/>
      <w:bookmarkStart w:id="1763" w:name="_Toc3703"/>
      <w:bookmarkStart w:id="1764" w:name="_Toc152045581"/>
      <w:bookmarkStart w:id="1765" w:name="_Toc14446"/>
      <w:bookmarkStart w:id="1766" w:name="_Toc31421"/>
      <w:bookmarkStart w:id="1767" w:name="_Toc11747"/>
      <w:bookmarkStart w:id="1768" w:name="_Toc6995"/>
      <w:bookmarkStart w:id="1769" w:name="_Toc17365"/>
      <w:bookmarkStart w:id="1770" w:name="_Toc14179"/>
      <w:bookmarkStart w:id="1771" w:name="_Toc3340"/>
      <w:bookmarkStart w:id="1772" w:name="_Toc1184"/>
      <w:bookmarkStart w:id="1773" w:name="_Toc152042358"/>
      <w:bookmarkStart w:id="1774" w:name="_Toc29649"/>
      <w:bookmarkStart w:id="1775" w:name="_Toc4188"/>
      <w:bookmarkStart w:id="1776" w:name="_Toc13533"/>
      <w:bookmarkStart w:id="1777" w:name="_Toc16297"/>
      <w:bookmarkStart w:id="1778" w:name="_Toc435178410"/>
      <w:bookmarkStart w:id="1779" w:name="_Toc496601975"/>
      <w:bookmarkStart w:id="1780" w:name="_Toc179632599"/>
      <w:bookmarkStart w:id="1781" w:name="_Toc144974548"/>
      <w:bookmarkStart w:id="1782" w:name="_Toc2145"/>
      <w:bookmarkStart w:id="1783" w:name="_Toc4632"/>
      <w:bookmarkStart w:id="1784" w:name="_Toc14365"/>
      <w:bookmarkStart w:id="1785" w:name="_Toc31530"/>
      <w:bookmarkStart w:id="1786" w:name="_Toc20306"/>
      <w:bookmarkStart w:id="1787" w:name="_Toc30460"/>
      <w:bookmarkStart w:id="1788" w:name="_Toc247085739"/>
      <w:bookmarkStart w:id="1789" w:name="_Toc5706"/>
      <w:bookmarkStart w:id="1790" w:name="_Toc18572"/>
      <w:bookmarkStart w:id="1791" w:name="_Toc23882"/>
      <w:bookmarkStart w:id="1792" w:name="_Toc15007"/>
      <w:bookmarkStart w:id="1793" w:name="_Toc28174"/>
      <w:bookmarkStart w:id="1794" w:name="_Toc2863"/>
      <w:bookmarkStart w:id="1795" w:name="_Toc15970"/>
      <w:bookmarkStart w:id="1796" w:name="_Toc23127"/>
      <w:bookmarkStart w:id="1797" w:name="_Toc436212763"/>
      <w:bookmarkStart w:id="1798" w:name="_Toc23784"/>
      <w:bookmarkStart w:id="1799" w:name="_Toc3492"/>
      <w:bookmarkStart w:id="1800" w:name="_Toc29443"/>
      <w:bookmarkStart w:id="1801" w:name="_Toc9143"/>
      <w:bookmarkStart w:id="1802" w:name="_Toc19017"/>
      <w:bookmarkStart w:id="1803" w:name="_Toc4025"/>
      <w:r>
        <w:rPr>
          <w:rFonts w:hint="eastAsia"/>
        </w:rPr>
        <w:t>附件一：开标记录表</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spacing w:line="360" w:lineRule="auto"/>
        <w:jc w:val="center"/>
        <w:rPr>
          <w:rFonts w:hint="eastAsia" w:ascii="宋体" w:hAnsi="宋体" w:cs="宋体"/>
          <w:sz w:val="28"/>
          <w:szCs w:val="28"/>
          <w:u w:val="single"/>
        </w:rPr>
      </w:pPr>
      <w:r>
        <w:rPr>
          <w:rFonts w:hint="eastAsia" w:ascii="宋体" w:hAnsi="宋体" w:cs="宋体"/>
          <w:sz w:val="28"/>
          <w:szCs w:val="28"/>
          <w:u w:val="single"/>
        </w:rPr>
        <w:t>2026-2028年度劳务用工服务开标记录表</w:t>
      </w:r>
    </w:p>
    <w:p>
      <w:pPr>
        <w:spacing w:line="360" w:lineRule="auto"/>
        <w:rPr>
          <w:rFonts w:hint="eastAsia" w:ascii="宋体" w:hAnsi="宋体" w:cs="宋体"/>
        </w:rPr>
      </w:pPr>
      <w:r>
        <w:rPr>
          <w:rFonts w:hint="eastAsia" w:ascii="宋体" w:hAnsi="宋体" w:cs="宋体"/>
          <w:szCs w:val="21"/>
        </w:rPr>
        <w:t>开标时间：</w:t>
      </w:r>
      <w:r>
        <w:rPr>
          <w:rFonts w:hint="eastAsia" w:ascii="宋体" w:hAnsi="宋体" w:cs="宋体"/>
          <w:sz w:val="28"/>
          <w:szCs w:val="28"/>
          <w:u w:val="single"/>
        </w:rPr>
        <w:t xml:space="preserve">    </w:t>
      </w:r>
      <w:r>
        <w:rPr>
          <w:rFonts w:hint="eastAsia" w:ascii="宋体" w:hAnsi="宋体" w:cs="宋体"/>
          <w:szCs w:val="21"/>
        </w:rPr>
        <w:t>年</w:t>
      </w:r>
      <w:r>
        <w:rPr>
          <w:rFonts w:hint="eastAsia" w:ascii="宋体" w:hAnsi="宋体" w:cs="宋体"/>
          <w:sz w:val="28"/>
          <w:szCs w:val="28"/>
          <w:u w:val="single"/>
        </w:rPr>
        <w:t xml:space="preserve">    </w:t>
      </w:r>
      <w:r>
        <w:rPr>
          <w:rFonts w:hint="eastAsia" w:ascii="宋体" w:hAnsi="宋体" w:cs="宋体"/>
          <w:szCs w:val="21"/>
        </w:rPr>
        <w:t>月</w:t>
      </w:r>
      <w:r>
        <w:rPr>
          <w:rFonts w:hint="eastAsia" w:ascii="宋体" w:hAnsi="宋体" w:cs="宋体"/>
          <w:sz w:val="28"/>
          <w:szCs w:val="28"/>
          <w:u w:val="single"/>
        </w:rPr>
        <w:t xml:space="preserve">    </w:t>
      </w:r>
      <w:r>
        <w:rPr>
          <w:rFonts w:hint="eastAsia" w:ascii="宋体" w:hAnsi="宋体" w:cs="宋体"/>
          <w:szCs w:val="21"/>
        </w:rPr>
        <w:t>日</w:t>
      </w:r>
      <w:r>
        <w:rPr>
          <w:rFonts w:hint="eastAsia" w:ascii="宋体" w:hAnsi="宋体" w:cs="宋体"/>
          <w:sz w:val="28"/>
          <w:szCs w:val="28"/>
          <w:u w:val="single"/>
        </w:rPr>
        <w:t xml:space="preserve">    </w:t>
      </w:r>
      <w:r>
        <w:rPr>
          <w:rFonts w:hint="eastAsia" w:ascii="宋体" w:hAnsi="宋体" w:cs="宋体"/>
          <w:szCs w:val="21"/>
        </w:rPr>
        <w:t>时</w:t>
      </w:r>
      <w:r>
        <w:rPr>
          <w:rFonts w:hint="eastAsia" w:ascii="宋体" w:hAnsi="宋体" w:cs="宋体"/>
          <w:sz w:val="28"/>
          <w:szCs w:val="28"/>
          <w:u w:val="single"/>
        </w:rPr>
        <w:t xml:space="preserve">    </w:t>
      </w:r>
      <w:r>
        <w:rPr>
          <w:rFonts w:hint="eastAsia" w:ascii="宋体" w:hAnsi="宋体" w:cs="宋体"/>
          <w:szCs w:val="21"/>
        </w:rPr>
        <w:t>分     开标地点：</w:t>
      </w:r>
      <w:r>
        <w:rPr>
          <w:rFonts w:hint="eastAsia" w:ascii="宋体" w:hAnsi="宋体" w:cs="宋体"/>
          <w:szCs w:val="21"/>
          <w:u w:val="single"/>
        </w:rPr>
        <w:t xml:space="preserve">               </w:t>
      </w:r>
    </w:p>
    <w:tbl>
      <w:tblPr>
        <w:tblStyle w:val="41"/>
        <w:tblW w:w="8955" w:type="dxa"/>
        <w:tblInd w:w="0" w:type="dxa"/>
        <w:tblLayout w:type="fixed"/>
        <w:tblCellMar>
          <w:top w:w="0" w:type="dxa"/>
          <w:left w:w="108" w:type="dxa"/>
          <w:bottom w:w="0" w:type="dxa"/>
          <w:right w:w="108" w:type="dxa"/>
        </w:tblCellMar>
      </w:tblPr>
      <w:tblGrid>
        <w:gridCol w:w="545"/>
        <w:gridCol w:w="849"/>
        <w:gridCol w:w="834"/>
        <w:gridCol w:w="1322"/>
        <w:gridCol w:w="1544"/>
        <w:gridCol w:w="1815"/>
        <w:gridCol w:w="1094"/>
        <w:gridCol w:w="952"/>
      </w:tblGrid>
      <w:tr>
        <w:tblPrEx>
          <w:tblCellMar>
            <w:top w:w="0" w:type="dxa"/>
            <w:left w:w="108" w:type="dxa"/>
            <w:bottom w:w="0" w:type="dxa"/>
            <w:right w:w="108" w:type="dxa"/>
          </w:tblCellMar>
        </w:tblPrEx>
        <w:trPr>
          <w:trHeight w:val="936" w:hRule="atLeast"/>
        </w:trPr>
        <w:tc>
          <w:tcPr>
            <w:tcW w:w="545" w:type="dxa"/>
            <w:tcBorders>
              <w:top w:val="single" w:color="auto" w:sz="4" w:space="0"/>
              <w:left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序号</w:t>
            </w:r>
          </w:p>
        </w:tc>
        <w:tc>
          <w:tcPr>
            <w:tcW w:w="849" w:type="dxa"/>
            <w:tcBorders>
              <w:top w:val="single" w:color="auto" w:sz="4" w:space="0"/>
              <w:left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投标人</w:t>
            </w:r>
          </w:p>
        </w:tc>
        <w:tc>
          <w:tcPr>
            <w:tcW w:w="834" w:type="dxa"/>
            <w:tcBorders>
              <w:top w:val="single" w:color="auto" w:sz="4" w:space="0"/>
              <w:left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投标标段</w:t>
            </w:r>
          </w:p>
        </w:tc>
        <w:tc>
          <w:tcPr>
            <w:tcW w:w="1322" w:type="dxa"/>
            <w:tcBorders>
              <w:top w:val="single" w:color="auto" w:sz="4" w:space="0"/>
              <w:left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密封情况</w:t>
            </w:r>
          </w:p>
        </w:tc>
        <w:tc>
          <w:tcPr>
            <w:tcW w:w="1544" w:type="dxa"/>
            <w:tcBorders>
              <w:top w:val="single" w:color="auto" w:sz="4" w:space="0"/>
              <w:left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是否已交投标保证金</w:t>
            </w:r>
          </w:p>
        </w:tc>
        <w:tc>
          <w:tcPr>
            <w:tcW w:w="1815" w:type="dxa"/>
            <w:tcBorders>
              <w:top w:val="single" w:color="auto" w:sz="4" w:space="0"/>
              <w:left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投标报价</w:t>
            </w:r>
          </w:p>
          <w:p>
            <w:pPr>
              <w:spacing w:line="360" w:lineRule="auto"/>
              <w:jc w:val="center"/>
              <w:rPr>
                <w:rFonts w:hint="eastAsia" w:ascii="宋体" w:hAnsi="宋体" w:cs="宋体"/>
                <w:szCs w:val="21"/>
              </w:rPr>
            </w:pPr>
            <w:r>
              <w:rPr>
                <w:rFonts w:hint="eastAsia" w:ascii="宋体" w:hAnsi="宋体" w:cs="宋体"/>
                <w:szCs w:val="21"/>
              </w:rPr>
              <w:t>（元/人/时或</w:t>
            </w:r>
            <w:r>
              <w:rPr>
                <w:rFonts w:hint="eastAsia" w:ascii="宋体" w:hAnsi="宋体" w:cs="宋体"/>
                <w:szCs w:val="21"/>
                <w:lang w:val="en-US" w:eastAsia="zh-CN"/>
              </w:rPr>
              <w:t>服务费率</w:t>
            </w:r>
            <w:r>
              <w:rPr>
                <w:rFonts w:hint="eastAsia" w:ascii="宋体" w:hAnsi="宋体" w:cs="宋体"/>
                <w:szCs w:val="21"/>
              </w:rPr>
              <w:t>）</w:t>
            </w:r>
          </w:p>
        </w:tc>
        <w:tc>
          <w:tcPr>
            <w:tcW w:w="1094" w:type="dxa"/>
            <w:tcBorders>
              <w:top w:val="single" w:color="auto" w:sz="4" w:space="0"/>
              <w:left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投标报价所含增值税税率</w:t>
            </w:r>
          </w:p>
        </w:tc>
        <w:tc>
          <w:tcPr>
            <w:tcW w:w="952" w:type="dxa"/>
            <w:tcBorders>
              <w:top w:val="single" w:color="auto" w:sz="4" w:space="0"/>
              <w:left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备注</w:t>
            </w:r>
          </w:p>
        </w:tc>
      </w:tr>
      <w:tr>
        <w:tblPrEx>
          <w:tblCellMar>
            <w:top w:w="0" w:type="dxa"/>
            <w:left w:w="108" w:type="dxa"/>
            <w:bottom w:w="0" w:type="dxa"/>
            <w:right w:w="108" w:type="dxa"/>
          </w:tblCellMar>
        </w:tblPrEx>
        <w:trPr>
          <w:trHeight w:val="497" w:hRule="atLeast"/>
        </w:trPr>
        <w:tc>
          <w:tcPr>
            <w:tcW w:w="54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4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3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2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5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094"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szCs w:val="21"/>
              </w:rPr>
            </w:pPr>
          </w:p>
        </w:tc>
        <w:tc>
          <w:tcPr>
            <w:tcW w:w="9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r>
        <w:tblPrEx>
          <w:tblCellMar>
            <w:top w:w="0" w:type="dxa"/>
            <w:left w:w="108" w:type="dxa"/>
            <w:bottom w:w="0" w:type="dxa"/>
            <w:right w:w="108" w:type="dxa"/>
          </w:tblCellMar>
        </w:tblPrEx>
        <w:trPr>
          <w:trHeight w:val="497" w:hRule="atLeast"/>
        </w:trPr>
        <w:tc>
          <w:tcPr>
            <w:tcW w:w="54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4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3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2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5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094" w:type="dxa"/>
            <w:tcBorders>
              <w:top w:val="single" w:color="auto" w:sz="4" w:space="0"/>
              <w:left w:val="single" w:color="auto" w:sz="4" w:space="0"/>
              <w:bottom w:val="single" w:color="auto" w:sz="4" w:space="0"/>
              <w:right w:val="single" w:color="auto" w:sz="4" w:space="0"/>
            </w:tcBorders>
          </w:tcPr>
          <w:p>
            <w:pPr>
              <w:spacing w:line="500" w:lineRule="exact"/>
              <w:jc w:val="center"/>
              <w:rPr>
                <w:szCs w:val="21"/>
                <w:u w:val="single"/>
              </w:rPr>
            </w:pPr>
          </w:p>
        </w:tc>
        <w:tc>
          <w:tcPr>
            <w:tcW w:w="9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r>
        <w:tblPrEx>
          <w:tblCellMar>
            <w:top w:w="0" w:type="dxa"/>
            <w:left w:w="108" w:type="dxa"/>
            <w:bottom w:w="0" w:type="dxa"/>
            <w:right w:w="108" w:type="dxa"/>
          </w:tblCellMar>
        </w:tblPrEx>
        <w:trPr>
          <w:trHeight w:val="497" w:hRule="atLeast"/>
        </w:trPr>
        <w:tc>
          <w:tcPr>
            <w:tcW w:w="54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4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3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2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5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094" w:type="dxa"/>
            <w:tcBorders>
              <w:top w:val="single" w:color="auto" w:sz="4" w:space="0"/>
              <w:left w:val="single" w:color="auto" w:sz="4" w:space="0"/>
              <w:bottom w:val="single" w:color="auto" w:sz="4" w:space="0"/>
              <w:right w:val="single" w:color="auto" w:sz="4" w:space="0"/>
            </w:tcBorders>
          </w:tcPr>
          <w:p>
            <w:pPr>
              <w:spacing w:line="500" w:lineRule="exact"/>
              <w:jc w:val="left"/>
              <w:rPr>
                <w:szCs w:val="21"/>
                <w:u w:val="single"/>
              </w:rPr>
            </w:pPr>
          </w:p>
        </w:tc>
        <w:tc>
          <w:tcPr>
            <w:tcW w:w="9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r>
        <w:tblPrEx>
          <w:tblCellMar>
            <w:top w:w="0" w:type="dxa"/>
            <w:left w:w="108" w:type="dxa"/>
            <w:bottom w:w="0" w:type="dxa"/>
            <w:right w:w="108" w:type="dxa"/>
          </w:tblCellMar>
        </w:tblPrEx>
        <w:trPr>
          <w:trHeight w:val="497" w:hRule="atLeast"/>
        </w:trPr>
        <w:tc>
          <w:tcPr>
            <w:tcW w:w="54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4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3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2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5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094" w:type="dxa"/>
            <w:tcBorders>
              <w:top w:val="single" w:color="auto" w:sz="4" w:space="0"/>
              <w:left w:val="single" w:color="auto" w:sz="4" w:space="0"/>
              <w:bottom w:val="single" w:color="auto" w:sz="4" w:space="0"/>
              <w:right w:val="single" w:color="auto" w:sz="4" w:space="0"/>
            </w:tcBorders>
          </w:tcPr>
          <w:p>
            <w:pPr>
              <w:spacing w:line="500" w:lineRule="exact"/>
              <w:jc w:val="left"/>
              <w:rPr>
                <w:szCs w:val="21"/>
                <w:u w:val="single"/>
              </w:rPr>
            </w:pPr>
          </w:p>
        </w:tc>
        <w:tc>
          <w:tcPr>
            <w:tcW w:w="9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r>
        <w:tblPrEx>
          <w:tblCellMar>
            <w:top w:w="0" w:type="dxa"/>
            <w:left w:w="108" w:type="dxa"/>
            <w:bottom w:w="0" w:type="dxa"/>
            <w:right w:w="108" w:type="dxa"/>
          </w:tblCellMar>
        </w:tblPrEx>
        <w:trPr>
          <w:trHeight w:val="497" w:hRule="atLeast"/>
        </w:trPr>
        <w:tc>
          <w:tcPr>
            <w:tcW w:w="54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4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3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2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5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094" w:type="dxa"/>
            <w:tcBorders>
              <w:top w:val="single" w:color="auto" w:sz="4" w:space="0"/>
              <w:left w:val="single" w:color="auto" w:sz="4" w:space="0"/>
              <w:bottom w:val="single" w:color="auto" w:sz="4" w:space="0"/>
              <w:right w:val="single" w:color="auto" w:sz="4" w:space="0"/>
            </w:tcBorders>
          </w:tcPr>
          <w:p>
            <w:pPr>
              <w:spacing w:line="500" w:lineRule="exact"/>
              <w:jc w:val="left"/>
              <w:rPr>
                <w:szCs w:val="21"/>
                <w:u w:val="single"/>
              </w:rPr>
            </w:pPr>
          </w:p>
        </w:tc>
        <w:tc>
          <w:tcPr>
            <w:tcW w:w="9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r>
        <w:tblPrEx>
          <w:tblCellMar>
            <w:top w:w="0" w:type="dxa"/>
            <w:left w:w="108" w:type="dxa"/>
            <w:bottom w:w="0" w:type="dxa"/>
            <w:right w:w="108" w:type="dxa"/>
          </w:tblCellMar>
        </w:tblPrEx>
        <w:trPr>
          <w:trHeight w:val="497" w:hRule="atLeast"/>
        </w:trPr>
        <w:tc>
          <w:tcPr>
            <w:tcW w:w="54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4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3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2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5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094" w:type="dxa"/>
            <w:tcBorders>
              <w:top w:val="single" w:color="auto" w:sz="4" w:space="0"/>
              <w:left w:val="single" w:color="auto" w:sz="4" w:space="0"/>
              <w:bottom w:val="single" w:color="auto" w:sz="4" w:space="0"/>
              <w:right w:val="single" w:color="auto" w:sz="4" w:space="0"/>
            </w:tcBorders>
          </w:tcPr>
          <w:p>
            <w:pPr>
              <w:spacing w:line="500" w:lineRule="exact"/>
              <w:jc w:val="left"/>
              <w:rPr>
                <w:szCs w:val="21"/>
                <w:u w:val="single"/>
              </w:rPr>
            </w:pPr>
          </w:p>
        </w:tc>
        <w:tc>
          <w:tcPr>
            <w:tcW w:w="9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r>
        <w:tblPrEx>
          <w:tblCellMar>
            <w:top w:w="0" w:type="dxa"/>
            <w:left w:w="108" w:type="dxa"/>
            <w:bottom w:w="0" w:type="dxa"/>
            <w:right w:w="108" w:type="dxa"/>
          </w:tblCellMar>
        </w:tblPrEx>
        <w:trPr>
          <w:trHeight w:val="497" w:hRule="atLeast"/>
        </w:trPr>
        <w:tc>
          <w:tcPr>
            <w:tcW w:w="54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4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3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2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5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094" w:type="dxa"/>
            <w:tcBorders>
              <w:top w:val="single" w:color="auto" w:sz="4" w:space="0"/>
              <w:left w:val="single" w:color="auto" w:sz="4" w:space="0"/>
              <w:bottom w:val="single" w:color="auto" w:sz="4" w:space="0"/>
              <w:right w:val="single" w:color="auto" w:sz="4" w:space="0"/>
            </w:tcBorders>
          </w:tcPr>
          <w:p>
            <w:pPr>
              <w:spacing w:line="500" w:lineRule="exact"/>
              <w:jc w:val="left"/>
              <w:rPr>
                <w:szCs w:val="21"/>
                <w:u w:val="single"/>
              </w:rPr>
            </w:pPr>
          </w:p>
        </w:tc>
        <w:tc>
          <w:tcPr>
            <w:tcW w:w="9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r>
        <w:tblPrEx>
          <w:tblCellMar>
            <w:top w:w="0" w:type="dxa"/>
            <w:left w:w="108" w:type="dxa"/>
            <w:bottom w:w="0" w:type="dxa"/>
            <w:right w:w="108" w:type="dxa"/>
          </w:tblCellMar>
        </w:tblPrEx>
        <w:trPr>
          <w:trHeight w:val="460" w:hRule="atLeast"/>
        </w:trPr>
        <w:tc>
          <w:tcPr>
            <w:tcW w:w="54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4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83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2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5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094" w:type="dxa"/>
            <w:tcBorders>
              <w:top w:val="single" w:color="auto" w:sz="4" w:space="0"/>
              <w:left w:val="single" w:color="auto" w:sz="4" w:space="0"/>
              <w:bottom w:val="single" w:color="auto" w:sz="4" w:space="0"/>
              <w:right w:val="single" w:color="auto" w:sz="4" w:space="0"/>
            </w:tcBorders>
          </w:tcPr>
          <w:p>
            <w:pPr>
              <w:spacing w:line="500" w:lineRule="exact"/>
              <w:jc w:val="left"/>
              <w:rPr>
                <w:szCs w:val="21"/>
                <w:u w:val="single"/>
              </w:rPr>
            </w:pPr>
          </w:p>
        </w:tc>
        <w:tc>
          <w:tcPr>
            <w:tcW w:w="9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bl>
    <w:p>
      <w:pPr>
        <w:spacing w:line="360" w:lineRule="auto"/>
      </w:pPr>
    </w:p>
    <w:p>
      <w:pPr>
        <w:spacing w:line="360" w:lineRule="auto"/>
        <w:rPr>
          <w:u w:val="single"/>
        </w:rPr>
      </w:pPr>
      <w:r>
        <w:rPr>
          <w:rFonts w:hint="eastAsia"/>
        </w:rPr>
        <w:t>投标人代表：</w:t>
      </w:r>
      <w:r>
        <w:rPr>
          <w:rFonts w:hint="eastAsia"/>
          <w:u w:val="single"/>
        </w:rPr>
        <w:t xml:space="preserve">         </w:t>
      </w:r>
      <w:r>
        <w:rPr>
          <w:rFonts w:hint="eastAsia"/>
        </w:rPr>
        <w:t xml:space="preserve"> 招标人代表：</w:t>
      </w:r>
      <w:r>
        <w:rPr>
          <w:rFonts w:hint="eastAsia"/>
          <w:u w:val="single"/>
        </w:rPr>
        <w:t xml:space="preserve">           </w:t>
      </w:r>
      <w:r>
        <w:rPr>
          <w:rFonts w:hint="eastAsia"/>
        </w:rPr>
        <w:t xml:space="preserve">  监标人：</w:t>
      </w:r>
      <w:r>
        <w:rPr>
          <w:rFonts w:hint="eastAsia"/>
          <w:u w:val="single"/>
        </w:rPr>
        <w:t xml:space="preserve">         </w:t>
      </w:r>
      <w:r>
        <w:rPr>
          <w:rFonts w:hint="eastAsia"/>
        </w:rPr>
        <w:t xml:space="preserve"> 记录人：</w:t>
      </w:r>
      <w:r>
        <w:rPr>
          <w:rFonts w:hint="eastAsia"/>
          <w:u w:val="single"/>
        </w:rPr>
        <w:t xml:space="preserve">              </w:t>
      </w:r>
    </w:p>
    <w:p>
      <w:pPr>
        <w:pStyle w:val="4"/>
        <w:spacing w:line="360" w:lineRule="auto"/>
        <w:rPr>
          <w:rFonts w:eastAsia="黑体"/>
          <w:kern w:val="2"/>
          <w:sz w:val="32"/>
          <w:szCs w:val="32"/>
        </w:rPr>
      </w:pPr>
      <w:bookmarkStart w:id="1804" w:name="_Toc402880882"/>
      <w:bookmarkStart w:id="1805" w:name="_Toc422925643"/>
      <w:bookmarkStart w:id="1806" w:name="_Toc436215775"/>
      <w:bookmarkStart w:id="1807" w:name="_Toc435178417"/>
      <w:r>
        <w:br w:type="page"/>
      </w:r>
      <w:bookmarkStart w:id="1808" w:name="_Toc16337"/>
      <w:bookmarkStart w:id="1809" w:name="_Toc31688"/>
      <w:bookmarkStart w:id="1810" w:name="_Toc496601976"/>
      <w:bookmarkStart w:id="1811" w:name="_Toc9621"/>
      <w:bookmarkStart w:id="1812" w:name="_Toc26350"/>
      <w:bookmarkStart w:id="1813" w:name="_Toc21644"/>
      <w:bookmarkStart w:id="1814" w:name="_Toc22621"/>
      <w:bookmarkStart w:id="1815" w:name="_Toc720"/>
      <w:bookmarkStart w:id="1816" w:name="_Toc15090"/>
      <w:bookmarkStart w:id="1817" w:name="_Toc8402"/>
      <w:bookmarkStart w:id="1818" w:name="_Toc65"/>
      <w:bookmarkStart w:id="1819" w:name="_Toc21236"/>
      <w:bookmarkStart w:id="1820" w:name="_Toc27630"/>
      <w:bookmarkStart w:id="1821" w:name="_Toc22057"/>
      <w:bookmarkStart w:id="1822" w:name="_Toc14165"/>
      <w:bookmarkStart w:id="1823" w:name="_Toc21635"/>
      <w:bookmarkStart w:id="1824" w:name="_Toc25397"/>
      <w:bookmarkStart w:id="1825" w:name="_Toc18617"/>
      <w:bookmarkStart w:id="1826" w:name="_Toc22879"/>
      <w:bookmarkStart w:id="1827" w:name="_Toc8138"/>
      <w:bookmarkStart w:id="1828" w:name="_Toc27498"/>
      <w:bookmarkStart w:id="1829" w:name="_Toc7435"/>
      <w:bookmarkStart w:id="1830" w:name="_Toc18593"/>
      <w:bookmarkStart w:id="1831" w:name="_Toc10428"/>
      <w:bookmarkStart w:id="1832" w:name="_Toc496601982"/>
      <w:bookmarkStart w:id="1833" w:name="_Toc24293"/>
      <w:r>
        <w:rPr>
          <w:rFonts w:hint="eastAsia"/>
        </w:rPr>
        <w:t xml:space="preserve">    </w:t>
      </w:r>
      <w:bookmarkStart w:id="1834" w:name="_Toc17849"/>
      <w:bookmarkStart w:id="1835" w:name="_Toc30385"/>
      <w:bookmarkStart w:id="1836" w:name="OLE_LINK4"/>
      <w:bookmarkStart w:id="1837" w:name="_Toc14991"/>
      <w:bookmarkStart w:id="1838" w:name="_Toc7978"/>
      <w:bookmarkStart w:id="1839" w:name="_Toc13356"/>
      <w:bookmarkStart w:id="1840" w:name="_Toc23848"/>
      <w:bookmarkStart w:id="1841" w:name="_Toc32245"/>
      <w:bookmarkStart w:id="1842" w:name="_Toc32216"/>
      <w:bookmarkStart w:id="1843" w:name="_Toc8722"/>
      <w:bookmarkStart w:id="1844" w:name="_Toc3659"/>
      <w:bookmarkStart w:id="1845" w:name="_Toc17390"/>
      <w:bookmarkStart w:id="1846" w:name="_Toc20984"/>
      <w:bookmarkStart w:id="1847" w:name="_Toc19531"/>
      <w:bookmarkStart w:id="1848" w:name="_Toc400"/>
      <w:bookmarkStart w:id="1849" w:name="_Toc17373"/>
      <w:bookmarkStart w:id="1850" w:name="_Toc10740"/>
      <w:bookmarkStart w:id="1851" w:name="_Toc13750"/>
      <w:bookmarkStart w:id="1852" w:name="_Toc32752"/>
      <w:r>
        <w:rPr>
          <w:rFonts w:hint="eastAsia"/>
        </w:rPr>
        <w:t>第三章 评审办法（综合评估法）</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5"/>
        <w:spacing w:before="20" w:after="20" w:line="360" w:lineRule="auto"/>
      </w:pPr>
      <w:bookmarkStart w:id="1853" w:name="_Toc3358"/>
      <w:bookmarkStart w:id="1854" w:name="_Toc18733"/>
      <w:bookmarkStart w:id="1855" w:name="_Toc29346"/>
      <w:bookmarkStart w:id="1856" w:name="_Toc30332"/>
      <w:bookmarkStart w:id="1857" w:name="_Toc31129"/>
      <w:bookmarkStart w:id="1858" w:name="_Toc26374"/>
      <w:bookmarkStart w:id="1859" w:name="_Toc10408"/>
      <w:bookmarkStart w:id="1860" w:name="_Toc2174"/>
      <w:bookmarkStart w:id="1861" w:name="_Toc20595"/>
      <w:bookmarkStart w:id="1862" w:name="_Toc26093"/>
      <w:bookmarkStart w:id="1863" w:name="_Toc21916"/>
      <w:bookmarkStart w:id="1864" w:name="_Toc6668"/>
      <w:bookmarkStart w:id="1865" w:name="_Toc28717"/>
      <w:bookmarkStart w:id="1866" w:name="_Toc5218"/>
      <w:bookmarkStart w:id="1867" w:name="_Toc7316"/>
      <w:bookmarkStart w:id="1868" w:name="_Toc10055"/>
      <w:bookmarkStart w:id="1869" w:name="_Toc23402"/>
      <w:bookmarkStart w:id="1870" w:name="_Toc24487"/>
      <w:bookmarkStart w:id="1871" w:name="_Toc13731"/>
      <w:bookmarkStart w:id="1872" w:name="_Toc27503"/>
      <w:bookmarkStart w:id="1873" w:name="_Toc579"/>
      <w:bookmarkStart w:id="1874" w:name="_Toc32475"/>
      <w:bookmarkStart w:id="1875" w:name="_Toc11831"/>
      <w:bookmarkStart w:id="1876" w:name="_Toc28669"/>
      <w:bookmarkStart w:id="1877" w:name="_Toc19219"/>
      <w:bookmarkStart w:id="1878" w:name="_Toc496601983"/>
      <w:bookmarkStart w:id="1879" w:name="_Toc32302"/>
      <w:bookmarkStart w:id="1880" w:name="_Toc7588"/>
      <w:bookmarkStart w:id="1881" w:name="_Toc19719"/>
      <w:bookmarkStart w:id="1882" w:name="_Toc28166"/>
      <w:bookmarkStart w:id="1883" w:name="_Toc25611"/>
      <w:bookmarkStart w:id="1884" w:name="_Toc4665"/>
      <w:bookmarkStart w:id="1885" w:name="_Toc6325"/>
      <w:bookmarkStart w:id="1886" w:name="_Toc7895"/>
      <w:bookmarkStart w:id="1887" w:name="_Toc15074"/>
      <w:bookmarkStart w:id="1888" w:name="_Toc17602"/>
      <w:bookmarkStart w:id="1889" w:name="_Toc30719"/>
      <w:bookmarkStart w:id="1890" w:name="_Toc31659"/>
      <w:bookmarkStart w:id="1891" w:name="_Toc15131"/>
      <w:bookmarkStart w:id="1892" w:name="_Toc4740"/>
      <w:bookmarkStart w:id="1893" w:name="_Toc32598"/>
      <w:bookmarkStart w:id="1894" w:name="_Toc9619"/>
      <w:bookmarkStart w:id="1895" w:name="_Toc15725"/>
      <w:bookmarkStart w:id="1896" w:name="_Toc1888"/>
      <w:bookmarkStart w:id="1897" w:name="_Toc28711"/>
      <w:bookmarkStart w:id="1898" w:name="_Toc28671"/>
      <w:bookmarkStart w:id="1899" w:name="_Toc422925640"/>
      <w:bookmarkStart w:id="1900" w:name="_Toc436215772"/>
      <w:bookmarkStart w:id="1901" w:name="_Toc10747"/>
      <w:bookmarkStart w:id="1902" w:name="_Toc435178414"/>
      <w:bookmarkStart w:id="1903" w:name="_Toc20099"/>
      <w:bookmarkStart w:id="1904" w:name="_Toc496601977"/>
      <w:r>
        <w:rPr>
          <w:rFonts w:hint="eastAsia"/>
        </w:rPr>
        <w:t>1. 评审方法</w:t>
      </w:r>
      <w:bookmarkEnd w:id="1853"/>
      <w:bookmarkEnd w:id="1854"/>
      <w:r>
        <w:rPr>
          <w:rFonts w:hint="eastAsia"/>
        </w:rPr>
        <w:t>：综合评估法（适用于所有标段）</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spacing w:line="360" w:lineRule="auto"/>
        <w:ind w:firstLine="424" w:firstLineChars="202"/>
      </w:pPr>
      <w:r>
        <w:t>本次评</w:t>
      </w:r>
      <w:r>
        <w:rPr>
          <w:rFonts w:hint="eastAsia"/>
        </w:rPr>
        <w:t>审</w:t>
      </w:r>
      <w:r>
        <w:t>采用综合</w:t>
      </w:r>
      <w:r>
        <w:rPr>
          <w:rFonts w:hint="eastAsia"/>
        </w:rPr>
        <w:t>评估</w:t>
      </w:r>
      <w:r>
        <w:t>法。</w:t>
      </w:r>
    </w:p>
    <w:p>
      <w:pPr>
        <w:numPr>
          <w:ilvl w:val="1"/>
          <w:numId w:val="2"/>
        </w:numPr>
        <w:spacing w:line="360" w:lineRule="auto"/>
        <w:ind w:left="424" w:leftChars="202"/>
      </w:pPr>
      <w:r>
        <w:rPr>
          <w:rFonts w:hint="eastAsia"/>
        </w:rPr>
        <w:t>投标文件有效性审查：投标文件完全符合本章附表《资格性和有效性审查表》的审</w:t>
      </w:r>
    </w:p>
    <w:p>
      <w:pPr>
        <w:numPr>
          <w:ilvl w:val="255"/>
          <w:numId w:val="0"/>
        </w:numPr>
        <w:spacing w:line="360" w:lineRule="auto"/>
      </w:pPr>
      <w:r>
        <w:rPr>
          <w:rFonts w:hint="eastAsia"/>
        </w:rPr>
        <w:t>查标准要求的，为有效投标文件，否则为无效投标文件。经评标委员会认定为无效投标文件的，其投标文件将被剔除，不得进入下一步评标。</w:t>
      </w:r>
    </w:p>
    <w:p>
      <w:pPr>
        <w:pStyle w:val="40"/>
        <w:tabs>
          <w:tab w:val="left" w:pos="420"/>
        </w:tabs>
        <w:spacing w:line="360" w:lineRule="auto"/>
        <w:ind w:firstLineChars="200"/>
        <w:rPr>
          <w:sz w:val="21"/>
          <w:szCs w:val="24"/>
        </w:rPr>
      </w:pPr>
      <w:r>
        <w:rPr>
          <w:rFonts w:hint="eastAsia"/>
          <w:sz w:val="21"/>
          <w:szCs w:val="24"/>
        </w:rPr>
        <w:t>1.2详细评审：投标人通过资格性和有效性审查后，评标委员会根据本章第2.2款规定的评分标准进行打分，标段1推荐2名得分排名第一和第二的投标人为</w:t>
      </w:r>
      <w:r>
        <w:rPr>
          <w:rFonts w:hint="eastAsia"/>
          <w:sz w:val="21"/>
          <w:szCs w:val="24"/>
          <w:lang w:eastAsia="zh-CN"/>
        </w:rPr>
        <w:t>中标</w:t>
      </w:r>
      <w:r>
        <w:rPr>
          <w:rFonts w:hint="eastAsia"/>
          <w:sz w:val="21"/>
          <w:szCs w:val="24"/>
        </w:rPr>
        <w:t>候选人，标段</w:t>
      </w:r>
      <w:r>
        <w:rPr>
          <w:rFonts w:hint="eastAsia"/>
          <w:sz w:val="21"/>
          <w:szCs w:val="24"/>
          <w:lang w:val="en-US" w:eastAsia="zh-CN"/>
        </w:rPr>
        <w:t>2</w:t>
      </w:r>
      <w:r>
        <w:rPr>
          <w:rFonts w:hint="eastAsia"/>
          <w:sz w:val="21"/>
          <w:szCs w:val="24"/>
        </w:rPr>
        <w:t>、标段</w:t>
      </w:r>
      <w:r>
        <w:rPr>
          <w:rFonts w:hint="eastAsia"/>
          <w:sz w:val="21"/>
          <w:szCs w:val="24"/>
          <w:lang w:val="en-US" w:eastAsia="zh-CN"/>
        </w:rPr>
        <w:t>3</w:t>
      </w:r>
      <w:r>
        <w:rPr>
          <w:rFonts w:hint="eastAsia"/>
          <w:sz w:val="21"/>
          <w:szCs w:val="24"/>
        </w:rPr>
        <w:t>各推荐1名得分排名第一的投标人为</w:t>
      </w:r>
      <w:r>
        <w:rPr>
          <w:rFonts w:hint="eastAsia"/>
          <w:sz w:val="21"/>
          <w:szCs w:val="24"/>
          <w:lang w:eastAsia="zh-CN"/>
        </w:rPr>
        <w:t>中标</w:t>
      </w:r>
      <w:r>
        <w:rPr>
          <w:rFonts w:hint="eastAsia"/>
          <w:sz w:val="21"/>
          <w:szCs w:val="24"/>
        </w:rPr>
        <w:t>候选人，但投标报价低于其成本的除外。综合评分相等时，按投标报价由低至高确定排序的先后，投标报价也相同时，则由评委投票确定排序的先后。</w:t>
      </w:r>
    </w:p>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Pr>
        <w:pStyle w:val="5"/>
        <w:spacing w:before="20" w:after="20" w:line="360" w:lineRule="auto"/>
      </w:pPr>
      <w:bookmarkStart w:id="1905" w:name="_Toc29498"/>
      <w:bookmarkStart w:id="1906" w:name="_Toc27317"/>
      <w:bookmarkStart w:id="1907" w:name="_Toc32211"/>
      <w:bookmarkStart w:id="1908" w:name="_Toc15358"/>
      <w:bookmarkStart w:id="1909" w:name="_Toc21980"/>
      <w:bookmarkStart w:id="1910" w:name="_Toc6064"/>
      <w:bookmarkStart w:id="1911" w:name="_Toc29521"/>
      <w:bookmarkStart w:id="1912" w:name="_Toc25910"/>
      <w:bookmarkStart w:id="1913" w:name="_Toc31445"/>
      <w:bookmarkStart w:id="1914" w:name="_Toc4181"/>
      <w:bookmarkStart w:id="1915" w:name="_Toc4459"/>
      <w:bookmarkStart w:id="1916" w:name="_Toc19423"/>
      <w:bookmarkStart w:id="1917" w:name="_Toc12521"/>
      <w:bookmarkStart w:id="1918" w:name="_Toc7343"/>
      <w:bookmarkStart w:id="1919" w:name="_Toc14003"/>
      <w:bookmarkStart w:id="1920" w:name="_Toc152"/>
      <w:bookmarkStart w:id="1921" w:name="_Toc2279"/>
      <w:bookmarkStart w:id="1922" w:name="_Toc29758"/>
      <w:bookmarkStart w:id="1923" w:name="_Toc10555"/>
      <w:bookmarkStart w:id="1924" w:name="_Toc29730"/>
      <w:bookmarkStart w:id="1925" w:name="_Toc14650"/>
      <w:bookmarkStart w:id="1926" w:name="_Toc13281"/>
      <w:bookmarkStart w:id="1927" w:name="_Toc18137"/>
      <w:bookmarkStart w:id="1928" w:name="_Toc24946"/>
      <w:bookmarkStart w:id="1929" w:name="_Toc22889"/>
      <w:bookmarkStart w:id="1930" w:name="_Toc31697"/>
      <w:bookmarkStart w:id="1931" w:name="_Toc1814"/>
      <w:bookmarkStart w:id="1932" w:name="_Toc16242"/>
      <w:bookmarkStart w:id="1933" w:name="_Toc28501"/>
      <w:bookmarkStart w:id="1934" w:name="_Toc18020"/>
      <w:bookmarkStart w:id="1935" w:name="_Toc15569"/>
      <w:bookmarkStart w:id="1936" w:name="_Toc18091"/>
      <w:bookmarkStart w:id="1937" w:name="_Toc29932"/>
      <w:bookmarkStart w:id="1938" w:name="_Toc20628"/>
      <w:bookmarkStart w:id="1939" w:name="_Toc23334"/>
      <w:bookmarkStart w:id="1940" w:name="_Toc19022"/>
      <w:bookmarkStart w:id="1941" w:name="_Toc496601984"/>
      <w:bookmarkStart w:id="1942" w:name="_Toc24824"/>
      <w:bookmarkStart w:id="1943" w:name="_Toc24841"/>
      <w:bookmarkStart w:id="1944" w:name="_Toc17191"/>
      <w:bookmarkStart w:id="1945" w:name="_Toc30894"/>
      <w:r>
        <w:t>2. 评审标准</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numPr>
          <w:ilvl w:val="0"/>
          <w:numId w:val="3"/>
        </w:numPr>
        <w:spacing w:line="400" w:lineRule="exact"/>
        <w:ind w:left="0" w:firstLine="426"/>
        <w:rPr>
          <w:rFonts w:hint="eastAsia" w:ascii="宋体" w:hAnsi="宋体" w:cs="宋体"/>
        </w:rPr>
      </w:pPr>
      <w:r>
        <w:rPr>
          <w:rFonts w:hint="eastAsia" w:ascii="宋体" w:hAnsi="宋体" w:cs="宋体"/>
        </w:rPr>
        <w:t>初步评审标准</w:t>
      </w:r>
    </w:p>
    <w:p>
      <w:pPr>
        <w:autoSpaceDE w:val="0"/>
        <w:autoSpaceDN w:val="0"/>
        <w:adjustRightInd w:val="0"/>
        <w:spacing w:line="400" w:lineRule="exact"/>
        <w:ind w:firstLine="420" w:firstLineChars="200"/>
        <w:jc w:val="left"/>
        <w:rPr>
          <w:rFonts w:hint="eastAsia" w:ascii="宋体" w:hAnsi="宋体" w:cs="宋体"/>
          <w:kern w:val="0"/>
          <w:szCs w:val="21"/>
        </w:rPr>
      </w:pPr>
      <w:r>
        <w:rPr>
          <w:rFonts w:hint="eastAsia" w:ascii="宋体" w:hAnsi="宋体" w:cs="宋体"/>
          <w:kern w:val="0"/>
          <w:szCs w:val="21"/>
        </w:rPr>
        <w:t>2.1.1 资格性评审标准：见附表一；</w:t>
      </w:r>
    </w:p>
    <w:p>
      <w:pPr>
        <w:autoSpaceDE w:val="0"/>
        <w:autoSpaceDN w:val="0"/>
        <w:adjustRightInd w:val="0"/>
        <w:spacing w:line="400" w:lineRule="exact"/>
        <w:ind w:firstLine="420" w:firstLineChars="200"/>
        <w:jc w:val="left"/>
        <w:rPr>
          <w:rFonts w:hint="eastAsia" w:ascii="宋体" w:hAnsi="宋体" w:cs="宋体"/>
          <w:kern w:val="0"/>
          <w:szCs w:val="21"/>
        </w:rPr>
      </w:pPr>
      <w:r>
        <w:rPr>
          <w:rFonts w:hint="eastAsia" w:ascii="宋体" w:hAnsi="宋体" w:cs="宋体"/>
          <w:kern w:val="0"/>
          <w:szCs w:val="21"/>
        </w:rPr>
        <w:t>2.1.2 有效性评审标准：见附表一。</w:t>
      </w:r>
    </w:p>
    <w:p>
      <w:pPr>
        <w:numPr>
          <w:ilvl w:val="255"/>
          <w:numId w:val="0"/>
        </w:numPr>
        <w:spacing w:line="400" w:lineRule="exact"/>
        <w:jc w:val="left"/>
        <w:rPr>
          <w:rFonts w:hint="eastAsia" w:ascii="宋体" w:hAnsi="宋体" w:cs="宋体"/>
          <w:kern w:val="0"/>
          <w:szCs w:val="21"/>
        </w:rPr>
      </w:pPr>
      <w:r>
        <w:rPr>
          <w:rFonts w:hint="eastAsia" w:ascii="宋体" w:hAnsi="宋体" w:cs="宋体"/>
        </w:rPr>
        <w:t xml:space="preserve">    2.2  分值构成与评分标准：</w:t>
      </w:r>
      <w:r>
        <w:rPr>
          <w:rFonts w:hint="eastAsia" w:ascii="宋体" w:hAnsi="宋体" w:cs="宋体"/>
          <w:kern w:val="0"/>
          <w:szCs w:val="21"/>
        </w:rPr>
        <w:t>见附表二。</w:t>
      </w:r>
    </w:p>
    <w:p>
      <w:pPr>
        <w:pStyle w:val="5"/>
        <w:spacing w:before="20" w:after="20" w:line="360" w:lineRule="auto"/>
      </w:pPr>
      <w:bookmarkStart w:id="1946" w:name="_Toc25111"/>
      <w:bookmarkStart w:id="1947" w:name="_Toc28861"/>
      <w:bookmarkStart w:id="1948" w:name="_Toc29574"/>
      <w:bookmarkStart w:id="1949" w:name="_Toc18935"/>
      <w:bookmarkStart w:id="1950" w:name="_Toc12063"/>
      <w:bookmarkStart w:id="1951" w:name="_Toc4905"/>
      <w:bookmarkStart w:id="1952" w:name="_Toc11928"/>
      <w:bookmarkStart w:id="1953" w:name="_Toc4827"/>
      <w:bookmarkStart w:id="1954" w:name="_Toc23171"/>
      <w:bookmarkStart w:id="1955" w:name="_Toc23497"/>
      <w:bookmarkStart w:id="1956" w:name="_Toc28420"/>
      <w:bookmarkStart w:id="1957" w:name="_Toc25389"/>
      <w:bookmarkStart w:id="1958" w:name="_Toc20570"/>
      <w:bookmarkStart w:id="1959" w:name="_Toc14402"/>
      <w:bookmarkStart w:id="1960" w:name="_Toc31159"/>
      <w:bookmarkStart w:id="1961" w:name="_Toc27019"/>
      <w:bookmarkStart w:id="1962" w:name="_Toc22170"/>
      <w:bookmarkStart w:id="1963" w:name="_Toc18605"/>
      <w:bookmarkStart w:id="1964" w:name="_Toc28217"/>
      <w:bookmarkStart w:id="1965" w:name="_Toc13641"/>
      <w:bookmarkStart w:id="1966" w:name="_Toc17534"/>
      <w:bookmarkStart w:id="1967" w:name="_Toc1587"/>
      <w:bookmarkStart w:id="1968" w:name="_Toc29677"/>
      <w:bookmarkStart w:id="1969" w:name="_Toc19713"/>
      <w:bookmarkStart w:id="1970" w:name="_Toc8057"/>
      <w:bookmarkStart w:id="1971" w:name="_Toc12087"/>
      <w:bookmarkStart w:id="1972" w:name="_Toc16398"/>
      <w:bookmarkStart w:id="1973" w:name="_Toc4510"/>
      <w:bookmarkStart w:id="1974" w:name="_Toc15205"/>
      <w:bookmarkStart w:id="1975" w:name="_Toc12934"/>
      <w:bookmarkStart w:id="1976" w:name="_Toc3778"/>
      <w:bookmarkStart w:id="1977" w:name="_Toc26630"/>
      <w:bookmarkStart w:id="1978" w:name="_Toc31096"/>
      <w:bookmarkStart w:id="1979" w:name="_Toc25350"/>
      <w:bookmarkStart w:id="1980" w:name="_Toc7173"/>
      <w:bookmarkStart w:id="1981" w:name="_Toc11691"/>
      <w:r>
        <w:rPr>
          <w:rFonts w:hint="eastAsia"/>
        </w:rPr>
        <w:t>3. 评审程序</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numPr>
          <w:ilvl w:val="0"/>
          <w:numId w:val="4"/>
        </w:numPr>
        <w:spacing w:line="360" w:lineRule="auto"/>
        <w:ind w:left="0" w:firstLine="426"/>
        <w:rPr>
          <w:rFonts w:hint="eastAsia" w:ascii="宋体" w:hAnsi="宋体" w:cs="宋体"/>
        </w:rPr>
      </w:pPr>
      <w:r>
        <w:rPr>
          <w:rFonts w:hint="eastAsia" w:ascii="宋体" w:hAnsi="宋体" w:cs="宋体"/>
        </w:rPr>
        <w:t>初步评审：</w:t>
      </w:r>
    </w:p>
    <w:p>
      <w:pPr>
        <w:autoSpaceDE w:val="0"/>
        <w:autoSpaceDN w:val="0"/>
        <w:adjustRightInd w:val="0"/>
        <w:spacing w:line="360" w:lineRule="auto"/>
        <w:ind w:firstLine="567" w:firstLineChars="270"/>
        <w:jc w:val="left"/>
        <w:rPr>
          <w:rFonts w:hint="eastAsia" w:ascii="宋体" w:hAnsi="宋体" w:cs="宋体"/>
          <w:kern w:val="0"/>
          <w:szCs w:val="21"/>
        </w:rPr>
      </w:pPr>
      <w:r>
        <w:rPr>
          <w:rFonts w:hint="eastAsia" w:ascii="宋体" w:hAnsi="宋体" w:cs="宋体"/>
          <w:kern w:val="0"/>
          <w:szCs w:val="21"/>
        </w:rPr>
        <w:t>3.1.1 评标委员会依据本章第2.1款规定的标准，先对投标文件进行初步审查。</w:t>
      </w:r>
    </w:p>
    <w:p>
      <w:pPr>
        <w:autoSpaceDE w:val="0"/>
        <w:autoSpaceDN w:val="0"/>
        <w:adjustRightInd w:val="0"/>
        <w:spacing w:line="360" w:lineRule="auto"/>
        <w:ind w:firstLine="567" w:firstLineChars="270"/>
        <w:jc w:val="left"/>
        <w:rPr>
          <w:rFonts w:hint="eastAsia" w:ascii="宋体" w:hAnsi="宋体" w:cs="宋体"/>
          <w:kern w:val="0"/>
          <w:szCs w:val="21"/>
        </w:rPr>
      </w:pPr>
      <w:r>
        <w:rPr>
          <w:rFonts w:hint="eastAsia" w:ascii="宋体" w:hAnsi="宋体" w:cs="宋体"/>
          <w:kern w:val="0"/>
          <w:szCs w:val="21"/>
        </w:rPr>
        <w:t>3.1.2 投标人有以下情形之一的，评标委员会应当否决其投标：</w:t>
      </w:r>
    </w:p>
    <w:p>
      <w:pPr>
        <w:autoSpaceDE w:val="0"/>
        <w:autoSpaceDN w:val="0"/>
        <w:adjustRightInd w:val="0"/>
        <w:spacing w:line="360" w:lineRule="auto"/>
        <w:ind w:firstLine="567" w:firstLineChars="270"/>
        <w:jc w:val="left"/>
        <w:rPr>
          <w:rFonts w:hint="eastAsia" w:ascii="宋体" w:hAnsi="宋体" w:cs="宋体"/>
          <w:kern w:val="0"/>
          <w:szCs w:val="21"/>
        </w:rPr>
      </w:pPr>
      <w:r>
        <w:rPr>
          <w:rFonts w:hint="eastAsia" w:ascii="宋体" w:hAnsi="宋体" w:cs="宋体"/>
          <w:kern w:val="0"/>
          <w:szCs w:val="21"/>
        </w:rPr>
        <w:t>（1）投标文件没有对招标文件的实质性要求和条件作出响应，或者对招标文件的偏差超出招标文件规定的偏差范围或最高项数；</w:t>
      </w:r>
    </w:p>
    <w:p>
      <w:pPr>
        <w:autoSpaceDE w:val="0"/>
        <w:autoSpaceDN w:val="0"/>
        <w:adjustRightInd w:val="0"/>
        <w:spacing w:line="360" w:lineRule="auto"/>
        <w:ind w:firstLine="567" w:firstLineChars="270"/>
        <w:jc w:val="left"/>
        <w:rPr>
          <w:rFonts w:hint="eastAsia" w:ascii="宋体" w:hAnsi="宋体" w:cs="宋体"/>
          <w:kern w:val="0"/>
          <w:szCs w:val="21"/>
        </w:rPr>
      </w:pPr>
      <w:r>
        <w:rPr>
          <w:rFonts w:hint="eastAsia" w:ascii="宋体" w:hAnsi="宋体" w:cs="宋体"/>
          <w:kern w:val="0"/>
          <w:szCs w:val="21"/>
        </w:rPr>
        <w:t>（2）有串通投标、弄虚作假、行贿等违法行为。</w:t>
      </w:r>
    </w:p>
    <w:p>
      <w:pPr>
        <w:autoSpaceDE w:val="0"/>
        <w:autoSpaceDN w:val="0"/>
        <w:adjustRightInd w:val="0"/>
        <w:spacing w:line="360" w:lineRule="auto"/>
        <w:ind w:firstLine="567" w:firstLineChars="270"/>
        <w:jc w:val="left"/>
        <w:rPr>
          <w:rFonts w:hint="eastAsia" w:ascii="宋体" w:hAnsi="宋体" w:cs="宋体"/>
          <w:kern w:val="0"/>
          <w:szCs w:val="21"/>
        </w:rPr>
      </w:pPr>
      <w:r>
        <w:rPr>
          <w:rFonts w:hint="eastAsia" w:ascii="宋体" w:hAnsi="宋体" w:cs="宋体"/>
          <w:kern w:val="0"/>
          <w:szCs w:val="21"/>
        </w:rPr>
        <w:t>3.1.3 投标报价有算术错误及其他错误的，评标委员会按以下原则对投标报价进行修正：</w:t>
      </w:r>
    </w:p>
    <w:p>
      <w:pPr>
        <w:autoSpaceDE w:val="0"/>
        <w:autoSpaceDN w:val="0"/>
        <w:adjustRightInd w:val="0"/>
        <w:spacing w:line="360" w:lineRule="auto"/>
        <w:ind w:firstLine="567" w:firstLineChars="270"/>
        <w:jc w:val="left"/>
        <w:rPr>
          <w:rFonts w:hint="eastAsia" w:ascii="宋体" w:hAnsi="宋体" w:cs="宋体"/>
          <w:kern w:val="0"/>
          <w:szCs w:val="21"/>
        </w:rPr>
      </w:pPr>
      <w:r>
        <w:rPr>
          <w:rFonts w:hint="eastAsia" w:ascii="宋体" w:hAnsi="宋体" w:cs="宋体"/>
          <w:kern w:val="0"/>
          <w:szCs w:val="21"/>
        </w:rPr>
        <w:t>（1）投标文件中唱价一览表（报价表）内容与投标文件中相应内容不一致的，以唱价一览表（报价表）为准。</w:t>
      </w:r>
    </w:p>
    <w:p>
      <w:pPr>
        <w:autoSpaceDE w:val="0"/>
        <w:autoSpaceDN w:val="0"/>
        <w:adjustRightInd w:val="0"/>
        <w:spacing w:line="360" w:lineRule="auto"/>
        <w:ind w:firstLine="567" w:firstLineChars="270"/>
        <w:jc w:val="left"/>
        <w:rPr>
          <w:rFonts w:hint="eastAsia" w:ascii="宋体" w:hAnsi="宋体" w:cs="宋体"/>
          <w:kern w:val="0"/>
          <w:szCs w:val="21"/>
        </w:rPr>
      </w:pPr>
      <w:r>
        <w:rPr>
          <w:rFonts w:hint="eastAsia" w:ascii="宋体" w:hAnsi="宋体" w:cs="宋体"/>
          <w:kern w:val="0"/>
          <w:szCs w:val="21"/>
        </w:rPr>
        <w:t>（2）投标文件中的大写金额与小写金额不一致的，以大写金额为准；</w:t>
      </w:r>
    </w:p>
    <w:p>
      <w:pPr>
        <w:autoSpaceDE w:val="0"/>
        <w:autoSpaceDN w:val="0"/>
        <w:adjustRightInd w:val="0"/>
        <w:spacing w:line="360" w:lineRule="auto"/>
        <w:ind w:firstLine="567" w:firstLineChars="270"/>
        <w:jc w:val="left"/>
        <w:rPr>
          <w:rFonts w:hint="eastAsia" w:ascii="宋体" w:hAnsi="宋体" w:cs="宋体"/>
          <w:kern w:val="0"/>
          <w:szCs w:val="21"/>
        </w:rPr>
      </w:pPr>
      <w:r>
        <w:rPr>
          <w:rFonts w:hint="eastAsia" w:ascii="宋体" w:hAnsi="宋体" w:cs="宋体"/>
          <w:kern w:val="0"/>
          <w:szCs w:val="21"/>
        </w:rPr>
        <w:t>（3）总价金额与单价金额不一致的，以单价金额为准，但单价金额小数点有明显错误的除外；</w:t>
      </w:r>
    </w:p>
    <w:p>
      <w:pPr>
        <w:autoSpaceDE w:val="0"/>
        <w:autoSpaceDN w:val="0"/>
        <w:adjustRightInd w:val="0"/>
        <w:spacing w:line="360" w:lineRule="auto"/>
        <w:ind w:firstLine="567" w:firstLineChars="270"/>
        <w:jc w:val="left"/>
        <w:rPr>
          <w:rFonts w:hint="eastAsia" w:ascii="宋体" w:hAnsi="宋体" w:cs="宋体"/>
          <w:kern w:val="0"/>
          <w:szCs w:val="21"/>
        </w:rPr>
      </w:pPr>
      <w:r>
        <w:rPr>
          <w:rFonts w:hint="eastAsia" w:ascii="宋体" w:hAnsi="宋体" w:cs="宋体"/>
          <w:kern w:val="0"/>
          <w:szCs w:val="21"/>
        </w:rPr>
        <w:t>（4）投标报价为各分项报价金额之和，投标报价与分项报价的合价不一致的，应以各分项合价累计数为准，修正投标报价；</w:t>
      </w:r>
    </w:p>
    <w:p>
      <w:pPr>
        <w:autoSpaceDE w:val="0"/>
        <w:autoSpaceDN w:val="0"/>
        <w:adjustRightInd w:val="0"/>
        <w:spacing w:line="360" w:lineRule="auto"/>
        <w:ind w:firstLine="567" w:firstLineChars="270"/>
        <w:jc w:val="left"/>
        <w:rPr>
          <w:rFonts w:hint="eastAsia" w:ascii="宋体" w:hAnsi="宋体" w:cs="宋体"/>
          <w:kern w:val="0"/>
          <w:szCs w:val="21"/>
        </w:rPr>
      </w:pPr>
      <w:r>
        <w:rPr>
          <w:rFonts w:hint="eastAsia" w:ascii="宋体" w:hAnsi="宋体" w:cs="宋体"/>
          <w:kern w:val="0"/>
          <w:szCs w:val="21"/>
        </w:rPr>
        <w:t>（5）如果分项报价中存在缺漏项，则视为缺漏项价格已包含在其他分项报价之中。</w:t>
      </w:r>
    </w:p>
    <w:p>
      <w:pPr>
        <w:numPr>
          <w:ilvl w:val="0"/>
          <w:numId w:val="4"/>
        </w:numPr>
        <w:spacing w:line="360" w:lineRule="auto"/>
        <w:ind w:left="0" w:firstLine="426"/>
        <w:rPr>
          <w:rFonts w:hint="eastAsia" w:ascii="宋体" w:hAnsi="宋体" w:cs="宋体"/>
        </w:rPr>
      </w:pPr>
      <w:r>
        <w:rPr>
          <w:rFonts w:hint="eastAsia" w:ascii="宋体" w:hAnsi="宋体" w:cs="宋体"/>
        </w:rPr>
        <w:t>详细评审</w:t>
      </w:r>
    </w:p>
    <w:p>
      <w:pPr>
        <w:numPr>
          <w:ilvl w:val="0"/>
          <w:numId w:val="5"/>
        </w:numPr>
        <w:tabs>
          <w:tab w:val="left" w:pos="1134"/>
        </w:tabs>
        <w:spacing w:line="360" w:lineRule="auto"/>
        <w:ind w:left="0" w:firstLine="567"/>
        <w:rPr>
          <w:rFonts w:hint="eastAsia" w:ascii="宋体" w:hAnsi="宋体" w:cs="宋体"/>
        </w:rPr>
      </w:pPr>
      <w:r>
        <w:rPr>
          <w:rFonts w:hint="eastAsia" w:ascii="宋体" w:hAnsi="宋体" w:cs="宋体"/>
        </w:rPr>
        <w:t>按照本办法附表二《分值构成及评分标准》，评委对每个投标人的投标文件进行评价，并汇总每个投标人的得分。</w:t>
      </w:r>
    </w:p>
    <w:p>
      <w:pPr>
        <w:numPr>
          <w:ilvl w:val="0"/>
          <w:numId w:val="5"/>
        </w:numPr>
        <w:tabs>
          <w:tab w:val="left" w:pos="1134"/>
        </w:tabs>
        <w:spacing w:line="360" w:lineRule="auto"/>
        <w:ind w:left="0" w:firstLine="567"/>
        <w:rPr>
          <w:rFonts w:hint="eastAsia" w:ascii="宋体" w:hAnsi="宋体" w:cs="宋体"/>
        </w:rPr>
      </w:pPr>
      <w:r>
        <w:rPr>
          <w:rFonts w:hint="eastAsia" w:ascii="宋体" w:hAnsi="宋体" w:cs="宋体"/>
        </w:rPr>
        <w:t>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选，并否决其投标。</w:t>
      </w:r>
    </w:p>
    <w:p>
      <w:pPr>
        <w:numPr>
          <w:ilvl w:val="0"/>
          <w:numId w:val="4"/>
        </w:numPr>
        <w:spacing w:line="360" w:lineRule="auto"/>
        <w:ind w:left="0" w:firstLine="426"/>
        <w:rPr>
          <w:rFonts w:hint="eastAsia" w:ascii="宋体" w:hAnsi="宋体" w:cs="宋体"/>
        </w:rPr>
      </w:pPr>
      <w:r>
        <w:rPr>
          <w:rFonts w:hint="eastAsia" w:ascii="宋体" w:hAnsi="宋体" w:cs="宋体"/>
        </w:rPr>
        <w:t>投标文件的澄清</w:t>
      </w:r>
    </w:p>
    <w:p>
      <w:pPr>
        <w:autoSpaceDE w:val="0"/>
        <w:autoSpaceDN w:val="0"/>
        <w:adjustRightInd w:val="0"/>
        <w:spacing w:line="360" w:lineRule="auto"/>
        <w:ind w:firstLine="567" w:firstLineChars="270"/>
        <w:jc w:val="left"/>
        <w:rPr>
          <w:rFonts w:hint="eastAsia" w:ascii="宋体" w:hAnsi="宋体" w:cs="宋体"/>
          <w:kern w:val="0"/>
          <w:szCs w:val="21"/>
        </w:rPr>
      </w:pPr>
      <w:r>
        <w:rPr>
          <w:rFonts w:hint="eastAsia" w:ascii="宋体" w:hAnsi="宋体" w:cs="宋体"/>
          <w:kern w:val="0"/>
          <w:szCs w:val="21"/>
        </w:rPr>
        <w:t>3.3.1 在评选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pPr>
        <w:autoSpaceDE w:val="0"/>
        <w:autoSpaceDN w:val="0"/>
        <w:adjustRightInd w:val="0"/>
        <w:spacing w:line="360" w:lineRule="auto"/>
        <w:ind w:firstLine="567" w:firstLineChars="270"/>
        <w:jc w:val="left"/>
        <w:rPr>
          <w:rFonts w:hint="eastAsia" w:ascii="宋体" w:hAnsi="宋体" w:cs="宋体"/>
          <w:kern w:val="0"/>
          <w:szCs w:val="21"/>
        </w:rPr>
      </w:pPr>
      <w:r>
        <w:rPr>
          <w:rFonts w:hint="eastAsia" w:ascii="宋体" w:hAnsi="宋体" w:cs="宋体"/>
          <w:kern w:val="0"/>
          <w:szCs w:val="21"/>
        </w:rPr>
        <w:t>3.3.2 澄清、说明或补正不得超出投标文件的范围且不得改变投标文件的实质性内容，并构成投标文件的组成部分。</w:t>
      </w:r>
    </w:p>
    <w:p>
      <w:pPr>
        <w:tabs>
          <w:tab w:val="left" w:pos="993"/>
        </w:tabs>
        <w:spacing w:line="360" w:lineRule="auto"/>
        <w:ind w:firstLine="567" w:firstLineChars="270"/>
        <w:rPr>
          <w:rFonts w:hint="eastAsia" w:ascii="宋体" w:hAnsi="宋体" w:cs="宋体"/>
        </w:rPr>
      </w:pPr>
      <w:r>
        <w:rPr>
          <w:rFonts w:hint="eastAsia" w:ascii="宋体" w:hAnsi="宋体" w:cs="宋体"/>
          <w:kern w:val="0"/>
          <w:szCs w:val="21"/>
        </w:rPr>
        <w:t>3.3.3 评标委员会对投标人提交的澄清、说明或补正有疑问的，可以要求投标人进一步澄清、说明或补正，直至满足评标委员会的要求。</w:t>
      </w:r>
    </w:p>
    <w:p>
      <w:pPr>
        <w:numPr>
          <w:ilvl w:val="0"/>
          <w:numId w:val="4"/>
        </w:numPr>
        <w:spacing w:line="360" w:lineRule="auto"/>
        <w:ind w:left="0" w:firstLine="426"/>
      </w:pPr>
      <w:r>
        <w:rPr>
          <w:rFonts w:hint="eastAsia" w:ascii="宋体" w:hAnsi="宋体" w:cs="宋体"/>
        </w:rPr>
        <w:t>汇总排序：</w:t>
      </w:r>
      <w:r>
        <w:rPr>
          <w:rFonts w:hint="eastAsia"/>
        </w:rPr>
        <w:t>各评委评分的算术平均值即为该投标人的分项得分。将各分项得分相加得出评审总得分（评审总得分分值按四舍五入原则精确到小数点后两位），评标结果按照总得分从高到低排序。</w:t>
      </w:r>
      <w:r>
        <w:t>综合评分相等时，以投标报价低的优先；投标报价也相等的，</w:t>
      </w:r>
      <w:r>
        <w:rPr>
          <w:rFonts w:hint="eastAsia"/>
        </w:rPr>
        <w:t>由评标委员会投票</w:t>
      </w:r>
      <w:r>
        <w:t>确定</w:t>
      </w:r>
      <w:r>
        <w:rPr>
          <w:rFonts w:hint="eastAsia"/>
        </w:rPr>
        <w:t>排序先后。</w:t>
      </w:r>
    </w:p>
    <w:p>
      <w:pPr>
        <w:numPr>
          <w:ilvl w:val="0"/>
          <w:numId w:val="4"/>
        </w:numPr>
        <w:spacing w:line="360" w:lineRule="auto"/>
        <w:ind w:left="0" w:firstLine="426"/>
        <w:rPr>
          <w:rFonts w:hint="eastAsia" w:ascii="宋体" w:hAnsi="宋体" w:cs="宋体"/>
          <w:b/>
          <w:bCs/>
        </w:rPr>
      </w:pPr>
      <w:r>
        <w:rPr>
          <w:rFonts w:hint="eastAsia" w:ascii="宋体" w:hAnsi="宋体" w:cs="宋体"/>
          <w:b/>
          <w:bCs/>
        </w:rPr>
        <w:t>推荐</w:t>
      </w:r>
      <w:r>
        <w:rPr>
          <w:rFonts w:hint="eastAsia" w:ascii="宋体" w:hAnsi="宋体" w:cs="宋体"/>
          <w:b/>
          <w:bCs/>
          <w:lang w:eastAsia="zh-CN"/>
        </w:rPr>
        <w:t>中标</w:t>
      </w:r>
      <w:r>
        <w:rPr>
          <w:rFonts w:hint="eastAsia" w:ascii="宋体" w:hAnsi="宋体" w:cs="宋体"/>
          <w:b/>
          <w:bCs/>
        </w:rPr>
        <w:t>候选人：评标委员会对标段1推荐2家得分排名第一和第二的投标人为</w:t>
      </w:r>
      <w:r>
        <w:rPr>
          <w:rFonts w:hint="eastAsia" w:ascii="宋体" w:hAnsi="宋体" w:cs="宋体"/>
          <w:b/>
          <w:bCs/>
          <w:lang w:eastAsia="zh-CN"/>
        </w:rPr>
        <w:t>中标</w:t>
      </w:r>
      <w:r>
        <w:rPr>
          <w:rFonts w:hint="eastAsia" w:ascii="宋体" w:hAnsi="宋体" w:cs="宋体"/>
          <w:b/>
          <w:bCs/>
        </w:rPr>
        <w:t>候选人，标段</w:t>
      </w:r>
      <w:r>
        <w:rPr>
          <w:rFonts w:hint="eastAsia" w:ascii="宋体" w:hAnsi="宋体" w:cs="宋体"/>
          <w:b/>
          <w:bCs/>
          <w:lang w:val="en-US" w:eastAsia="zh-CN"/>
        </w:rPr>
        <w:t>2</w:t>
      </w:r>
      <w:r>
        <w:rPr>
          <w:rFonts w:hint="eastAsia" w:ascii="宋体" w:hAnsi="宋体" w:cs="宋体"/>
          <w:b/>
          <w:bCs/>
        </w:rPr>
        <w:t>、标段</w:t>
      </w:r>
      <w:r>
        <w:rPr>
          <w:rFonts w:hint="eastAsia" w:ascii="宋体" w:hAnsi="宋体" w:cs="宋体"/>
          <w:b/>
          <w:bCs/>
          <w:lang w:val="en-US" w:eastAsia="zh-CN"/>
        </w:rPr>
        <w:t>3</w:t>
      </w:r>
      <w:r>
        <w:rPr>
          <w:rFonts w:hint="eastAsia" w:ascii="宋体" w:hAnsi="宋体" w:cs="宋体"/>
          <w:b/>
          <w:bCs/>
        </w:rPr>
        <w:t>各推荐1家得分排名第一的投</w:t>
      </w:r>
      <w:r>
        <w:rPr>
          <w:rFonts w:hint="eastAsia" w:ascii="宋体" w:hAnsi="宋体" w:cs="宋体"/>
          <w:b/>
          <w:bCs/>
          <w:color w:val="auto"/>
        </w:rPr>
        <w:t>标人为</w:t>
      </w:r>
      <w:r>
        <w:rPr>
          <w:rFonts w:hint="eastAsia" w:ascii="宋体" w:hAnsi="宋体" w:cs="宋体"/>
          <w:b/>
          <w:bCs/>
          <w:color w:val="auto"/>
          <w:lang w:eastAsia="zh-CN"/>
        </w:rPr>
        <w:t>中标</w:t>
      </w:r>
      <w:r>
        <w:rPr>
          <w:rFonts w:hint="eastAsia" w:ascii="宋体" w:hAnsi="宋体" w:cs="宋体"/>
          <w:b/>
          <w:bCs/>
          <w:color w:val="auto"/>
        </w:rPr>
        <w:t>候选人，并撰写评</w:t>
      </w:r>
      <w:r>
        <w:rPr>
          <w:rFonts w:hint="eastAsia" w:ascii="宋体" w:hAnsi="宋体" w:cs="宋体"/>
          <w:b/>
          <w:bCs/>
        </w:rPr>
        <w:t>审报告。</w:t>
      </w:r>
    </w:p>
    <w:bookmarkEnd w:id="1941"/>
    <w:bookmarkEnd w:id="1942"/>
    <w:bookmarkEnd w:id="1943"/>
    <w:bookmarkEnd w:id="1944"/>
    <w:bookmarkEnd w:id="1945"/>
    <w:p>
      <w:pPr>
        <w:pStyle w:val="5"/>
        <w:spacing w:before="20" w:after="20" w:line="360" w:lineRule="auto"/>
      </w:pPr>
    </w:p>
    <w:p>
      <w:pPr>
        <w:pStyle w:val="5"/>
        <w:spacing w:before="20" w:after="20" w:line="360" w:lineRule="auto"/>
      </w:pPr>
    </w:p>
    <w:p/>
    <w:p/>
    <w:p/>
    <w:p/>
    <w:p/>
    <w:bookmarkEnd w:id="1898"/>
    <w:bookmarkEnd w:id="1899"/>
    <w:bookmarkEnd w:id="1900"/>
    <w:bookmarkEnd w:id="1901"/>
    <w:bookmarkEnd w:id="1902"/>
    <w:bookmarkEnd w:id="1903"/>
    <w:bookmarkEnd w:id="1904"/>
    <w:p>
      <w:pPr>
        <w:spacing w:line="360" w:lineRule="auto"/>
        <w:rPr>
          <w:rFonts w:hint="eastAsia" w:ascii="宋体" w:hAnsi="宋体" w:cs="宋体"/>
          <w:b/>
          <w:bCs/>
          <w:kern w:val="0"/>
          <w:sz w:val="32"/>
          <w:szCs w:val="32"/>
        </w:rPr>
      </w:pPr>
      <w:bookmarkStart w:id="1982" w:name="_Toc17161"/>
      <w:bookmarkStart w:id="1983" w:name="_Toc24289"/>
      <w:bookmarkStart w:id="1984" w:name="_Toc496601980"/>
      <w:bookmarkStart w:id="1985" w:name="_Toc10967"/>
      <w:bookmarkStart w:id="1986" w:name="_Toc378253562"/>
      <w:bookmarkStart w:id="1987" w:name="_Toc14288"/>
      <w:bookmarkStart w:id="1988" w:name="_Toc377652628"/>
    </w:p>
    <w:p>
      <w:pPr>
        <w:spacing w:line="360" w:lineRule="auto"/>
      </w:pPr>
      <w:r>
        <w:rPr>
          <w:rFonts w:hint="eastAsia" w:ascii="宋体" w:hAnsi="宋体" w:cs="宋体"/>
          <w:b/>
          <w:bCs/>
          <w:kern w:val="0"/>
          <w:sz w:val="32"/>
          <w:szCs w:val="32"/>
        </w:rPr>
        <w:t>附表一：《资格性和有效性审查表》</w:t>
      </w:r>
      <w:bookmarkEnd w:id="1982"/>
      <w:bookmarkEnd w:id="1983"/>
      <w:bookmarkEnd w:id="1984"/>
      <w:bookmarkEnd w:id="1985"/>
      <w:bookmarkEnd w:id="1986"/>
      <w:bookmarkEnd w:id="1987"/>
      <w:bookmarkEnd w:id="1988"/>
    </w:p>
    <w:tbl>
      <w:tblPr>
        <w:tblStyle w:val="41"/>
        <w:tblW w:w="8207" w:type="dxa"/>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387"/>
        <w:gridCol w:w="1593"/>
        <w:gridCol w:w="2160"/>
        <w:gridCol w:w="406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83" w:hRule="atLeast"/>
        </w:trPr>
        <w:tc>
          <w:tcPr>
            <w:tcW w:w="1980" w:type="dxa"/>
            <w:gridSpan w:val="2"/>
            <w:tcBorders>
              <w:top w:val="single" w:color="auto" w:sz="4" w:space="0"/>
              <w:bottom w:val="single" w:color="auto" w:sz="4" w:space="0"/>
              <w:right w:val="single" w:color="auto" w:sz="4" w:space="0"/>
            </w:tcBorders>
            <w:vAlign w:val="center"/>
          </w:tcPr>
          <w:p>
            <w:pPr>
              <w:spacing w:line="360" w:lineRule="auto"/>
              <w:jc w:val="center"/>
              <w:rPr>
                <w:b/>
                <w:sz w:val="24"/>
              </w:rPr>
            </w:pPr>
            <w:r>
              <w:rPr>
                <w:b/>
                <w:sz w:val="24"/>
              </w:rPr>
              <w:t>条款号</w:t>
            </w:r>
          </w:p>
        </w:tc>
        <w:tc>
          <w:tcPr>
            <w:tcW w:w="21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b/>
                <w:sz w:val="24"/>
              </w:rPr>
            </w:pPr>
            <w:r>
              <w:rPr>
                <w:rFonts w:hint="eastAsia"/>
                <w:b/>
                <w:sz w:val="24"/>
              </w:rPr>
              <w:t>审查项目</w:t>
            </w:r>
          </w:p>
        </w:tc>
        <w:tc>
          <w:tcPr>
            <w:tcW w:w="40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b/>
                <w:sz w:val="24"/>
              </w:rPr>
            </w:pPr>
            <w:r>
              <w:rPr>
                <w:rFonts w:hint="eastAsia"/>
                <w:b/>
                <w:sz w:val="24"/>
              </w:rPr>
              <w:t>审查</w:t>
            </w:r>
            <w:r>
              <w:rPr>
                <w:b/>
                <w:sz w:val="24"/>
              </w:rPr>
              <w:t>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71" w:hRule="atLeast"/>
        </w:trPr>
        <w:tc>
          <w:tcPr>
            <w:tcW w:w="1980" w:type="dxa"/>
            <w:gridSpan w:val="2"/>
            <w:tcBorders>
              <w:top w:val="single" w:color="auto" w:sz="4" w:space="0"/>
              <w:bottom w:val="single" w:color="auto" w:sz="4" w:space="0"/>
              <w:right w:val="single" w:color="auto" w:sz="4" w:space="0"/>
            </w:tcBorders>
            <w:vAlign w:val="center"/>
          </w:tcPr>
          <w:p>
            <w:pPr>
              <w:spacing w:line="360" w:lineRule="auto"/>
              <w:jc w:val="center"/>
              <w:rPr>
                <w:rFonts w:hint="eastAsia" w:ascii="宋体" w:hAnsi="宋体" w:cs="宋体"/>
                <w:b/>
                <w:szCs w:val="21"/>
              </w:rPr>
            </w:pPr>
            <w:r>
              <w:rPr>
                <w:rFonts w:hint="eastAsia" w:ascii="宋体" w:hAnsi="宋体" w:cs="宋体"/>
                <w:szCs w:val="21"/>
              </w:rPr>
              <w:t>资格性审查</w:t>
            </w:r>
          </w:p>
        </w:tc>
        <w:tc>
          <w:tcPr>
            <w:tcW w:w="21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投标人资格要求</w:t>
            </w:r>
          </w:p>
        </w:tc>
        <w:tc>
          <w:tcPr>
            <w:tcW w:w="4067"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left"/>
              <w:textAlignment w:val="baseline"/>
              <w:rPr>
                <w:rFonts w:hint="eastAsia" w:ascii="宋体" w:hAnsi="宋体" w:cs="宋体"/>
                <w:szCs w:val="21"/>
              </w:rPr>
            </w:pPr>
            <w:r>
              <w:rPr>
                <w:rFonts w:hint="eastAsia" w:ascii="宋体" w:hAnsi="宋体" w:cs="宋体"/>
              </w:rPr>
              <w:t>符合第一章投标人资格要求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cantSplit/>
          <w:trHeight w:val="583" w:hRule="atLeast"/>
        </w:trPr>
        <w:tc>
          <w:tcPr>
            <w:tcW w:w="387" w:type="dxa"/>
            <w:vMerge w:val="restart"/>
            <w:tcBorders>
              <w:top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有效性审查</w:t>
            </w:r>
          </w:p>
        </w:tc>
        <w:tc>
          <w:tcPr>
            <w:tcW w:w="1593" w:type="dxa"/>
            <w:vMerge w:val="restart"/>
            <w:tcBorders>
              <w:top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形式评审标准</w:t>
            </w:r>
          </w:p>
        </w:tc>
        <w:tc>
          <w:tcPr>
            <w:tcW w:w="21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投标人名称</w:t>
            </w:r>
          </w:p>
        </w:tc>
        <w:tc>
          <w:tcPr>
            <w:tcW w:w="4067"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cs="宋体"/>
                <w:szCs w:val="21"/>
              </w:rPr>
            </w:pPr>
            <w:r>
              <w:rPr>
                <w:rFonts w:hint="eastAsia" w:ascii="宋体" w:hAnsi="宋体" w:cs="宋体"/>
                <w:szCs w:val="21"/>
              </w:rPr>
              <w:t>与营业执照、资质证书一致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cantSplit/>
          <w:trHeight w:val="692" w:hRule="atLeast"/>
        </w:trPr>
        <w:tc>
          <w:tcPr>
            <w:tcW w:w="387"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1593"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21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法定代表人证明书</w:t>
            </w:r>
          </w:p>
          <w:p>
            <w:pPr>
              <w:spacing w:line="360" w:lineRule="auto"/>
              <w:jc w:val="center"/>
              <w:rPr>
                <w:rFonts w:hint="eastAsia" w:ascii="宋体" w:hAnsi="宋体" w:cs="宋体"/>
                <w:szCs w:val="21"/>
              </w:rPr>
            </w:pPr>
            <w:r>
              <w:rPr>
                <w:rFonts w:hint="eastAsia" w:ascii="宋体" w:hAnsi="宋体" w:cs="宋体"/>
                <w:szCs w:val="21"/>
              </w:rPr>
              <w:t>及授权委托书</w:t>
            </w:r>
          </w:p>
        </w:tc>
        <w:tc>
          <w:tcPr>
            <w:tcW w:w="4067"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cs="宋体"/>
                <w:szCs w:val="21"/>
              </w:rPr>
            </w:pPr>
            <w:r>
              <w:rPr>
                <w:rFonts w:hint="eastAsia" w:ascii="宋体" w:hAnsi="宋体" w:cs="宋体"/>
                <w:szCs w:val="21"/>
              </w:rPr>
              <w:t>按投标文件第七章格式要求填写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cantSplit/>
          <w:trHeight w:val="557" w:hRule="atLeast"/>
        </w:trPr>
        <w:tc>
          <w:tcPr>
            <w:tcW w:w="387"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1593"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21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投标函签字盖章</w:t>
            </w:r>
          </w:p>
        </w:tc>
        <w:tc>
          <w:tcPr>
            <w:tcW w:w="4067"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cs="宋体"/>
                <w:szCs w:val="21"/>
              </w:rPr>
            </w:pPr>
            <w:r>
              <w:rPr>
                <w:rFonts w:hint="eastAsia" w:ascii="宋体" w:hAnsi="宋体" w:cs="宋体"/>
                <w:szCs w:val="21"/>
              </w:rPr>
              <w:t>有法定代表人或其委托代理人签字或加盖单位公章（附法人代表人身份证及委托代理人身份证复印件加盖公章）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cantSplit/>
          <w:trHeight w:val="90" w:hRule="atLeast"/>
        </w:trPr>
        <w:tc>
          <w:tcPr>
            <w:tcW w:w="387"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1593"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21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报价唯一</w:t>
            </w:r>
          </w:p>
        </w:tc>
        <w:tc>
          <w:tcPr>
            <w:tcW w:w="4067"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cs="宋体"/>
                <w:szCs w:val="21"/>
              </w:rPr>
            </w:pPr>
            <w:r>
              <w:rPr>
                <w:rFonts w:hint="eastAsia" w:ascii="宋体" w:hAnsi="宋体" w:cs="宋体"/>
                <w:szCs w:val="21"/>
              </w:rPr>
              <w:t>按第五章投标报价(标段1-标段</w:t>
            </w:r>
            <w:r>
              <w:rPr>
                <w:rFonts w:hint="eastAsia" w:ascii="宋体" w:hAnsi="宋体" w:cs="宋体"/>
                <w:szCs w:val="21"/>
                <w:lang w:val="en-US" w:eastAsia="zh-CN"/>
              </w:rPr>
              <w:t>3</w:t>
            </w:r>
            <w:r>
              <w:rPr>
                <w:rFonts w:hint="eastAsia" w:ascii="宋体" w:hAnsi="宋体" w:cs="宋体"/>
                <w:szCs w:val="21"/>
              </w:rPr>
              <w:t>)格式要求填写,只能有一个有效报价，投标文件要求提交备选报价的除外。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cantSplit/>
          <w:trHeight w:val="838" w:hRule="atLeast"/>
        </w:trPr>
        <w:tc>
          <w:tcPr>
            <w:tcW w:w="387"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1593" w:type="dxa"/>
            <w:vMerge w:val="restart"/>
            <w:tcBorders>
              <w:top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响应性评审标准</w:t>
            </w:r>
          </w:p>
        </w:tc>
        <w:tc>
          <w:tcPr>
            <w:tcW w:w="21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投标报价</w:t>
            </w:r>
          </w:p>
        </w:tc>
        <w:tc>
          <w:tcPr>
            <w:tcW w:w="4067"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cs="宋体"/>
                <w:szCs w:val="21"/>
              </w:rPr>
            </w:pPr>
            <w:r>
              <w:rPr>
                <w:rFonts w:hint="eastAsia" w:ascii="宋体" w:hAnsi="宋体" w:cs="宋体"/>
                <w:szCs w:val="21"/>
              </w:rPr>
              <w:t>符合第二章“投标人须知”第3.2项规定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cantSplit/>
          <w:trHeight w:val="793" w:hRule="atLeast"/>
        </w:trPr>
        <w:tc>
          <w:tcPr>
            <w:tcW w:w="387"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1593"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21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投标有效期</w:t>
            </w:r>
          </w:p>
        </w:tc>
        <w:tc>
          <w:tcPr>
            <w:tcW w:w="4067"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cs="宋体"/>
                <w:szCs w:val="21"/>
              </w:rPr>
            </w:pPr>
            <w:r>
              <w:rPr>
                <w:rFonts w:hint="eastAsia" w:ascii="宋体" w:hAnsi="宋体" w:cs="宋体"/>
                <w:szCs w:val="21"/>
              </w:rPr>
              <w:t>符合第二章“投标人须知”第3.3项规定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cantSplit/>
          <w:trHeight w:val="838" w:hRule="atLeast"/>
        </w:trPr>
        <w:tc>
          <w:tcPr>
            <w:tcW w:w="387"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1593"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21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投标保证金</w:t>
            </w:r>
          </w:p>
        </w:tc>
        <w:tc>
          <w:tcPr>
            <w:tcW w:w="4067"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cs="宋体"/>
                <w:szCs w:val="21"/>
              </w:rPr>
            </w:pPr>
            <w:r>
              <w:rPr>
                <w:rFonts w:hint="eastAsia" w:ascii="宋体" w:hAnsi="宋体" w:cs="宋体"/>
                <w:szCs w:val="21"/>
              </w:rPr>
              <w:t>符合第二章“投标人须知”第4.4项规定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cantSplit/>
        </w:trPr>
        <w:tc>
          <w:tcPr>
            <w:tcW w:w="387"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1593" w:type="dxa"/>
            <w:vMerge w:val="continue"/>
            <w:tcBorders>
              <w:right w:val="single" w:color="auto" w:sz="4" w:space="0"/>
            </w:tcBorders>
            <w:vAlign w:val="center"/>
          </w:tcPr>
          <w:p>
            <w:pPr>
              <w:spacing w:line="360" w:lineRule="auto"/>
              <w:jc w:val="center"/>
              <w:rPr>
                <w:rFonts w:hint="eastAsia" w:ascii="宋体" w:hAnsi="宋体" w:cs="宋体"/>
                <w:szCs w:val="21"/>
              </w:rPr>
            </w:pPr>
          </w:p>
        </w:tc>
        <w:tc>
          <w:tcPr>
            <w:tcW w:w="21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szCs w:val="21"/>
              </w:rPr>
            </w:pPr>
            <w:r>
              <w:rPr>
                <w:rFonts w:hint="eastAsia" w:ascii="宋体" w:hAnsi="宋体" w:cs="宋体"/>
                <w:szCs w:val="21"/>
              </w:rPr>
              <w:t>实质性响应</w:t>
            </w:r>
          </w:p>
        </w:tc>
        <w:tc>
          <w:tcPr>
            <w:tcW w:w="4067"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cs="宋体"/>
                <w:szCs w:val="21"/>
              </w:rPr>
            </w:pPr>
            <w:r>
              <w:rPr>
                <w:rFonts w:hint="eastAsia" w:ascii="宋体" w:hAnsi="宋体" w:cs="宋体"/>
                <w:szCs w:val="21"/>
              </w:rPr>
              <w:t>没有★条款不满足，也没有其他未实质性响应投标文件要求的。</w:t>
            </w:r>
          </w:p>
        </w:tc>
      </w:tr>
      <w:bookmarkEnd w:id="1804"/>
      <w:bookmarkEnd w:id="1805"/>
      <w:bookmarkEnd w:id="1806"/>
      <w:bookmarkEnd w:id="1807"/>
      <w:bookmarkEnd w:id="1832"/>
      <w:bookmarkEnd w:id="1833"/>
    </w:tbl>
    <w:p>
      <w:pPr>
        <w:pStyle w:val="2"/>
        <w:spacing w:line="400" w:lineRule="atLeast"/>
        <w:jc w:val="center"/>
      </w:pPr>
      <w:bookmarkStart w:id="1989" w:name="_Toc422925644"/>
      <w:bookmarkStart w:id="1990" w:name="_Toc436215776"/>
      <w:bookmarkStart w:id="1991" w:name="_Toc435178418"/>
    </w:p>
    <w:p>
      <w:pPr>
        <w:spacing w:line="400" w:lineRule="atLeast"/>
        <w:rPr>
          <w:rFonts w:hint="eastAsia" w:ascii="宋体" w:hAnsi="宋体" w:cs="宋体"/>
          <w:b/>
          <w:bCs/>
          <w:kern w:val="0"/>
          <w:sz w:val="32"/>
          <w:szCs w:val="32"/>
        </w:rPr>
      </w:pPr>
    </w:p>
    <w:p>
      <w:pPr>
        <w:spacing w:line="400" w:lineRule="atLeast"/>
        <w:rPr>
          <w:rFonts w:hint="eastAsia" w:ascii="宋体" w:hAnsi="宋体" w:cs="宋体"/>
          <w:b/>
          <w:bCs/>
          <w:kern w:val="0"/>
          <w:sz w:val="32"/>
          <w:szCs w:val="32"/>
        </w:rPr>
      </w:pPr>
    </w:p>
    <w:p>
      <w:pPr>
        <w:pStyle w:val="40"/>
        <w:ind w:firstLine="321"/>
        <w:rPr>
          <w:rFonts w:hint="eastAsia" w:ascii="宋体" w:hAnsi="宋体" w:cs="宋体"/>
          <w:b/>
          <w:bCs/>
          <w:kern w:val="0"/>
          <w:sz w:val="32"/>
          <w:szCs w:val="32"/>
        </w:rPr>
      </w:pPr>
    </w:p>
    <w:p>
      <w:pPr>
        <w:pStyle w:val="40"/>
        <w:ind w:firstLine="321"/>
        <w:rPr>
          <w:rFonts w:hint="eastAsia" w:ascii="宋体" w:hAnsi="宋体" w:cs="宋体"/>
          <w:b/>
          <w:bCs/>
          <w:kern w:val="0"/>
          <w:sz w:val="32"/>
          <w:szCs w:val="32"/>
        </w:rPr>
      </w:pPr>
    </w:p>
    <w:p>
      <w:pPr>
        <w:spacing w:line="400" w:lineRule="atLeast"/>
        <w:rPr>
          <w:rFonts w:hint="eastAsia" w:ascii="宋体" w:hAnsi="宋体" w:eastAsia="宋体" w:cs="宋体"/>
          <w:b/>
          <w:bCs/>
          <w:kern w:val="0"/>
          <w:sz w:val="32"/>
          <w:szCs w:val="32"/>
          <w:lang w:eastAsia="zh-CN"/>
        </w:rPr>
      </w:pPr>
      <w:r>
        <w:rPr>
          <w:rFonts w:hint="eastAsia" w:ascii="宋体" w:hAnsi="宋体" w:cs="宋体"/>
          <w:b/>
          <w:bCs/>
          <w:kern w:val="0"/>
          <w:sz w:val="32"/>
          <w:szCs w:val="32"/>
        </w:rPr>
        <w:t>附表二：《分值构成及评分标准》(适用于标段1-标段</w:t>
      </w:r>
      <w:r>
        <w:rPr>
          <w:rFonts w:hint="eastAsia" w:ascii="宋体" w:hAnsi="宋体" w:cs="宋体"/>
          <w:b/>
          <w:bCs/>
          <w:kern w:val="0"/>
          <w:sz w:val="32"/>
          <w:szCs w:val="32"/>
          <w:lang w:val="en-US" w:eastAsia="zh-CN"/>
        </w:rPr>
        <w:t>3）</w:t>
      </w:r>
    </w:p>
    <w:tbl>
      <w:tblPr>
        <w:tblStyle w:val="41"/>
        <w:tblW w:w="8713" w:type="dxa"/>
        <w:tblInd w:w="0" w:type="dxa"/>
        <w:tblLayout w:type="autofit"/>
        <w:tblCellMar>
          <w:top w:w="0" w:type="dxa"/>
          <w:left w:w="0" w:type="dxa"/>
          <w:bottom w:w="0" w:type="dxa"/>
          <w:right w:w="0" w:type="dxa"/>
        </w:tblCellMar>
      </w:tblPr>
      <w:tblGrid>
        <w:gridCol w:w="1175"/>
        <w:gridCol w:w="1526"/>
        <w:gridCol w:w="6012"/>
      </w:tblGrid>
      <w:tr>
        <w:tblPrEx>
          <w:tblCellMar>
            <w:top w:w="0" w:type="dxa"/>
            <w:left w:w="0" w:type="dxa"/>
            <w:bottom w:w="0" w:type="dxa"/>
            <w:right w:w="0" w:type="dxa"/>
          </w:tblCellMar>
        </w:tblPrEx>
        <w:trPr>
          <w:trHeight w:val="862" w:hRule="atLeast"/>
        </w:trPr>
        <w:tc>
          <w:tcPr>
            <w:tcW w:w="11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宋体" w:hAnsi="宋体" w:cs="宋体"/>
                <w:bCs/>
                <w:sz w:val="24"/>
              </w:rPr>
            </w:pPr>
            <w:r>
              <w:rPr>
                <w:rFonts w:hint="eastAsia" w:ascii="宋体" w:hAnsi="宋体" w:cs="宋体"/>
                <w:bCs/>
                <w:kern w:val="0"/>
                <w:sz w:val="24"/>
                <w:lang w:bidi="ar"/>
              </w:rPr>
              <w:t>评审内容</w:t>
            </w:r>
          </w:p>
        </w:tc>
        <w:tc>
          <w:tcPr>
            <w:tcW w:w="152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宋体" w:hAnsi="宋体" w:cs="宋体"/>
                <w:bCs/>
                <w:sz w:val="24"/>
              </w:rPr>
            </w:pPr>
            <w:r>
              <w:rPr>
                <w:rFonts w:hint="eastAsia" w:ascii="宋体" w:hAnsi="宋体" w:cs="宋体"/>
                <w:bCs/>
                <w:kern w:val="0"/>
                <w:sz w:val="24"/>
                <w:lang w:bidi="ar"/>
              </w:rPr>
              <w:t>评审分值/分</w:t>
            </w:r>
          </w:p>
        </w:tc>
        <w:tc>
          <w:tcPr>
            <w:tcW w:w="601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宋体" w:hAnsi="宋体" w:cs="宋体"/>
                <w:bCs/>
                <w:sz w:val="24"/>
              </w:rPr>
            </w:pPr>
            <w:r>
              <w:rPr>
                <w:rFonts w:hint="eastAsia" w:ascii="宋体" w:hAnsi="宋体" w:cs="宋体"/>
                <w:bCs/>
                <w:kern w:val="0"/>
                <w:sz w:val="24"/>
                <w:lang w:bidi="ar"/>
              </w:rPr>
              <w:t>评分准则</w:t>
            </w:r>
          </w:p>
        </w:tc>
      </w:tr>
      <w:tr>
        <w:tblPrEx>
          <w:tblCellMar>
            <w:top w:w="0" w:type="dxa"/>
            <w:left w:w="0" w:type="dxa"/>
            <w:bottom w:w="0" w:type="dxa"/>
            <w:right w:w="0" w:type="dxa"/>
          </w:tblCellMar>
        </w:tblPrEx>
        <w:trPr>
          <w:trHeight w:val="2136" w:hRule="atLeast"/>
        </w:trPr>
        <w:tc>
          <w:tcPr>
            <w:tcW w:w="11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宋体" w:hAnsi="宋体" w:cs="宋体"/>
                <w:bCs/>
                <w:sz w:val="24"/>
              </w:rPr>
            </w:pPr>
            <w:r>
              <w:rPr>
                <w:rFonts w:hint="eastAsia" w:ascii="宋体" w:hAnsi="宋体" w:cs="宋体"/>
                <w:bCs/>
                <w:kern w:val="0"/>
                <w:sz w:val="24"/>
                <w:lang w:bidi="ar"/>
              </w:rPr>
              <w:t>外包服务方案</w:t>
            </w:r>
          </w:p>
        </w:tc>
        <w:tc>
          <w:tcPr>
            <w:tcW w:w="152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宋体" w:hAnsi="宋体" w:cs="宋体"/>
                <w:bCs/>
                <w:sz w:val="24"/>
              </w:rPr>
            </w:pPr>
            <w:r>
              <w:rPr>
                <w:rFonts w:hint="eastAsia" w:ascii="宋体" w:hAnsi="宋体" w:cs="宋体"/>
                <w:bCs/>
                <w:kern w:val="0"/>
                <w:sz w:val="24"/>
                <w:lang w:bidi="ar"/>
              </w:rPr>
              <w:t>48</w:t>
            </w:r>
          </w:p>
        </w:tc>
        <w:tc>
          <w:tcPr>
            <w:tcW w:w="6012"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pPr>
              <w:widowControl/>
              <w:jc w:val="left"/>
              <w:textAlignment w:val="top"/>
            </w:pPr>
            <w:r>
              <w:rPr>
                <w:rFonts w:hint="eastAsia"/>
              </w:rPr>
              <w:t>投标人提供针对本项目各标段实际需求的服务方案，由以下两个方面组成：</w:t>
            </w:r>
          </w:p>
          <w:p>
            <w:pPr>
              <w:widowControl/>
              <w:jc w:val="left"/>
              <w:textAlignment w:val="top"/>
            </w:pPr>
            <w:r>
              <w:rPr>
                <w:rFonts w:hint="eastAsia"/>
              </w:rPr>
              <w:t>一、本地化服务方案（38分），包括但不限于劳务人员招聘、响应时效、岗前培训、合同管理、绩效进度管理、薪酬管理、信息安全管理等要点，要求制定合理全面，可执行性强，满足招标人相关制度要求，并可根据实际情况快速进行调整。</w:t>
            </w:r>
          </w:p>
          <w:p>
            <w:pPr>
              <w:widowControl/>
              <w:jc w:val="left"/>
              <w:textAlignment w:val="top"/>
            </w:pPr>
            <w:r>
              <w:rPr>
                <w:rFonts w:hint="eastAsia"/>
              </w:rPr>
              <w:t xml:space="preserve">（1）本地化服务方案完整、详细，针对性强、可行性强，完全满足项目的总体要求，得38分； </w:t>
            </w:r>
          </w:p>
          <w:p>
            <w:pPr>
              <w:widowControl/>
              <w:jc w:val="left"/>
              <w:textAlignment w:val="top"/>
            </w:pPr>
            <w:r>
              <w:rPr>
                <w:rFonts w:hint="eastAsia"/>
              </w:rPr>
              <w:t xml:space="preserve">（2）本地化服务方案较完整、详细，有一定的针对性、可行性，基本能满足项目的总体要求，得28分； </w:t>
            </w:r>
          </w:p>
          <w:p>
            <w:pPr>
              <w:widowControl/>
              <w:jc w:val="left"/>
              <w:textAlignment w:val="top"/>
            </w:pPr>
            <w:r>
              <w:rPr>
                <w:rFonts w:hint="eastAsia"/>
              </w:rPr>
              <w:t xml:space="preserve">（3）本地化.服务方案完整性、详细性一般，针对性、可行性一般，不能很好的满足项目的总体要求，得18分； </w:t>
            </w:r>
          </w:p>
          <w:p>
            <w:pPr>
              <w:widowControl/>
              <w:jc w:val="left"/>
              <w:textAlignment w:val="top"/>
            </w:pPr>
            <w:r>
              <w:rPr>
                <w:rFonts w:hint="eastAsia"/>
              </w:rPr>
              <w:t>（4）本地化服务方案整体较差、不具备可行性，不能满足项目的总体要求，得8分；</w:t>
            </w:r>
          </w:p>
          <w:p>
            <w:pPr>
              <w:widowControl/>
              <w:jc w:val="left"/>
              <w:textAlignment w:val="top"/>
            </w:pPr>
            <w:r>
              <w:rPr>
                <w:rFonts w:hint="eastAsia"/>
              </w:rPr>
              <w:t>（5）未提供得</w:t>
            </w:r>
            <w:r>
              <w:t>0</w:t>
            </w:r>
            <w:r>
              <w:rPr>
                <w:rFonts w:hint="eastAsia"/>
              </w:rPr>
              <w:t>分。</w:t>
            </w:r>
          </w:p>
          <w:p>
            <w:pPr>
              <w:pStyle w:val="3"/>
              <w:rPr>
                <w:sz w:val="21"/>
                <w:szCs w:val="24"/>
              </w:rPr>
            </w:pPr>
            <w:r>
              <w:rPr>
                <w:rFonts w:hint="eastAsia"/>
                <w:sz w:val="21"/>
                <w:szCs w:val="24"/>
              </w:rPr>
              <w:t>二、应急管理及劳务争议处理方案（10分），投标人需针对本项目可能出现的突发情况，制定相应应急管理处理预案，提供完整可行的劳动争议处理方案及流程。</w:t>
            </w:r>
            <w:r>
              <w:rPr>
                <w:rFonts w:hint="eastAsia"/>
                <w:sz w:val="21"/>
                <w:szCs w:val="24"/>
              </w:rPr>
              <w:br w:type="textWrapping"/>
            </w:r>
            <w:r>
              <w:rPr>
                <w:rFonts w:hint="eastAsia"/>
                <w:sz w:val="21"/>
                <w:szCs w:val="24"/>
              </w:rPr>
              <w:t>（1）方案详尽完整，可行性高，得10分；</w:t>
            </w:r>
          </w:p>
          <w:p>
            <w:pPr>
              <w:pStyle w:val="3"/>
              <w:rPr>
                <w:sz w:val="21"/>
                <w:szCs w:val="24"/>
              </w:rPr>
            </w:pPr>
            <w:r>
              <w:rPr>
                <w:rFonts w:hint="eastAsia"/>
                <w:sz w:val="21"/>
                <w:szCs w:val="24"/>
              </w:rPr>
              <w:t>（2）方案较详尽完整，有一定可行性，得7分；</w:t>
            </w:r>
          </w:p>
          <w:p>
            <w:pPr>
              <w:pStyle w:val="3"/>
              <w:rPr>
                <w:sz w:val="21"/>
                <w:szCs w:val="24"/>
              </w:rPr>
            </w:pPr>
            <w:r>
              <w:rPr>
                <w:rFonts w:hint="eastAsia"/>
                <w:sz w:val="21"/>
                <w:szCs w:val="24"/>
              </w:rPr>
              <w:t>（3）方案详尽性、完整性一般，可行性一般，得4分；</w:t>
            </w:r>
          </w:p>
          <w:p>
            <w:pPr>
              <w:pStyle w:val="3"/>
              <w:rPr>
                <w:sz w:val="21"/>
                <w:szCs w:val="24"/>
              </w:rPr>
            </w:pPr>
            <w:r>
              <w:rPr>
                <w:rFonts w:hint="eastAsia"/>
                <w:sz w:val="21"/>
                <w:szCs w:val="24"/>
              </w:rPr>
              <w:t>（4）方案不详尽、不完整，可行性差，得1分；</w:t>
            </w:r>
          </w:p>
          <w:p>
            <w:pPr>
              <w:pStyle w:val="3"/>
            </w:pPr>
            <w:r>
              <w:rPr>
                <w:rFonts w:hint="eastAsia"/>
                <w:sz w:val="21"/>
                <w:szCs w:val="24"/>
              </w:rPr>
              <w:t>（5）未提供得0分。</w:t>
            </w:r>
          </w:p>
        </w:tc>
      </w:tr>
      <w:tr>
        <w:tblPrEx>
          <w:tblCellMar>
            <w:top w:w="0" w:type="dxa"/>
            <w:left w:w="0" w:type="dxa"/>
            <w:bottom w:w="0" w:type="dxa"/>
            <w:right w:w="0" w:type="dxa"/>
          </w:tblCellMar>
        </w:tblPrEx>
        <w:trPr>
          <w:trHeight w:val="2949" w:hRule="atLeast"/>
        </w:trPr>
        <w:tc>
          <w:tcPr>
            <w:tcW w:w="11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宋体" w:hAnsi="宋体" w:cs="宋体"/>
                <w:bCs/>
                <w:kern w:val="0"/>
                <w:sz w:val="24"/>
                <w:lang w:bidi="ar"/>
              </w:rPr>
            </w:pPr>
            <w:r>
              <w:rPr>
                <w:rFonts w:hint="eastAsia" w:ascii="宋体" w:hAnsi="宋体" w:cs="宋体"/>
                <w:bCs/>
                <w:kern w:val="0"/>
                <w:sz w:val="24"/>
                <w:lang w:bidi="ar"/>
              </w:rPr>
              <w:t>企业综合实力</w:t>
            </w:r>
          </w:p>
        </w:tc>
        <w:tc>
          <w:tcPr>
            <w:tcW w:w="152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宋体" w:hAnsi="宋体" w:cs="宋体"/>
                <w:bCs/>
                <w:kern w:val="0"/>
                <w:sz w:val="24"/>
                <w:lang w:bidi="ar"/>
              </w:rPr>
            </w:pPr>
            <w:r>
              <w:rPr>
                <w:rFonts w:hint="eastAsia" w:ascii="宋体" w:hAnsi="宋体" w:cs="宋体"/>
                <w:bCs/>
                <w:kern w:val="0"/>
                <w:sz w:val="24"/>
                <w:lang w:bidi="ar"/>
              </w:rPr>
              <w:t>3</w:t>
            </w:r>
          </w:p>
        </w:tc>
        <w:tc>
          <w:tcPr>
            <w:tcW w:w="601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left"/>
              <w:textAlignment w:val="center"/>
              <w:rPr>
                <w:rFonts w:hint="eastAsia" w:ascii="宋体" w:hAnsi="宋体" w:cs="宋体"/>
                <w:bCs/>
                <w:kern w:val="0"/>
                <w:sz w:val="24"/>
                <w:lang w:bidi="ar"/>
              </w:rPr>
            </w:pPr>
            <w:r>
              <w:rPr>
                <w:rFonts w:hint="eastAsia" w:ascii="宋体" w:hAnsi="宋体" w:cs="宋体"/>
                <w:bCs/>
                <w:kern w:val="0"/>
                <w:sz w:val="24"/>
                <w:lang w:bidi="ar"/>
              </w:rPr>
              <w:t>考察投标人具备有效期内的以下认证证书情况进行评分，每具备以下一项认证得1分，满分3分：</w:t>
            </w:r>
          </w:p>
          <w:p>
            <w:pPr>
              <w:widowControl/>
              <w:jc w:val="left"/>
              <w:textAlignment w:val="center"/>
              <w:rPr>
                <w:rFonts w:hint="eastAsia" w:ascii="宋体" w:hAnsi="宋体" w:cs="宋体"/>
                <w:bCs/>
                <w:kern w:val="0"/>
                <w:sz w:val="24"/>
                <w:lang w:bidi="ar"/>
              </w:rPr>
            </w:pPr>
            <w:r>
              <w:rPr>
                <w:rFonts w:hint="eastAsia" w:ascii="宋体" w:hAnsi="宋体" w:cs="宋体"/>
                <w:bCs/>
                <w:kern w:val="0"/>
                <w:sz w:val="24"/>
                <w:lang w:bidi="ar"/>
              </w:rPr>
              <w:t>（1）ISO2700</w:t>
            </w:r>
            <w:r>
              <w:rPr>
                <w:rFonts w:hint="default" w:ascii="宋体" w:hAnsi="宋体" w:cs="宋体"/>
                <w:bCs/>
                <w:kern w:val="0"/>
                <w:sz w:val="24"/>
                <w:lang w:bidi="ar"/>
              </w:rPr>
              <w:t>1</w:t>
            </w:r>
            <w:r>
              <w:rPr>
                <w:rFonts w:hint="eastAsia" w:ascii="宋体" w:hAnsi="宋体" w:cs="宋体"/>
                <w:bCs/>
                <w:kern w:val="0"/>
                <w:sz w:val="24"/>
                <w:lang w:bidi="ar"/>
              </w:rPr>
              <w:t>信息安全管理体系认证；</w:t>
            </w:r>
          </w:p>
          <w:p>
            <w:pPr>
              <w:widowControl/>
              <w:jc w:val="left"/>
              <w:textAlignment w:val="center"/>
              <w:rPr>
                <w:rFonts w:hint="eastAsia" w:ascii="宋体" w:hAnsi="宋体" w:cs="宋体"/>
                <w:bCs/>
                <w:kern w:val="0"/>
                <w:sz w:val="24"/>
                <w:lang w:bidi="ar"/>
              </w:rPr>
            </w:pPr>
            <w:r>
              <w:rPr>
                <w:rFonts w:hint="eastAsia" w:ascii="宋体" w:hAnsi="宋体" w:cs="宋体"/>
                <w:bCs/>
                <w:kern w:val="0"/>
                <w:sz w:val="24"/>
                <w:lang w:bidi="ar"/>
              </w:rPr>
              <w:t>（2）ISO900</w:t>
            </w:r>
            <w:r>
              <w:rPr>
                <w:rFonts w:hint="default" w:ascii="宋体" w:hAnsi="宋体" w:cs="宋体"/>
                <w:bCs/>
                <w:kern w:val="0"/>
                <w:sz w:val="24"/>
                <w:lang w:bidi="ar"/>
              </w:rPr>
              <w:t>1</w:t>
            </w:r>
            <w:r>
              <w:rPr>
                <w:rFonts w:hint="eastAsia" w:ascii="宋体" w:hAnsi="宋体" w:cs="宋体"/>
                <w:bCs/>
                <w:kern w:val="0"/>
                <w:sz w:val="24"/>
                <w:lang w:bidi="ar"/>
              </w:rPr>
              <w:t>质量管理体系认证；</w:t>
            </w:r>
          </w:p>
          <w:p>
            <w:pPr>
              <w:widowControl/>
              <w:jc w:val="left"/>
              <w:textAlignment w:val="center"/>
              <w:rPr>
                <w:rFonts w:hint="eastAsia" w:ascii="宋体" w:hAnsi="宋体" w:cs="宋体"/>
                <w:bCs/>
                <w:kern w:val="0"/>
                <w:sz w:val="24"/>
                <w:lang w:bidi="ar"/>
              </w:rPr>
            </w:pPr>
            <w:r>
              <w:rPr>
                <w:rFonts w:hint="eastAsia" w:ascii="宋体" w:hAnsi="宋体" w:cs="宋体"/>
                <w:bCs/>
                <w:kern w:val="0"/>
                <w:sz w:val="24"/>
                <w:lang w:bidi="ar"/>
              </w:rPr>
              <w:t>（3）ISO4500</w:t>
            </w:r>
            <w:r>
              <w:rPr>
                <w:rFonts w:hint="default" w:ascii="宋体" w:hAnsi="宋体" w:cs="宋体"/>
                <w:bCs/>
                <w:kern w:val="0"/>
                <w:sz w:val="24"/>
                <w:lang w:bidi="ar"/>
              </w:rPr>
              <w:t>1</w:t>
            </w:r>
            <w:r>
              <w:rPr>
                <w:rFonts w:hint="eastAsia" w:ascii="宋体" w:hAnsi="宋体" w:cs="宋体"/>
                <w:bCs/>
                <w:kern w:val="0"/>
                <w:sz w:val="24"/>
                <w:lang w:bidi="ar"/>
              </w:rPr>
              <w:t>职业健康安全管理体系认证；</w:t>
            </w:r>
          </w:p>
          <w:p>
            <w:pPr>
              <w:widowControl/>
              <w:jc w:val="left"/>
              <w:textAlignment w:val="center"/>
              <w:rPr>
                <w:rFonts w:hint="eastAsia" w:ascii="宋体" w:hAnsi="宋体" w:cs="宋体"/>
                <w:bCs/>
                <w:kern w:val="0"/>
                <w:sz w:val="24"/>
                <w:lang w:bidi="ar"/>
              </w:rPr>
            </w:pPr>
            <w:r>
              <w:rPr>
                <w:rFonts w:hint="eastAsia" w:ascii="宋体" w:hAnsi="宋体" w:cs="宋体"/>
                <w:bCs/>
                <w:kern w:val="0"/>
                <w:sz w:val="24"/>
                <w:lang w:bidi="ar"/>
              </w:rPr>
              <w:t>注：需提供有效期内的证书复印件，并须同时提供在全国认证认可信息公共服务平台（http://cx.cnca.cn/）对体系认证证书的信息查询截图作为评审依据，已暂停、失效或撤销状态的不得分。</w:t>
            </w:r>
          </w:p>
        </w:tc>
      </w:tr>
      <w:tr>
        <w:tblPrEx>
          <w:tblCellMar>
            <w:top w:w="0" w:type="dxa"/>
            <w:left w:w="0" w:type="dxa"/>
            <w:bottom w:w="0" w:type="dxa"/>
            <w:right w:w="0" w:type="dxa"/>
          </w:tblCellMar>
        </w:tblPrEx>
        <w:trPr>
          <w:trHeight w:val="3166" w:hRule="atLeast"/>
        </w:trPr>
        <w:tc>
          <w:tcPr>
            <w:tcW w:w="11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宋体" w:hAnsi="宋体" w:cs="宋体"/>
                <w:bCs/>
                <w:sz w:val="24"/>
              </w:rPr>
            </w:pPr>
            <w:r>
              <w:rPr>
                <w:rFonts w:hint="eastAsia" w:ascii="宋体" w:hAnsi="宋体" w:cs="宋体"/>
                <w:bCs/>
                <w:kern w:val="0"/>
                <w:sz w:val="24"/>
                <w:lang w:bidi="ar"/>
              </w:rPr>
              <w:t>同类项目业绩</w:t>
            </w:r>
          </w:p>
        </w:tc>
        <w:tc>
          <w:tcPr>
            <w:tcW w:w="152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宋体" w:hAnsi="宋体" w:cs="宋体"/>
                <w:bCs/>
                <w:sz w:val="24"/>
              </w:rPr>
            </w:pPr>
            <w:r>
              <w:rPr>
                <w:rFonts w:hint="eastAsia" w:ascii="宋体" w:hAnsi="宋体" w:cs="宋体"/>
                <w:bCs/>
                <w:kern w:val="0"/>
                <w:sz w:val="24"/>
                <w:lang w:bidi="ar"/>
              </w:rPr>
              <w:t>6</w:t>
            </w:r>
          </w:p>
        </w:tc>
        <w:tc>
          <w:tcPr>
            <w:tcW w:w="601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left"/>
              <w:rPr>
                <w:rFonts w:hint="eastAsia" w:ascii="宋体" w:hAnsi="宋体" w:cs="宋体"/>
                <w:bCs/>
                <w:sz w:val="24"/>
              </w:rPr>
            </w:pPr>
            <w:r>
              <w:rPr>
                <w:rFonts w:hint="eastAsia" w:ascii="宋体" w:hAnsi="宋体" w:cs="宋体"/>
                <w:bCs/>
                <w:kern w:val="0"/>
                <w:sz w:val="24"/>
                <w:lang w:bidi="ar"/>
              </w:rPr>
              <w:t>根据投标人提供2023年1月1日（含）至今签订的同类业绩情况进行评分，每提供一个同类业务合同得1分；最高得6分。</w:t>
            </w:r>
            <w:r>
              <w:rPr>
                <w:rFonts w:hint="eastAsia" w:ascii="宋体" w:hAnsi="宋体" w:cs="宋体"/>
                <w:bCs/>
                <w:kern w:val="0"/>
                <w:sz w:val="24"/>
                <w:lang w:bidi="ar"/>
              </w:rPr>
              <w:br w:type="textWrapping"/>
            </w:r>
            <w:r>
              <w:rPr>
                <w:rFonts w:hint="eastAsia" w:ascii="宋体" w:hAnsi="宋体" w:cs="宋体"/>
                <w:bCs/>
                <w:kern w:val="0"/>
                <w:sz w:val="24"/>
                <w:lang w:bidi="ar"/>
              </w:rPr>
              <w:t>。</w:t>
            </w:r>
            <w:r>
              <w:rPr>
                <w:rFonts w:hint="eastAsia" w:ascii="宋体" w:hAnsi="宋体" w:cs="宋体"/>
                <w:kern w:val="0"/>
                <w:sz w:val="24"/>
                <w:lang w:bidi="ar"/>
              </w:rPr>
              <w:t>【注：（1）提供合同或协议扫描件或复印件并盖公章，业绩时间和金额以合同或协议为准。合同或协议扫描件或复印件须包括但不限于合同签订封面、合同双方主要信息页、合同主要服务条款页、合同项目金额页、 双方负责人签订合同落款和日期页。（2）投标人提供证明材料均须盖公章,不提供者或提供材料不完整者不得分】</w:t>
            </w:r>
          </w:p>
        </w:tc>
      </w:tr>
      <w:tr>
        <w:tblPrEx>
          <w:tblCellMar>
            <w:top w:w="0" w:type="dxa"/>
            <w:left w:w="0" w:type="dxa"/>
            <w:bottom w:w="0" w:type="dxa"/>
            <w:right w:w="0" w:type="dxa"/>
          </w:tblCellMar>
        </w:tblPrEx>
        <w:trPr>
          <w:trHeight w:val="1025" w:hRule="atLeast"/>
        </w:trPr>
        <w:tc>
          <w:tcPr>
            <w:tcW w:w="11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宋体" w:hAnsi="宋体" w:cs="宋体"/>
                <w:bCs/>
                <w:kern w:val="0"/>
                <w:sz w:val="24"/>
                <w:lang w:bidi="ar"/>
              </w:rPr>
            </w:pPr>
            <w:r>
              <w:rPr>
                <w:rFonts w:hint="eastAsia" w:ascii="宋体" w:hAnsi="宋体" w:cs="宋体"/>
                <w:bCs/>
                <w:kern w:val="0"/>
                <w:sz w:val="24"/>
                <w:lang w:bidi="ar"/>
              </w:rPr>
              <w:t>企业荣誉情况</w:t>
            </w:r>
          </w:p>
        </w:tc>
        <w:tc>
          <w:tcPr>
            <w:tcW w:w="152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宋体" w:hAnsi="宋体" w:cs="宋体"/>
                <w:bCs/>
                <w:kern w:val="0"/>
                <w:sz w:val="24"/>
                <w:lang w:bidi="ar"/>
              </w:rPr>
            </w:pPr>
            <w:r>
              <w:rPr>
                <w:rFonts w:hint="eastAsia" w:ascii="宋体" w:hAnsi="宋体" w:cs="宋体"/>
                <w:bCs/>
                <w:kern w:val="0"/>
                <w:sz w:val="24"/>
                <w:lang w:bidi="ar"/>
              </w:rPr>
              <w:t>3</w:t>
            </w:r>
          </w:p>
        </w:tc>
        <w:tc>
          <w:tcPr>
            <w:tcW w:w="6012" w:type="dxa"/>
            <w:tcBorders>
              <w:top w:val="single" w:color="auto" w:sz="4" w:space="0"/>
              <w:left w:val="single" w:color="auto" w:sz="4" w:space="0"/>
              <w:bottom w:val="single" w:color="auto" w:sz="4" w:space="0"/>
              <w:right w:val="single" w:color="auto" w:sz="4" w:space="0"/>
            </w:tcBorders>
            <w:tcMar>
              <w:top w:w="15" w:type="dxa"/>
              <w:left w:w="15" w:type="dxa"/>
              <w:right w:w="15" w:type="dxa"/>
            </w:tcMar>
          </w:tcPr>
          <w:p>
            <w:pPr>
              <w:widowControl/>
              <w:jc w:val="left"/>
              <w:textAlignment w:val="center"/>
              <w:rPr>
                <w:rFonts w:hint="eastAsia" w:ascii="宋体" w:hAnsi="宋体" w:cs="宋体"/>
                <w:bCs/>
                <w:kern w:val="0"/>
                <w:sz w:val="24"/>
                <w:lang w:bidi="ar"/>
              </w:rPr>
            </w:pPr>
            <w:r>
              <w:rPr>
                <w:rFonts w:hint="eastAsia" w:ascii="宋体" w:hAnsi="宋体" w:cs="宋体"/>
                <w:bCs/>
                <w:kern w:val="0"/>
                <w:sz w:val="24"/>
                <w:lang w:bidi="ar"/>
              </w:rPr>
              <w:t>考察投标人获得的由政府主管部门或行业协会颁发的与人力资源相关的荣誉或奖项情况，提供相关证明材料，每有1个得1分，累计得分，最高得3分。</w:t>
            </w:r>
          </w:p>
        </w:tc>
      </w:tr>
      <w:tr>
        <w:tblPrEx>
          <w:tblCellMar>
            <w:top w:w="0" w:type="dxa"/>
            <w:left w:w="0" w:type="dxa"/>
            <w:bottom w:w="0" w:type="dxa"/>
            <w:right w:w="0" w:type="dxa"/>
          </w:tblCellMar>
        </w:tblPrEx>
        <w:trPr>
          <w:trHeight w:val="4050" w:hRule="atLeast"/>
        </w:trPr>
        <w:tc>
          <w:tcPr>
            <w:tcW w:w="11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宋体" w:hAnsi="宋体" w:cs="宋体"/>
                <w:bCs/>
                <w:sz w:val="24"/>
              </w:rPr>
            </w:pPr>
            <w:r>
              <w:rPr>
                <w:rFonts w:hint="eastAsia" w:ascii="宋体" w:hAnsi="宋体" w:cs="宋体"/>
                <w:bCs/>
                <w:kern w:val="0"/>
                <w:sz w:val="24"/>
                <w:lang w:bidi="ar"/>
              </w:rPr>
              <w:t>投标报价</w:t>
            </w:r>
          </w:p>
        </w:tc>
        <w:tc>
          <w:tcPr>
            <w:tcW w:w="152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hint="eastAsia" w:ascii="Times New Roman" w:hAnsi="Times New Roman" w:cs="Times New Roman"/>
                <w:bCs w:val="0"/>
                <w:sz w:val="21"/>
              </w:rPr>
            </w:pPr>
            <w:r>
              <w:rPr>
                <w:rFonts w:hint="eastAsia" w:ascii="Times New Roman" w:hAnsi="Times New Roman" w:cs="Times New Roman"/>
                <w:bCs w:val="0"/>
                <w:kern w:val="2"/>
                <w:sz w:val="21"/>
                <w:lang w:bidi="ar"/>
              </w:rPr>
              <w:t>40</w:t>
            </w:r>
          </w:p>
        </w:tc>
        <w:tc>
          <w:tcPr>
            <w:tcW w:w="601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left"/>
              <w:textAlignment w:val="center"/>
              <w:rPr>
                <w:rFonts w:hint="eastAsia"/>
              </w:rPr>
            </w:pPr>
            <w:bookmarkStart w:id="1992" w:name="OLE_LINK13"/>
            <w:r>
              <w:rPr>
                <w:rFonts w:hint="eastAsia"/>
              </w:rPr>
              <w:t>满分为40分：</w:t>
            </w:r>
          </w:p>
          <w:p>
            <w:pPr>
              <w:widowControl/>
              <w:jc w:val="left"/>
              <w:textAlignment w:val="center"/>
              <w:rPr>
                <w:rFonts w:hint="eastAsia"/>
              </w:rPr>
            </w:pPr>
            <w:r>
              <w:rPr>
                <w:rFonts w:hint="eastAsia"/>
                <w:lang w:val="en-US" w:eastAsia="zh-CN"/>
              </w:rPr>
              <w:t>标段1、标段2：</w:t>
            </w:r>
            <w:r>
              <w:rPr>
                <w:rFonts w:hint="eastAsia"/>
              </w:rPr>
              <w:t>价格分统一采用低价优先法计算，即满足投标文件要求且报价最低的投标人的价格为基准价，其价格分为满分。其他投标人的价格分统一按照下列公式计算： 投标报价得分=（基准价/投标报价）×40。</w:t>
            </w:r>
            <w:bookmarkEnd w:id="1992"/>
          </w:p>
          <w:p>
            <w:pPr>
              <w:widowControl/>
              <w:jc w:val="left"/>
              <w:textAlignment w:val="center"/>
              <w:rPr>
                <w:rFonts w:hint="eastAsia" w:ascii="Times New Roman" w:hAnsi="Times New Roman" w:cs="Times New Roman"/>
                <w:color w:val="auto"/>
                <w:highlight w:val="none"/>
              </w:rPr>
            </w:pPr>
            <w:r>
              <w:rPr>
                <w:rFonts w:hint="eastAsia" w:ascii="Times New Roman" w:hAnsi="Times New Roman" w:cs="Times New Roman"/>
              </w:rPr>
              <w:t>投标报价计算公</w:t>
            </w:r>
            <w:r>
              <w:rPr>
                <w:rFonts w:hint="eastAsia" w:ascii="Times New Roman" w:hAnsi="Times New Roman" w:cs="Times New Roman"/>
                <w:color w:val="auto"/>
                <w:highlight w:val="none"/>
              </w:rPr>
              <w:t>式=</w:t>
            </w:r>
            <w:r>
              <w:rPr>
                <w:rFonts w:hint="eastAsia" w:ascii="Times New Roman" w:hAnsi="Times New Roman" w:cs="Times New Roman"/>
                <w:b w:val="0"/>
                <w:bCs w:val="0"/>
                <w:color w:val="auto"/>
                <w:sz w:val="21"/>
                <w:highlight w:val="none"/>
              </w:rPr>
              <w:t>【白班劳务外包服务费单价+夜班劳务外包服务费单价】</w:t>
            </w:r>
          </w:p>
          <w:p>
            <w:pPr>
              <w:widowControl/>
              <w:jc w:val="left"/>
              <w:textAlignment w:val="center"/>
              <w:rPr>
                <w:rFonts w:hint="eastAsia" w:ascii="Times New Roman" w:hAnsi="Times New Roman" w:cs="Times New Roman"/>
                <w:lang w:val="en-US" w:eastAsia="zh-CN"/>
              </w:rPr>
            </w:pPr>
            <w:r>
              <w:rPr>
                <w:rFonts w:hint="default" w:ascii="Times New Roman" w:hAnsi="Times New Roman" w:eastAsia="宋体" w:cs="Times New Roman"/>
                <w:color w:val="auto"/>
                <w:kern w:val="2"/>
                <w:sz w:val="21"/>
                <w:szCs w:val="24"/>
                <w:highlight w:val="none"/>
                <w:lang w:val="en-US" w:eastAsia="zh-CN" w:bidi="ar-SA"/>
              </w:rPr>
              <w:t>标段3：价格分统一采用低价优先</w:t>
            </w:r>
            <w:r>
              <w:rPr>
                <w:rFonts w:hint="default" w:ascii="Times New Roman" w:hAnsi="Times New Roman" w:eastAsia="宋体" w:cs="Times New Roman"/>
                <w:kern w:val="2"/>
                <w:sz w:val="21"/>
                <w:szCs w:val="24"/>
                <w:lang w:val="en-US" w:eastAsia="zh-CN" w:bidi="ar-SA"/>
              </w:rPr>
              <w:t>法计算，即满足投标文件要求且</w:t>
            </w:r>
            <w:r>
              <w:rPr>
                <w:rFonts w:hint="default" w:ascii="Times New Roman" w:hAnsi="Times New Roman" w:cs="Times New Roman"/>
                <w:kern w:val="2"/>
                <w:sz w:val="21"/>
                <w:szCs w:val="24"/>
                <w:lang w:val="en-US" w:eastAsia="zh-CN" w:bidi="ar-SA"/>
              </w:rPr>
              <w:t>服务费率</w:t>
            </w:r>
            <w:r>
              <w:rPr>
                <w:rFonts w:hint="default" w:ascii="Times New Roman" w:hAnsi="Times New Roman" w:eastAsia="宋体" w:cs="Times New Roman"/>
                <w:kern w:val="2"/>
                <w:sz w:val="21"/>
                <w:szCs w:val="24"/>
                <w:lang w:val="en-US" w:eastAsia="zh-CN" w:bidi="ar-SA"/>
              </w:rPr>
              <w:t>最低的投标人的</w:t>
            </w:r>
            <w:r>
              <w:rPr>
                <w:rFonts w:hint="default" w:cs="Times New Roman"/>
                <w:kern w:val="2"/>
                <w:sz w:val="21"/>
                <w:szCs w:val="24"/>
                <w:lang w:eastAsia="zh-CN" w:bidi="ar-SA"/>
              </w:rPr>
              <w:t>费率</w:t>
            </w:r>
            <w:r>
              <w:rPr>
                <w:rFonts w:hint="default" w:ascii="Times New Roman" w:hAnsi="Times New Roman" w:eastAsia="宋体" w:cs="Times New Roman"/>
                <w:kern w:val="2"/>
                <w:sz w:val="21"/>
                <w:szCs w:val="24"/>
                <w:lang w:val="en-US" w:eastAsia="zh-CN" w:bidi="ar-SA"/>
              </w:rPr>
              <w:t>为基准价，其价格分为满分。其他投标人的价格分统一按照下列公式计算： 投标报价得分=（基准价/投标报价）×40。</w:t>
            </w:r>
          </w:p>
          <w:p>
            <w:pPr>
              <w:widowControl/>
              <w:jc w:val="left"/>
              <w:textAlignment w:val="center"/>
              <w:rPr>
                <w:rFonts w:hint="eastAsia" w:ascii="Times New Roman" w:hAnsi="Times New Roman" w:cs="Times New Roman"/>
                <w:lang w:val="en-US" w:eastAsia="zh-CN"/>
              </w:rPr>
            </w:pPr>
            <w:r>
              <w:rPr>
                <w:rFonts w:hint="eastAsia" w:ascii="宋体" w:hAnsi="宋体" w:eastAsia="宋体" w:cs="宋体"/>
                <w:b w:val="0"/>
                <w:bCs w:val="0"/>
                <w:color w:val="auto"/>
                <w:sz w:val="21"/>
                <w:szCs w:val="21"/>
                <w:highlight w:val="none"/>
              </w:rPr>
              <w:t>备注：投标报价按照含税价进行评分。</w:t>
            </w:r>
          </w:p>
        </w:tc>
      </w:tr>
    </w:tbl>
    <w:p/>
    <w:p>
      <w:pPr>
        <w:pStyle w:val="2"/>
      </w:pPr>
    </w:p>
    <w:p>
      <w:pPr>
        <w:pStyle w:val="40"/>
        <w:ind w:firstLine="0" w:firstLineChars="0"/>
        <w:rPr>
          <w:rFonts w:hint="eastAsia" w:ascii="宋体" w:hAnsi="宋体" w:cs="宋体"/>
          <w:sz w:val="36"/>
          <w:szCs w:val="36"/>
        </w:rPr>
      </w:pPr>
    </w:p>
    <w:p>
      <w:pPr>
        <w:pageBreakBefore/>
        <w:numPr>
          <w:ilvl w:val="0"/>
          <w:numId w:val="6"/>
        </w:numPr>
        <w:spacing w:line="360" w:lineRule="auto"/>
        <w:jc w:val="center"/>
        <w:rPr>
          <w:rFonts w:hint="eastAsia" w:ascii="宋体" w:hAnsi="宋体" w:cs="宋体"/>
          <w:b/>
          <w:bCs/>
          <w:kern w:val="44"/>
          <w:sz w:val="36"/>
          <w:szCs w:val="36"/>
        </w:rPr>
      </w:pPr>
      <w:r>
        <w:rPr>
          <w:rFonts w:hint="eastAsia" w:ascii="宋体" w:hAnsi="宋体" w:cs="宋体"/>
          <w:b/>
          <w:bCs/>
          <w:kern w:val="44"/>
          <w:sz w:val="36"/>
          <w:szCs w:val="36"/>
        </w:rPr>
        <w:t>劳务外包合同主要条款</w:t>
      </w:r>
    </w:p>
    <w:p>
      <w:pPr>
        <w:numPr>
          <w:ilvl w:val="255"/>
          <w:numId w:val="0"/>
        </w:numPr>
        <w:spacing w:line="360" w:lineRule="auto"/>
        <w:jc w:val="center"/>
        <w:rPr>
          <w:rFonts w:hint="eastAsia" w:ascii="宋体" w:hAnsi="宋体" w:cs="宋体"/>
          <w:b/>
          <w:bCs/>
          <w:kern w:val="44"/>
          <w:sz w:val="36"/>
          <w:szCs w:val="36"/>
        </w:rPr>
      </w:pPr>
      <w:r>
        <w:rPr>
          <w:rFonts w:hint="eastAsia" w:ascii="宋体" w:hAnsi="宋体" w:cs="宋体"/>
          <w:b/>
          <w:bCs/>
          <w:kern w:val="44"/>
          <w:sz w:val="36"/>
          <w:szCs w:val="36"/>
        </w:rPr>
        <w:t>（标段1、标段2）</w:t>
      </w:r>
    </w:p>
    <w:p>
      <w:pPr>
        <w:pStyle w:val="40"/>
        <w:numPr>
          <w:ilvl w:val="255"/>
          <w:numId w:val="0"/>
        </w:numPr>
      </w:pPr>
    </w:p>
    <w:p>
      <w:pPr>
        <w:spacing w:line="360" w:lineRule="auto"/>
        <w:ind w:left="315" w:leftChars="150" w:right="315" w:rightChars="150"/>
        <w:rPr>
          <w:rFonts w:hint="eastAsia" w:ascii="宋体" w:hAnsi="宋体" w:cs="宋体"/>
          <w:szCs w:val="21"/>
        </w:rPr>
      </w:pPr>
      <w:r>
        <w:rPr>
          <w:rFonts w:hint="eastAsia" w:ascii="宋体" w:hAnsi="宋体" w:cs="宋体"/>
          <w:szCs w:val="21"/>
        </w:rPr>
        <w:t xml:space="preserve">甲方： 广东省南方传媒发行物流有限公司                                  </w:t>
      </w:r>
    </w:p>
    <w:p>
      <w:pPr>
        <w:spacing w:line="360" w:lineRule="auto"/>
        <w:ind w:left="315" w:leftChars="150" w:right="315" w:rightChars="150"/>
        <w:rPr>
          <w:rFonts w:hint="eastAsia" w:ascii="宋体" w:hAnsi="宋体" w:cs="宋体"/>
          <w:szCs w:val="21"/>
        </w:rPr>
      </w:pPr>
      <w:r>
        <w:rPr>
          <w:rFonts w:hint="eastAsia" w:ascii="宋体" w:hAnsi="宋体" w:cs="宋体"/>
          <w:szCs w:val="21"/>
        </w:rPr>
        <w:t xml:space="preserve">乙方：                                                               </w:t>
      </w:r>
    </w:p>
    <w:p>
      <w:pPr>
        <w:spacing w:before="156" w:beforeLines="50" w:line="360" w:lineRule="auto"/>
        <w:ind w:left="315" w:leftChars="150" w:right="315" w:rightChars="150" w:firstLine="420" w:firstLineChars="200"/>
        <w:rPr>
          <w:rFonts w:hint="eastAsia" w:ascii="宋体" w:hAnsi="宋体" w:cs="宋体"/>
          <w:szCs w:val="21"/>
        </w:rPr>
      </w:pPr>
      <w:r>
        <w:rPr>
          <w:rFonts w:hint="eastAsia" w:ascii="宋体" w:hAnsi="宋体" w:cs="宋体"/>
          <w:szCs w:val="21"/>
        </w:rPr>
        <w:t>甲乙双方根据《</w:t>
      </w:r>
      <w:r>
        <w:fldChar w:fldCharType="begin"/>
      </w:r>
      <w:r>
        <w:instrText xml:space="preserve"> HYPERLINK "http://baike.baidu.com/view/1021776.htm" </w:instrText>
      </w:r>
      <w:r>
        <w:fldChar w:fldCharType="separate"/>
      </w:r>
      <w:r>
        <w:rPr>
          <w:rFonts w:hint="eastAsia" w:ascii="宋体" w:hAnsi="宋体" w:cs="宋体"/>
          <w:szCs w:val="21"/>
        </w:rPr>
        <w:t>中华人民共和国</w:t>
      </w:r>
      <w:r>
        <w:rPr>
          <w:rFonts w:hint="eastAsia" w:ascii="宋体" w:hAnsi="宋体" w:cs="宋体"/>
          <w:szCs w:val="21"/>
        </w:rPr>
        <w:fldChar w:fldCharType="end"/>
      </w:r>
      <w:r>
        <w:rPr>
          <w:rFonts w:hint="eastAsia" w:ascii="宋体" w:hAnsi="宋体" w:cs="宋体"/>
          <w:szCs w:val="21"/>
        </w:rPr>
        <w:t>民法典》的有关规定,根据平等、自愿、诚实信用、互惠互利的原则，现就甲方将劳务工作承包给乙方的有关事宜,订立如下协议：</w:t>
      </w:r>
    </w:p>
    <w:p>
      <w:pPr>
        <w:spacing w:line="360" w:lineRule="auto"/>
        <w:ind w:right="315" w:rightChars="150" w:firstLine="843" w:firstLineChars="400"/>
        <w:rPr>
          <w:rFonts w:hint="eastAsia" w:ascii="宋体" w:hAnsi="宋体" w:cs="宋体"/>
          <w:szCs w:val="21"/>
        </w:rPr>
      </w:pPr>
      <w:r>
        <w:rPr>
          <w:rFonts w:hint="eastAsia" w:ascii="宋体" w:hAnsi="宋体" w:cs="宋体"/>
          <w:b/>
          <w:szCs w:val="21"/>
        </w:rPr>
        <w:t>一、基本条款</w:t>
      </w:r>
    </w:p>
    <w:p>
      <w:pPr>
        <w:pStyle w:val="75"/>
        <w:spacing w:line="360" w:lineRule="auto"/>
        <w:ind w:left="400" w:right="315" w:rightChars="150" w:firstLine="630" w:firstLineChars="300"/>
        <w:rPr>
          <w:rFonts w:hint="eastAsia" w:ascii="宋体" w:hAnsi="宋体" w:cs="宋体"/>
          <w:szCs w:val="21"/>
        </w:rPr>
      </w:pPr>
      <w:r>
        <w:rPr>
          <w:rFonts w:hint="eastAsia" w:ascii="宋体" w:hAnsi="宋体" w:cs="宋体"/>
          <w:szCs w:val="21"/>
        </w:rPr>
        <w:t>第一条 甲方同意乙方承包甲方</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日至</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日期间相关劳务工作，工作地点：</w:t>
      </w:r>
    </w:p>
    <w:p>
      <w:pPr>
        <w:pStyle w:val="75"/>
        <w:spacing w:line="360" w:lineRule="auto"/>
        <w:ind w:right="315" w:rightChars="150" w:firstLine="840" w:firstLineChars="400"/>
        <w:rPr>
          <w:rFonts w:hint="eastAsia" w:ascii="宋体" w:hAnsi="宋体" w:cs="宋体"/>
          <w:szCs w:val="21"/>
          <w:u w:val="single"/>
        </w:rPr>
      </w:pPr>
      <w:r>
        <w:rPr>
          <w:rFonts w:hint="eastAsia" w:ascii="宋体" w:hAnsi="宋体" w:cs="宋体"/>
          <w:szCs w:val="21"/>
          <w:u w:val="single"/>
        </w:rPr>
        <w:t>1、佛山市南海区里水镇里和北路 8号南方报业产业基地（南海分拣基地）、东莞市凤岗龙平西路红石桥工业区天华创展印刷有限公司、</w:t>
      </w:r>
      <w:r>
        <w:rPr>
          <w:rFonts w:ascii="宋体" w:hAnsi="宋体" w:cs="宋体"/>
          <w:sz w:val="24"/>
        </w:rPr>
        <w:t>深圳市光明区马田街道马山头第四工业区70栋</w:t>
      </w:r>
      <w:r>
        <w:rPr>
          <w:rFonts w:hint="eastAsia" w:ascii="宋体" w:hAnsi="宋体" w:cs="宋体"/>
          <w:szCs w:val="21"/>
          <w:u w:val="single"/>
        </w:rPr>
        <w:t>或</w:t>
      </w:r>
      <w:r>
        <w:rPr>
          <w:rFonts w:ascii="宋体" w:hAnsi="宋体" w:cs="宋体"/>
          <w:sz w:val="24"/>
        </w:rPr>
        <w:t>深圳市龙岗区平湖街道富民工业区61栋</w:t>
      </w:r>
      <w:r>
        <w:rPr>
          <w:rFonts w:hint="eastAsia" w:ascii="宋体" w:hAnsi="宋体" w:cs="宋体"/>
          <w:szCs w:val="21"/>
          <w:u w:val="single"/>
        </w:rPr>
        <w:t>。</w:t>
      </w:r>
    </w:p>
    <w:p>
      <w:pPr>
        <w:pStyle w:val="75"/>
        <w:spacing w:line="360" w:lineRule="auto"/>
        <w:ind w:right="315" w:rightChars="150" w:firstLine="840" w:firstLineChars="400"/>
        <w:rPr>
          <w:rFonts w:hint="eastAsia" w:ascii="宋体" w:hAnsi="宋体" w:cs="宋体"/>
          <w:szCs w:val="21"/>
          <w:u w:val="single"/>
        </w:rPr>
      </w:pPr>
      <w:r>
        <w:rPr>
          <w:rFonts w:hint="eastAsia" w:ascii="宋体" w:hAnsi="宋体" w:cs="宋体"/>
          <w:szCs w:val="21"/>
          <w:u w:val="single"/>
        </w:rPr>
        <w:t>2、甲方其他需要劳务外包的地点（具体以附件《劳务费用价格表》或甲方通知为准）。</w:t>
      </w:r>
    </w:p>
    <w:p>
      <w:pPr>
        <w:pStyle w:val="75"/>
        <w:spacing w:line="360" w:lineRule="auto"/>
        <w:ind w:right="315" w:rightChars="150" w:firstLine="630" w:firstLineChars="300"/>
        <w:rPr>
          <w:rFonts w:hint="eastAsia" w:ascii="宋体" w:hAnsi="宋体" w:cs="宋体"/>
          <w:szCs w:val="21"/>
          <w:u w:val="single"/>
        </w:rPr>
      </w:pPr>
      <w:r>
        <w:rPr>
          <w:rFonts w:hint="eastAsia" w:ascii="宋体" w:hAnsi="宋体" w:cs="宋体"/>
          <w:szCs w:val="21"/>
          <w:u w:val="single"/>
        </w:rPr>
        <w:t xml:space="preserve">第二条  </w:t>
      </w:r>
      <w:r>
        <w:rPr>
          <w:rFonts w:hint="eastAsia" w:ascii="宋体" w:hAnsi="宋体" w:cs="宋体"/>
          <w:szCs w:val="21"/>
        </w:rPr>
        <w:t>乙方承包甲方劳务工作的具体内容：</w:t>
      </w:r>
      <w:r>
        <w:rPr>
          <w:rFonts w:hint="eastAsia" w:ascii="宋体" w:hAnsi="宋体" w:cs="宋体"/>
          <w:szCs w:val="21"/>
          <w:u w:val="single"/>
        </w:rPr>
        <w:t>乙方人员到甲方的场地，从事分拣、装卸、搬运等甲方交付的各项工作。</w:t>
      </w:r>
    </w:p>
    <w:p>
      <w:pPr>
        <w:pStyle w:val="75"/>
        <w:spacing w:line="360" w:lineRule="auto"/>
        <w:ind w:right="315" w:rightChars="150" w:firstLine="630" w:firstLineChars="300"/>
        <w:rPr>
          <w:rFonts w:hint="eastAsia" w:ascii="宋体" w:hAnsi="宋体" w:cs="宋体"/>
          <w:szCs w:val="21"/>
        </w:rPr>
      </w:pPr>
      <w:r>
        <w:rPr>
          <w:rFonts w:hint="eastAsia" w:ascii="宋体" w:hAnsi="宋体" w:cs="宋体"/>
          <w:szCs w:val="21"/>
          <w:u w:val="single"/>
        </w:rPr>
        <w:t xml:space="preserve">第三条  </w:t>
      </w:r>
      <w:r>
        <w:rPr>
          <w:rFonts w:hint="eastAsia" w:ascii="宋体" w:hAnsi="宋体" w:cs="宋体"/>
          <w:szCs w:val="21"/>
        </w:rPr>
        <w:t>本合同自</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日起至</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日止，因优品食材促销和单位团购市场变化，货量具有不确定性，甲方有权根据货量变化提前终止合同，并提前一天以书面形式（包括微信方式）通知乙方，乙方对此表示理解并同意接受。</w:t>
      </w:r>
    </w:p>
    <w:p>
      <w:pPr>
        <w:pStyle w:val="75"/>
        <w:spacing w:line="360" w:lineRule="auto"/>
        <w:ind w:right="315" w:rightChars="150" w:firstLine="630" w:firstLineChars="300"/>
        <w:rPr>
          <w:rFonts w:hint="eastAsia" w:ascii="宋体" w:hAnsi="宋体" w:cs="宋体"/>
          <w:szCs w:val="21"/>
        </w:rPr>
      </w:pPr>
      <w:r>
        <w:rPr>
          <w:rFonts w:hint="eastAsia" w:ascii="宋体" w:hAnsi="宋体" w:cs="宋体"/>
          <w:szCs w:val="21"/>
        </w:rPr>
        <w:t>第四条 乙方根据当日货量安排劳务人员人数、工作时长、工作天数，甲方提前一天以书面形式（包括微信方式）通知乙方。</w:t>
      </w:r>
    </w:p>
    <w:p>
      <w:pPr>
        <w:spacing w:line="360" w:lineRule="auto"/>
        <w:ind w:right="315" w:rightChars="150" w:firstLine="632" w:firstLineChars="300"/>
        <w:rPr>
          <w:rFonts w:hint="eastAsia" w:ascii="宋体" w:hAnsi="宋体" w:cs="宋体"/>
          <w:b/>
          <w:szCs w:val="21"/>
        </w:rPr>
      </w:pPr>
      <w:r>
        <w:rPr>
          <w:rFonts w:hint="eastAsia" w:ascii="宋体" w:hAnsi="宋体" w:cs="宋体"/>
          <w:b/>
          <w:szCs w:val="21"/>
        </w:rPr>
        <w:t>二、费用结算</w:t>
      </w:r>
    </w:p>
    <w:p>
      <w:pPr>
        <w:spacing w:line="360" w:lineRule="auto"/>
        <w:ind w:right="315" w:rightChars="150" w:firstLine="630" w:firstLineChars="300"/>
        <w:rPr>
          <w:rFonts w:hint="eastAsia" w:ascii="宋体" w:hAnsi="宋体" w:cs="宋体"/>
          <w:szCs w:val="21"/>
        </w:rPr>
      </w:pPr>
      <w:r>
        <w:rPr>
          <w:rFonts w:hint="eastAsia" w:ascii="宋体" w:hAnsi="宋体" w:cs="宋体"/>
          <w:bCs/>
          <w:szCs w:val="21"/>
        </w:rPr>
        <w:t xml:space="preserve">第五条 </w:t>
      </w:r>
      <w:r>
        <w:rPr>
          <w:rFonts w:hint="eastAsia" w:ascii="宋体" w:hAnsi="宋体" w:cs="宋体"/>
          <w:szCs w:val="21"/>
        </w:rPr>
        <w:t>甲方按照</w:t>
      </w:r>
      <w:r>
        <w:rPr>
          <w:rFonts w:hint="eastAsia" w:ascii="宋体" w:hAnsi="宋体" w:cs="宋体"/>
          <w:szCs w:val="21"/>
          <w:u w:val="single"/>
        </w:rPr>
        <w:t xml:space="preserve">    元/人/小时 </w:t>
      </w:r>
      <w:r>
        <w:rPr>
          <w:rFonts w:hint="eastAsia" w:ascii="宋体" w:hAnsi="宋体" w:cs="宋体"/>
          <w:szCs w:val="21"/>
        </w:rPr>
        <w:t xml:space="preserve">的标准与乙方结算劳务费（此费用包含税价，乙方需开具劳务费增值税专用发票给甲方）。 </w:t>
      </w:r>
    </w:p>
    <w:p>
      <w:pPr>
        <w:spacing w:line="360" w:lineRule="auto"/>
        <w:ind w:right="315" w:rightChars="150" w:firstLine="630" w:firstLineChars="300"/>
        <w:rPr>
          <w:rFonts w:hint="eastAsia" w:ascii="宋体" w:hAnsi="宋体" w:cs="宋体"/>
          <w:szCs w:val="21"/>
        </w:rPr>
      </w:pPr>
      <w:r>
        <w:rPr>
          <w:rFonts w:hint="eastAsia" w:ascii="宋体" w:hAnsi="宋体" w:cs="宋体"/>
          <w:szCs w:val="21"/>
        </w:rPr>
        <w:t>第六条 甲方支付乙方劳务费用，包含乙方雇员的工资、餐费、保险、乙方管理费、服务费等所有费用。甲方有权在支付费用前查询乙方上月工资支付和保险购买（含续费）情况，乙方必须予以配合，乙方无正当理由不予配合提供相关材料的，甲方有权暂缓支付劳务费用。</w:t>
      </w:r>
    </w:p>
    <w:p>
      <w:pPr>
        <w:spacing w:line="360" w:lineRule="auto"/>
        <w:ind w:right="315" w:rightChars="150" w:firstLine="630" w:firstLineChars="300"/>
        <w:rPr>
          <w:rFonts w:hint="eastAsia" w:ascii="宋体" w:hAnsi="宋体" w:cs="宋体"/>
          <w:szCs w:val="21"/>
        </w:rPr>
      </w:pPr>
      <w:r>
        <w:rPr>
          <w:rFonts w:hint="eastAsia" w:ascii="宋体" w:hAnsi="宋体" w:cs="宋体"/>
          <w:szCs w:val="21"/>
        </w:rPr>
        <w:t>第七条 双方指派专人每日书面确认乙方人员分拣（搬运、装卸）货物数量、质量情况，作为劳务费用的结算依据。</w:t>
      </w:r>
    </w:p>
    <w:p>
      <w:pPr>
        <w:spacing w:line="360" w:lineRule="auto"/>
        <w:ind w:right="315" w:rightChars="150" w:firstLine="630" w:firstLineChars="300"/>
        <w:rPr>
          <w:rFonts w:hint="eastAsia" w:ascii="宋体" w:hAnsi="宋体" w:cs="宋体"/>
          <w:szCs w:val="21"/>
        </w:rPr>
      </w:pPr>
      <w:r>
        <w:rPr>
          <w:rFonts w:hint="eastAsia" w:ascii="宋体" w:hAnsi="宋体" w:cs="宋体"/>
          <w:szCs w:val="21"/>
        </w:rPr>
        <w:t>第八条 劳务费用按月结算，每一周期结束后，双方对上一周期乙方分拣（搬运、装卸）货物数量和货损货差情况进行确认，制作书面劳务费用结算表，双方盖章或指定人员签名确认后，乙方开具劳务费发票，甲方在收到劳务发票后10个工作日内支付劳务费至乙方银行账号。</w:t>
      </w:r>
    </w:p>
    <w:p>
      <w:pPr>
        <w:spacing w:line="360" w:lineRule="auto"/>
        <w:ind w:right="315" w:rightChars="150" w:firstLine="422" w:firstLineChars="200"/>
        <w:rPr>
          <w:rFonts w:hint="eastAsia" w:ascii="宋体" w:hAnsi="宋体" w:cs="宋体"/>
          <w:b/>
          <w:szCs w:val="21"/>
        </w:rPr>
      </w:pPr>
      <w:r>
        <w:rPr>
          <w:rFonts w:hint="eastAsia" w:ascii="宋体" w:hAnsi="宋体" w:cs="宋体"/>
          <w:b/>
          <w:szCs w:val="21"/>
        </w:rPr>
        <w:t>三、保密条款</w:t>
      </w:r>
    </w:p>
    <w:p>
      <w:pPr>
        <w:pStyle w:val="75"/>
        <w:spacing w:line="360" w:lineRule="auto"/>
        <w:ind w:right="315" w:rightChars="150"/>
        <w:rPr>
          <w:rFonts w:hint="eastAsia" w:ascii="宋体" w:hAnsi="宋体" w:cs="宋体"/>
          <w:szCs w:val="21"/>
        </w:rPr>
      </w:pPr>
      <w:r>
        <w:rPr>
          <w:rFonts w:hint="eastAsia" w:ascii="宋体" w:hAnsi="宋体" w:cs="宋体"/>
          <w:szCs w:val="21"/>
        </w:rPr>
        <w:t>第九条 乙方在满足甲方业务要求的同时应遵守以下保密条款：</w:t>
      </w:r>
    </w:p>
    <w:p>
      <w:pPr>
        <w:pStyle w:val="75"/>
        <w:spacing w:line="360" w:lineRule="auto"/>
        <w:ind w:right="315" w:rightChars="150"/>
        <w:rPr>
          <w:rFonts w:hint="eastAsia" w:ascii="宋体" w:hAnsi="宋体" w:cs="宋体"/>
          <w:szCs w:val="21"/>
        </w:rPr>
      </w:pPr>
      <w:r>
        <w:rPr>
          <w:rFonts w:hint="eastAsia" w:ascii="宋体" w:hAnsi="宋体" w:cs="宋体"/>
          <w:szCs w:val="21"/>
        </w:rPr>
        <w:t>1、为完成本合同委托事项，甲方提供给乙方的或者乙方从甲方获取的资料和相关的商业秘密，包括但不限于商业信息、技术信息、公司政策、客户名录、发货情况、与其他企业业务协助有关的信息；公司上级单位、关联公司有关的信息以及甲乙双方指定的其他保密信息等等，乙方负有保密的义务，并且应采取一切合理的措施以使其所接受的资料免于散发、传播、披露、复制、滥用及被无关人员接触；</w:t>
      </w:r>
    </w:p>
    <w:p>
      <w:pPr>
        <w:pStyle w:val="75"/>
        <w:spacing w:line="360" w:lineRule="auto"/>
        <w:ind w:right="315" w:rightChars="150"/>
        <w:rPr>
          <w:rFonts w:hint="eastAsia" w:ascii="宋体" w:hAnsi="宋体" w:cs="宋体"/>
          <w:szCs w:val="21"/>
        </w:rPr>
      </w:pPr>
      <w:r>
        <w:rPr>
          <w:rFonts w:hint="eastAsia" w:ascii="宋体" w:hAnsi="宋体" w:cs="宋体"/>
          <w:szCs w:val="21"/>
        </w:rPr>
        <w:t>2、乙方应当告知并以适当方式要求其参与本合同签订或执行工作之雇员遵守本协议规定，若参与本合同工作的乙方雇员违反本协议规定，乙方应承担连带责任；</w:t>
      </w:r>
    </w:p>
    <w:p>
      <w:pPr>
        <w:pStyle w:val="75"/>
        <w:spacing w:line="360" w:lineRule="auto"/>
        <w:ind w:right="315" w:rightChars="150"/>
        <w:rPr>
          <w:rFonts w:hint="eastAsia" w:ascii="宋体" w:hAnsi="宋体" w:cs="宋体"/>
          <w:szCs w:val="21"/>
        </w:rPr>
      </w:pPr>
      <w:r>
        <w:rPr>
          <w:rFonts w:hint="eastAsia" w:ascii="宋体" w:hAnsi="宋体" w:cs="宋体"/>
          <w:szCs w:val="21"/>
        </w:rPr>
        <w:t>3、乙方承担保密义务的期限不受合同有效期限的限制，即使本合同终止，该保密条款对乙方仍然有约束力。</w:t>
      </w:r>
    </w:p>
    <w:p>
      <w:pPr>
        <w:spacing w:line="360" w:lineRule="auto"/>
        <w:ind w:right="315" w:rightChars="150" w:firstLine="422" w:firstLineChars="200"/>
        <w:rPr>
          <w:rFonts w:hint="eastAsia" w:ascii="宋体" w:hAnsi="宋体" w:cs="宋体"/>
          <w:b/>
          <w:szCs w:val="21"/>
        </w:rPr>
      </w:pPr>
      <w:r>
        <w:rPr>
          <w:rFonts w:hint="eastAsia" w:ascii="宋体" w:hAnsi="宋体" w:cs="宋体"/>
          <w:b/>
          <w:szCs w:val="21"/>
        </w:rPr>
        <w:t>四、双方责任、权利</w:t>
      </w:r>
    </w:p>
    <w:p>
      <w:pPr>
        <w:pStyle w:val="75"/>
        <w:spacing w:line="360" w:lineRule="auto"/>
        <w:ind w:right="315" w:rightChars="150"/>
        <w:rPr>
          <w:rFonts w:hint="eastAsia" w:ascii="宋体" w:hAnsi="宋体" w:cs="宋体"/>
          <w:szCs w:val="21"/>
        </w:rPr>
      </w:pPr>
      <w:r>
        <w:rPr>
          <w:rFonts w:hint="eastAsia" w:ascii="宋体" w:hAnsi="宋体" w:cs="宋体"/>
          <w:szCs w:val="21"/>
        </w:rPr>
        <w:t>第十条  甲方为配合乙方做好相关的业务，应遵循以下职责，履行相应的权利和义务：</w:t>
      </w:r>
    </w:p>
    <w:p>
      <w:pPr>
        <w:pStyle w:val="75"/>
        <w:spacing w:line="360" w:lineRule="auto"/>
        <w:ind w:right="315" w:rightChars="150"/>
        <w:rPr>
          <w:rFonts w:hint="eastAsia" w:ascii="宋体" w:hAnsi="宋体" w:cs="宋体"/>
          <w:szCs w:val="21"/>
        </w:rPr>
      </w:pPr>
      <w:r>
        <w:rPr>
          <w:rFonts w:hint="eastAsia" w:ascii="宋体" w:hAnsi="宋体" w:cs="宋体"/>
          <w:szCs w:val="21"/>
        </w:rPr>
        <w:t>1、应为乙方提供作业区域、器具；</w:t>
      </w:r>
    </w:p>
    <w:p>
      <w:pPr>
        <w:pStyle w:val="75"/>
        <w:spacing w:line="360" w:lineRule="auto"/>
        <w:ind w:right="315" w:rightChars="150"/>
        <w:rPr>
          <w:rFonts w:hint="eastAsia" w:ascii="宋体" w:hAnsi="宋体" w:cs="宋体"/>
          <w:szCs w:val="21"/>
        </w:rPr>
      </w:pPr>
      <w:r>
        <w:rPr>
          <w:rFonts w:hint="eastAsia" w:ascii="宋体" w:hAnsi="宋体" w:cs="宋体"/>
          <w:szCs w:val="21"/>
        </w:rPr>
        <w:t>2、应提前通知乙方预工作信息，包括加急时间和数量；</w:t>
      </w:r>
    </w:p>
    <w:p>
      <w:pPr>
        <w:pStyle w:val="75"/>
        <w:spacing w:line="360" w:lineRule="auto"/>
        <w:ind w:right="315" w:rightChars="150"/>
        <w:rPr>
          <w:rFonts w:hint="eastAsia" w:ascii="宋体" w:hAnsi="宋体" w:cs="宋体"/>
          <w:szCs w:val="21"/>
        </w:rPr>
      </w:pPr>
      <w:r>
        <w:rPr>
          <w:rFonts w:hint="eastAsia" w:ascii="宋体" w:hAnsi="宋体" w:cs="宋体"/>
          <w:szCs w:val="21"/>
        </w:rPr>
        <w:t>3、指定负责人与乙方进行货物交接、数量确认、费用结算及其他事宜协调；</w:t>
      </w:r>
    </w:p>
    <w:p>
      <w:pPr>
        <w:pStyle w:val="75"/>
        <w:spacing w:line="360" w:lineRule="auto"/>
        <w:ind w:right="315" w:rightChars="150"/>
        <w:rPr>
          <w:rFonts w:hint="eastAsia" w:ascii="宋体" w:hAnsi="宋体" w:cs="宋体"/>
          <w:szCs w:val="21"/>
        </w:rPr>
      </w:pPr>
      <w:r>
        <w:rPr>
          <w:rFonts w:hint="eastAsia" w:ascii="宋体" w:hAnsi="宋体" w:cs="宋体"/>
          <w:szCs w:val="21"/>
        </w:rPr>
        <w:t>4、向乙方提供必要的操作流程和安全管理要求，流程有变动应及时通知乙方；</w:t>
      </w:r>
    </w:p>
    <w:p>
      <w:pPr>
        <w:pStyle w:val="75"/>
        <w:spacing w:line="360" w:lineRule="auto"/>
        <w:ind w:right="315" w:rightChars="150"/>
        <w:rPr>
          <w:rFonts w:hint="eastAsia" w:ascii="宋体" w:hAnsi="宋体" w:cs="宋体"/>
          <w:szCs w:val="21"/>
        </w:rPr>
      </w:pPr>
      <w:r>
        <w:rPr>
          <w:rFonts w:hint="eastAsia" w:ascii="宋体" w:hAnsi="宋体" w:cs="宋体"/>
          <w:szCs w:val="21"/>
        </w:rPr>
        <w:t>5、为乙方操作人员熟悉甲方产品的操作、摆放要求提供必要的产品知识培训；</w:t>
      </w:r>
    </w:p>
    <w:p>
      <w:pPr>
        <w:pStyle w:val="75"/>
        <w:spacing w:line="360" w:lineRule="auto"/>
        <w:ind w:right="315" w:rightChars="150"/>
        <w:rPr>
          <w:rFonts w:hint="eastAsia" w:ascii="宋体" w:hAnsi="宋体" w:cs="宋体"/>
          <w:szCs w:val="21"/>
        </w:rPr>
      </w:pPr>
      <w:r>
        <w:rPr>
          <w:rFonts w:hint="eastAsia" w:ascii="宋体" w:hAnsi="宋体" w:cs="宋体"/>
          <w:szCs w:val="21"/>
        </w:rPr>
        <w:t>6、按时支付乙方劳务费用；</w:t>
      </w:r>
    </w:p>
    <w:p>
      <w:pPr>
        <w:pStyle w:val="75"/>
        <w:spacing w:line="360" w:lineRule="auto"/>
        <w:ind w:right="315" w:rightChars="150"/>
        <w:rPr>
          <w:rFonts w:hint="eastAsia" w:ascii="宋体" w:hAnsi="宋体" w:cs="宋体"/>
          <w:szCs w:val="21"/>
        </w:rPr>
      </w:pPr>
      <w:r>
        <w:rPr>
          <w:rFonts w:hint="eastAsia" w:ascii="宋体" w:hAnsi="宋体" w:cs="宋体"/>
          <w:szCs w:val="21"/>
        </w:rPr>
        <w:t>7、甲方有权抽查乙方雇员的入职资料、身份证明等材料的真实性，乙方及其雇员应配合甲方的抽检；</w:t>
      </w:r>
    </w:p>
    <w:p>
      <w:pPr>
        <w:pStyle w:val="75"/>
        <w:spacing w:line="360" w:lineRule="auto"/>
        <w:ind w:right="315" w:rightChars="150"/>
        <w:rPr>
          <w:rFonts w:hint="eastAsia" w:ascii="宋体" w:hAnsi="宋体" w:cs="宋体"/>
          <w:szCs w:val="21"/>
        </w:rPr>
      </w:pPr>
      <w:r>
        <w:rPr>
          <w:rFonts w:hint="eastAsia" w:ascii="宋体" w:hAnsi="宋体" w:cs="宋体"/>
          <w:szCs w:val="21"/>
        </w:rPr>
        <w:t>8、乙方雇员有下列情形之一的，甲方有权要求乙方立即更换：</w:t>
      </w:r>
    </w:p>
    <w:p>
      <w:pPr>
        <w:pStyle w:val="75"/>
        <w:spacing w:line="360" w:lineRule="auto"/>
        <w:ind w:right="315" w:rightChars="150"/>
        <w:rPr>
          <w:rFonts w:hint="eastAsia" w:ascii="宋体" w:hAnsi="宋体" w:cs="宋体"/>
          <w:szCs w:val="21"/>
        </w:rPr>
      </w:pPr>
      <w:r>
        <w:rPr>
          <w:rFonts w:hint="eastAsia" w:ascii="宋体" w:hAnsi="宋体" w:cs="宋体"/>
          <w:szCs w:val="21"/>
        </w:rPr>
        <w:t>（1）乙方雇员违反操作规程，造成所负责的工作不能正常运行，或不能保证工作质量，给甲方造成损失的；</w:t>
      </w:r>
    </w:p>
    <w:p>
      <w:pPr>
        <w:pStyle w:val="75"/>
        <w:spacing w:line="360" w:lineRule="auto"/>
        <w:ind w:right="315" w:rightChars="150"/>
        <w:rPr>
          <w:rFonts w:hint="eastAsia" w:ascii="宋体" w:hAnsi="宋体" w:cs="宋体"/>
          <w:szCs w:val="21"/>
        </w:rPr>
      </w:pPr>
      <w:r>
        <w:rPr>
          <w:rFonts w:hint="eastAsia" w:ascii="宋体" w:hAnsi="宋体" w:cs="宋体"/>
          <w:szCs w:val="21"/>
        </w:rPr>
        <w:t>（2）乙方雇员违反甲方规章制度和劳动纪律的；</w:t>
      </w:r>
    </w:p>
    <w:p>
      <w:pPr>
        <w:pStyle w:val="75"/>
        <w:spacing w:line="360" w:lineRule="auto"/>
        <w:ind w:right="315" w:rightChars="150"/>
        <w:rPr>
          <w:rFonts w:hint="eastAsia" w:ascii="宋体" w:hAnsi="宋体" w:cs="宋体"/>
          <w:szCs w:val="21"/>
        </w:rPr>
      </w:pPr>
      <w:r>
        <w:rPr>
          <w:rFonts w:hint="eastAsia" w:ascii="宋体" w:hAnsi="宋体" w:cs="宋体"/>
          <w:szCs w:val="21"/>
        </w:rPr>
        <w:t>（3）乙方雇员不能提供真实有效的身份证明，或提供虚假身份证明的；</w:t>
      </w:r>
    </w:p>
    <w:p>
      <w:pPr>
        <w:pStyle w:val="75"/>
        <w:spacing w:line="360" w:lineRule="auto"/>
        <w:ind w:right="315" w:rightChars="150"/>
        <w:rPr>
          <w:rFonts w:hint="eastAsia" w:ascii="宋体" w:hAnsi="宋体" w:cs="宋体"/>
          <w:szCs w:val="21"/>
        </w:rPr>
      </w:pPr>
      <w:r>
        <w:rPr>
          <w:rFonts w:hint="eastAsia" w:ascii="宋体" w:hAnsi="宋体" w:cs="宋体"/>
          <w:szCs w:val="21"/>
        </w:rPr>
        <w:t>（4）乙方雇员在工作中谩骂、殴打他人的；</w:t>
      </w:r>
    </w:p>
    <w:p>
      <w:pPr>
        <w:pStyle w:val="75"/>
        <w:spacing w:line="360" w:lineRule="auto"/>
        <w:ind w:right="315" w:rightChars="150"/>
        <w:rPr>
          <w:rFonts w:hint="eastAsia" w:ascii="宋体" w:hAnsi="宋体" w:cs="宋体"/>
          <w:szCs w:val="21"/>
        </w:rPr>
      </w:pPr>
      <w:r>
        <w:rPr>
          <w:rFonts w:hint="eastAsia" w:ascii="宋体" w:hAnsi="宋体" w:cs="宋体"/>
          <w:szCs w:val="21"/>
        </w:rPr>
        <w:t>（5）偷盗物资，给甲方造成经济损失的；</w:t>
      </w:r>
    </w:p>
    <w:p>
      <w:pPr>
        <w:pStyle w:val="75"/>
        <w:spacing w:line="360" w:lineRule="auto"/>
        <w:ind w:right="315" w:rightChars="150"/>
        <w:rPr>
          <w:rFonts w:hint="eastAsia" w:ascii="宋体" w:hAnsi="宋体" w:cs="宋体"/>
          <w:szCs w:val="21"/>
        </w:rPr>
      </w:pPr>
      <w:r>
        <w:rPr>
          <w:rFonts w:hint="eastAsia" w:ascii="宋体" w:hAnsi="宋体" w:cs="宋体"/>
          <w:szCs w:val="21"/>
        </w:rPr>
        <w:t>（6）被依法追究刑事责任的；</w:t>
      </w:r>
    </w:p>
    <w:p>
      <w:pPr>
        <w:pStyle w:val="75"/>
        <w:spacing w:line="360" w:lineRule="auto"/>
        <w:ind w:right="315" w:rightChars="150"/>
        <w:rPr>
          <w:rFonts w:hint="eastAsia" w:ascii="宋体" w:hAnsi="宋体" w:cs="宋体"/>
          <w:szCs w:val="21"/>
        </w:rPr>
      </w:pPr>
      <w:r>
        <w:rPr>
          <w:rFonts w:hint="eastAsia" w:ascii="宋体" w:hAnsi="宋体" w:cs="宋体"/>
          <w:szCs w:val="21"/>
        </w:rPr>
        <w:t>（7）不符合甲方工作要求的其他情形。</w:t>
      </w:r>
    </w:p>
    <w:p>
      <w:pPr>
        <w:pStyle w:val="75"/>
        <w:spacing w:line="360" w:lineRule="auto"/>
        <w:ind w:right="315" w:rightChars="150"/>
        <w:rPr>
          <w:rFonts w:hint="eastAsia" w:ascii="宋体" w:hAnsi="宋体" w:cs="宋体"/>
          <w:szCs w:val="21"/>
        </w:rPr>
      </w:pPr>
      <w:r>
        <w:rPr>
          <w:rFonts w:hint="eastAsia" w:ascii="宋体" w:hAnsi="宋体" w:cs="宋体"/>
          <w:szCs w:val="21"/>
        </w:rPr>
        <w:t>以上情形一经发现，甲方有权要求乙方立即退回或更换，给甲方造成损失的，由乙方负责赔偿。</w:t>
      </w:r>
    </w:p>
    <w:p>
      <w:pPr>
        <w:pStyle w:val="75"/>
        <w:spacing w:line="360" w:lineRule="auto"/>
        <w:ind w:right="315" w:rightChars="150"/>
        <w:rPr>
          <w:rFonts w:hint="eastAsia" w:ascii="宋体" w:hAnsi="宋体" w:cs="宋体"/>
          <w:szCs w:val="21"/>
        </w:rPr>
      </w:pPr>
      <w:r>
        <w:rPr>
          <w:rFonts w:hint="eastAsia" w:ascii="宋体" w:hAnsi="宋体" w:cs="宋体"/>
          <w:szCs w:val="21"/>
        </w:rPr>
        <w:t>第十一条  乙方为了满足甲方业务要求，应履行以下职责：</w:t>
      </w:r>
    </w:p>
    <w:p>
      <w:pPr>
        <w:pStyle w:val="75"/>
        <w:spacing w:line="360" w:lineRule="auto"/>
        <w:ind w:right="315" w:rightChars="150"/>
        <w:rPr>
          <w:rFonts w:hint="eastAsia" w:ascii="宋体" w:hAnsi="宋体" w:cs="宋体"/>
          <w:szCs w:val="21"/>
        </w:rPr>
      </w:pPr>
      <w:r>
        <w:rPr>
          <w:rFonts w:hint="eastAsia" w:ascii="宋体" w:hAnsi="宋体" w:cs="宋体"/>
          <w:bCs/>
          <w:szCs w:val="21"/>
          <w:u w:val="single"/>
        </w:rPr>
        <w:t xml:space="preserve">1、在甲方规定的时间 </w:t>
      </w:r>
      <w:r>
        <w:rPr>
          <w:rFonts w:hint="eastAsia" w:ascii="宋体" w:hAnsi="宋体" w:cs="宋体"/>
          <w:bCs/>
          <w:szCs w:val="21"/>
        </w:rPr>
        <w:t>提供</w:t>
      </w:r>
      <w:r>
        <w:rPr>
          <w:rFonts w:hint="eastAsia" w:ascii="宋体" w:hAnsi="宋体" w:cs="宋体"/>
          <w:bCs/>
          <w:szCs w:val="21"/>
          <w:u w:val="single"/>
        </w:rPr>
        <w:t xml:space="preserve"> 满足甲方货量需求所需人数</w:t>
      </w:r>
      <w:r>
        <w:rPr>
          <w:rFonts w:hint="eastAsia" w:ascii="宋体" w:hAnsi="宋体" w:cs="宋体"/>
          <w:bCs/>
          <w:szCs w:val="21"/>
        </w:rPr>
        <w:t>派驻甲方指定地点，为甲</w:t>
      </w:r>
      <w:r>
        <w:rPr>
          <w:rFonts w:hint="eastAsia" w:ascii="宋体" w:hAnsi="宋体" w:cs="宋体"/>
          <w:szCs w:val="21"/>
        </w:rPr>
        <w:t>方提供协议约定的服务，乙方必须保证出勤人数，不得影响甲方的正常工作进展；</w:t>
      </w:r>
    </w:p>
    <w:p>
      <w:pPr>
        <w:pStyle w:val="75"/>
        <w:spacing w:line="360" w:lineRule="auto"/>
        <w:ind w:right="315" w:rightChars="150"/>
        <w:rPr>
          <w:rFonts w:hint="eastAsia" w:ascii="宋体" w:hAnsi="宋体" w:cs="宋体"/>
          <w:szCs w:val="21"/>
        </w:rPr>
      </w:pPr>
      <w:r>
        <w:rPr>
          <w:rFonts w:hint="eastAsia" w:ascii="宋体" w:hAnsi="宋体" w:cs="宋体"/>
          <w:szCs w:val="21"/>
        </w:rPr>
        <w:t>2、</w:t>
      </w:r>
      <w:r>
        <w:rPr>
          <w:rFonts w:hint="eastAsia" w:ascii="宋体" w:hAnsi="宋体" w:cs="宋体"/>
          <w:szCs w:val="21"/>
          <w:lang w:val="fr-FR"/>
        </w:rPr>
        <w:t>乙方须根据甲方工作需求，选派符合甲方要求的乙方雇员到甲方指定的地点工作，并于劳务人员前来甲方场地工作前调查劳务人员之身份，确保无在案的不法分子混入：</w:t>
      </w:r>
    </w:p>
    <w:p>
      <w:pPr>
        <w:pStyle w:val="75"/>
        <w:spacing w:line="360" w:lineRule="auto"/>
        <w:ind w:right="315" w:rightChars="150"/>
        <w:rPr>
          <w:rFonts w:hint="eastAsia" w:ascii="宋体" w:hAnsi="宋体" w:cs="宋体"/>
          <w:szCs w:val="21"/>
        </w:rPr>
      </w:pPr>
      <w:r>
        <w:rPr>
          <w:rFonts w:hint="eastAsia" w:ascii="宋体" w:hAnsi="宋体" w:cs="宋体"/>
          <w:szCs w:val="21"/>
        </w:rPr>
        <w:t>（1）年龄：18岁-50岁，身体健康；</w:t>
      </w:r>
    </w:p>
    <w:p>
      <w:pPr>
        <w:pStyle w:val="75"/>
        <w:spacing w:line="360" w:lineRule="auto"/>
        <w:ind w:right="315" w:rightChars="150"/>
        <w:rPr>
          <w:rFonts w:hint="eastAsia" w:ascii="宋体" w:hAnsi="宋体" w:cs="宋体"/>
          <w:szCs w:val="21"/>
        </w:rPr>
      </w:pPr>
      <w:r>
        <w:rPr>
          <w:rFonts w:hint="eastAsia" w:ascii="宋体" w:hAnsi="宋体" w:cs="宋体"/>
          <w:szCs w:val="21"/>
        </w:rPr>
        <w:t>（2）道德品行较好、无吸食毒及传染性疾病，自残性病史及违法记录等;</w:t>
      </w:r>
    </w:p>
    <w:p>
      <w:pPr>
        <w:pStyle w:val="75"/>
        <w:spacing w:line="360" w:lineRule="auto"/>
        <w:ind w:right="315" w:rightChars="150"/>
        <w:rPr>
          <w:rFonts w:hint="eastAsia" w:ascii="宋体" w:hAnsi="宋体" w:cs="宋体"/>
          <w:szCs w:val="21"/>
        </w:rPr>
      </w:pPr>
      <w:r>
        <w:rPr>
          <w:rFonts w:hint="eastAsia" w:ascii="宋体" w:hAnsi="宋体" w:cs="宋体"/>
          <w:szCs w:val="21"/>
        </w:rPr>
        <w:t>（3）甲方可调查乙方劳务人员的真实身分，如乙方提供不真实资料，劳务人员在职期间发生上述情形事故，甲方有权无偿退回给乙方，所造成的责任和损失由乙方承担。</w:t>
      </w:r>
    </w:p>
    <w:p>
      <w:pPr>
        <w:pStyle w:val="75"/>
        <w:spacing w:line="360" w:lineRule="auto"/>
        <w:ind w:right="315" w:rightChars="150"/>
        <w:rPr>
          <w:rFonts w:hint="eastAsia" w:ascii="宋体" w:hAnsi="宋体" w:cs="宋体"/>
          <w:szCs w:val="21"/>
          <w:lang w:val="fr-FR"/>
        </w:rPr>
      </w:pPr>
      <w:r>
        <w:rPr>
          <w:rFonts w:hint="eastAsia" w:ascii="宋体" w:hAnsi="宋体" w:cs="宋体"/>
          <w:szCs w:val="21"/>
        </w:rPr>
        <w:t>3、</w:t>
      </w:r>
      <w:r>
        <w:rPr>
          <w:rFonts w:hint="eastAsia" w:ascii="宋体" w:hAnsi="宋体" w:cs="宋体"/>
          <w:szCs w:val="21"/>
          <w:lang w:val="fr-FR"/>
        </w:rPr>
        <w:t>除提货工作外，库房的退货工作均由乙方负责完成，并对作业过程中所产生的货品差异负责。</w:t>
      </w:r>
    </w:p>
    <w:p>
      <w:pPr>
        <w:pStyle w:val="75"/>
        <w:spacing w:line="360" w:lineRule="auto"/>
        <w:ind w:right="315" w:rightChars="150"/>
        <w:rPr>
          <w:rFonts w:hint="eastAsia" w:ascii="宋体" w:hAnsi="宋体" w:cs="宋体"/>
          <w:szCs w:val="21"/>
          <w:lang w:val="fr-FR"/>
        </w:rPr>
      </w:pPr>
      <w:r>
        <w:rPr>
          <w:rFonts w:hint="eastAsia" w:ascii="宋体" w:hAnsi="宋体" w:cs="宋体"/>
          <w:szCs w:val="21"/>
        </w:rPr>
        <w:t>4、</w:t>
      </w:r>
      <w:r>
        <w:rPr>
          <w:rFonts w:hint="eastAsia" w:ascii="宋体" w:hAnsi="宋体" w:cs="宋体"/>
          <w:szCs w:val="21"/>
          <w:lang w:val="fr-FR"/>
        </w:rPr>
        <w:t>乙方保证已经向其雇员详实告知甲方的工作内容、工作要求、规章制度及安全操作要求，保证派出人员遵守并执行。甲方可根据实际需求，对乙方新上岗人员进行规章制度及安全操作流程培训，但并不因此而免除或减轻乙方用人单位职责。</w:t>
      </w:r>
    </w:p>
    <w:p>
      <w:pPr>
        <w:pStyle w:val="75"/>
        <w:spacing w:line="360" w:lineRule="auto"/>
        <w:ind w:right="315" w:rightChars="150"/>
        <w:rPr>
          <w:rFonts w:hint="eastAsia" w:ascii="宋体" w:hAnsi="宋体" w:cs="宋体"/>
          <w:szCs w:val="21"/>
          <w:lang w:val="fr-FR"/>
        </w:rPr>
      </w:pPr>
      <w:r>
        <w:rPr>
          <w:rFonts w:hint="eastAsia" w:ascii="宋体" w:hAnsi="宋体" w:cs="宋体"/>
          <w:szCs w:val="21"/>
        </w:rPr>
        <w:t>5、</w:t>
      </w:r>
      <w:r>
        <w:rPr>
          <w:rFonts w:hint="eastAsia" w:ascii="宋体" w:hAnsi="宋体" w:cs="宋体"/>
          <w:szCs w:val="21"/>
          <w:lang w:val="fr-FR"/>
        </w:rPr>
        <w:t>如因乙方雇员原因造成甲方货物损坏、丢失等情形，造成的经济损失，乙方须照价赔偿，甲方在支付乙方的劳务费用中直接扣除。</w:t>
      </w:r>
    </w:p>
    <w:p>
      <w:pPr>
        <w:pStyle w:val="75"/>
        <w:spacing w:line="360" w:lineRule="auto"/>
        <w:ind w:right="315" w:rightChars="150"/>
        <w:rPr>
          <w:rFonts w:hint="eastAsia" w:ascii="宋体" w:hAnsi="宋体" w:cs="宋体"/>
          <w:szCs w:val="21"/>
          <w:lang w:val="fr-FR"/>
        </w:rPr>
      </w:pPr>
      <w:r>
        <w:rPr>
          <w:rFonts w:hint="eastAsia" w:ascii="宋体" w:hAnsi="宋体" w:cs="宋体"/>
          <w:szCs w:val="21"/>
        </w:rPr>
        <w:t>6、乙方应按甲方货量需求安排劳务人员，如派出人数不足，不能完成当日货物分拣量的、对甲方工作造成影响的，甲方有权按不能完成货量劳务费的2倍扣发乙方劳务费，</w:t>
      </w:r>
      <w:r>
        <w:rPr>
          <w:rFonts w:hint="eastAsia" w:ascii="宋体" w:hAnsi="宋体" w:cs="宋体"/>
          <w:szCs w:val="21"/>
          <w:lang w:val="fr-FR"/>
        </w:rPr>
        <w:t>在支付乙方的劳务费用中直接扣除。</w:t>
      </w:r>
    </w:p>
    <w:p>
      <w:pPr>
        <w:pStyle w:val="75"/>
        <w:spacing w:line="360" w:lineRule="auto"/>
        <w:ind w:right="315" w:rightChars="150"/>
        <w:rPr>
          <w:rFonts w:hint="eastAsia" w:ascii="宋体" w:hAnsi="宋体" w:cs="宋体"/>
          <w:szCs w:val="21"/>
        </w:rPr>
      </w:pPr>
      <w:r>
        <w:rPr>
          <w:rFonts w:hint="eastAsia" w:ascii="宋体" w:hAnsi="宋体" w:cs="宋体"/>
          <w:szCs w:val="21"/>
        </w:rPr>
        <w:t>7在为甲方提供服务期间，乙方保证所派雇员接受甲方管理，遵守甲方的工作制度和作息时间，不得在未经甲方允许情况下擅离职守或从事与甲方交派的任务无关的工作；</w:t>
      </w:r>
    </w:p>
    <w:p>
      <w:pPr>
        <w:pStyle w:val="75"/>
        <w:spacing w:line="360" w:lineRule="auto"/>
        <w:ind w:right="315" w:rightChars="150"/>
        <w:rPr>
          <w:rFonts w:hint="eastAsia" w:ascii="宋体" w:hAnsi="宋体" w:cs="宋体"/>
          <w:szCs w:val="21"/>
        </w:rPr>
      </w:pPr>
      <w:r>
        <w:rPr>
          <w:rFonts w:hint="eastAsia" w:ascii="宋体" w:hAnsi="宋体" w:cs="宋体"/>
          <w:szCs w:val="21"/>
        </w:rPr>
        <w:t>8、乙方有权拒绝为甲方危险品、非法物品提供作业；</w:t>
      </w:r>
    </w:p>
    <w:p>
      <w:pPr>
        <w:pStyle w:val="75"/>
        <w:spacing w:line="360" w:lineRule="auto"/>
        <w:ind w:right="315" w:rightChars="150"/>
        <w:rPr>
          <w:rFonts w:hint="eastAsia" w:ascii="宋体" w:hAnsi="宋体" w:cs="宋体"/>
          <w:szCs w:val="21"/>
        </w:rPr>
      </w:pPr>
      <w:r>
        <w:rPr>
          <w:rFonts w:hint="eastAsia" w:ascii="宋体" w:hAnsi="宋体" w:cs="宋体"/>
          <w:szCs w:val="21"/>
        </w:rPr>
        <w:t>9、乙方有权拒绝合同范围以外的作业要求；</w:t>
      </w:r>
    </w:p>
    <w:p>
      <w:pPr>
        <w:pStyle w:val="75"/>
        <w:spacing w:line="360" w:lineRule="auto"/>
        <w:ind w:right="315" w:rightChars="150"/>
        <w:rPr>
          <w:rFonts w:hint="eastAsia" w:ascii="宋体" w:hAnsi="宋体" w:cs="宋体"/>
          <w:szCs w:val="21"/>
          <w:lang w:val="fr-FR"/>
        </w:rPr>
      </w:pPr>
      <w:r>
        <w:rPr>
          <w:rFonts w:hint="eastAsia" w:ascii="宋体" w:hAnsi="宋体" w:cs="宋体"/>
          <w:szCs w:val="21"/>
        </w:rPr>
        <w:t>10、仓库内至货物上车时的一段距离由乙方雇员造成的破损货物，由乙方负责；</w:t>
      </w:r>
    </w:p>
    <w:p>
      <w:pPr>
        <w:pStyle w:val="75"/>
        <w:spacing w:line="360" w:lineRule="auto"/>
        <w:ind w:right="315" w:rightChars="150"/>
        <w:rPr>
          <w:rFonts w:hint="eastAsia" w:ascii="宋体" w:hAnsi="宋体" w:cs="宋体"/>
          <w:szCs w:val="21"/>
        </w:rPr>
      </w:pPr>
      <w:r>
        <w:rPr>
          <w:rFonts w:hint="eastAsia" w:ascii="宋体" w:hAnsi="宋体" w:cs="宋体"/>
          <w:szCs w:val="21"/>
        </w:rPr>
        <w:t>11、乙方雇员工作期间的用餐、用水等后勤保障，由乙方负责安排。</w:t>
      </w:r>
    </w:p>
    <w:p>
      <w:pPr>
        <w:snapToGrid w:val="0"/>
        <w:spacing w:line="360" w:lineRule="auto"/>
        <w:ind w:right="315" w:rightChars="150" w:firstLine="420" w:firstLineChars="200"/>
        <w:rPr>
          <w:rFonts w:hint="eastAsia" w:ascii="宋体" w:hAnsi="宋体" w:cs="宋体"/>
          <w:szCs w:val="21"/>
          <w:lang w:val="fr-FR"/>
        </w:rPr>
      </w:pPr>
      <w:bookmarkStart w:id="1993" w:name="OLE_LINK9"/>
      <w:r>
        <w:rPr>
          <w:rFonts w:hint="eastAsia" w:ascii="宋体" w:hAnsi="宋体" w:cs="宋体"/>
          <w:szCs w:val="21"/>
          <w:u w:color="FF0000"/>
        </w:rPr>
        <w:t>12、如乙方未按标书要求及合同条款要求执行的，甲方有权解除合同，并列入集团合作单位黑名单，不得再参与南方报业传媒集团的任何投标项目。</w:t>
      </w:r>
    </w:p>
    <w:bookmarkEnd w:id="1993"/>
    <w:p>
      <w:pPr>
        <w:spacing w:line="360" w:lineRule="auto"/>
        <w:ind w:right="315" w:rightChars="150" w:firstLine="422" w:firstLineChars="200"/>
        <w:rPr>
          <w:rFonts w:hint="eastAsia" w:ascii="宋体" w:hAnsi="宋体" w:cs="宋体"/>
          <w:b/>
          <w:szCs w:val="21"/>
        </w:rPr>
      </w:pPr>
      <w:r>
        <w:rPr>
          <w:rFonts w:hint="eastAsia" w:ascii="宋体" w:hAnsi="宋体" w:cs="宋体"/>
          <w:b/>
          <w:szCs w:val="21"/>
        </w:rPr>
        <w:t>五、安全责任</w:t>
      </w:r>
    </w:p>
    <w:p>
      <w:pPr>
        <w:pStyle w:val="75"/>
        <w:spacing w:line="360" w:lineRule="auto"/>
        <w:ind w:left="1260" w:leftChars="200" w:right="315" w:rightChars="150" w:hanging="840" w:hangingChars="400"/>
        <w:rPr>
          <w:rFonts w:hint="eastAsia" w:ascii="宋体" w:hAnsi="宋体" w:cs="宋体"/>
          <w:szCs w:val="21"/>
        </w:rPr>
      </w:pPr>
      <w:r>
        <w:rPr>
          <w:rFonts w:hint="eastAsia" w:ascii="宋体" w:hAnsi="宋体" w:cs="宋体"/>
          <w:szCs w:val="21"/>
        </w:rPr>
        <w:t>第十二条 乙方雇员在合作项目执行中（含上下班路途）所发生的一切人身伤亡、财</w:t>
      </w:r>
    </w:p>
    <w:p>
      <w:pPr>
        <w:pStyle w:val="75"/>
        <w:spacing w:line="360" w:lineRule="auto"/>
        <w:ind w:right="315" w:rightChars="150" w:firstLine="0" w:firstLineChars="0"/>
        <w:rPr>
          <w:rFonts w:hint="eastAsia" w:ascii="宋体" w:hAnsi="宋体" w:cs="宋体"/>
          <w:szCs w:val="21"/>
        </w:rPr>
      </w:pPr>
      <w:r>
        <w:rPr>
          <w:rFonts w:hint="eastAsia" w:ascii="宋体" w:hAnsi="宋体" w:cs="宋体"/>
          <w:szCs w:val="21"/>
        </w:rPr>
        <w:t>产损害事故和乙方原因造成的故责任和因此产生的所有费用由乙方全部承担，并不得因此影响项目操作进度。（如事故是由甲方场地、设备、货物存在不安全因素或强令冒险作业造成的，甲方承担保险理赔差额补偿责任，除此之外的安全事故均由乙方承担全部赔偿责任。）</w:t>
      </w:r>
    </w:p>
    <w:p>
      <w:pPr>
        <w:pStyle w:val="75"/>
        <w:numPr>
          <w:ilvl w:val="0"/>
          <w:numId w:val="7"/>
        </w:numPr>
        <w:spacing w:line="360" w:lineRule="auto"/>
        <w:ind w:left="1260" w:leftChars="200" w:right="315" w:rightChars="150" w:hanging="840" w:hangingChars="400"/>
        <w:jc w:val="left"/>
        <w:rPr>
          <w:rFonts w:hint="eastAsia" w:ascii="宋体" w:hAnsi="宋体" w:cs="宋体"/>
          <w:szCs w:val="21"/>
        </w:rPr>
      </w:pPr>
      <w:r>
        <w:rPr>
          <w:rFonts w:hint="eastAsia" w:ascii="宋体" w:hAnsi="宋体" w:cs="宋体"/>
          <w:szCs w:val="21"/>
        </w:rPr>
        <w:t>乙方有责任教育雇员严格执行操作规程，做到安全、文明生产，做好防火、</w:t>
      </w:r>
    </w:p>
    <w:p>
      <w:pPr>
        <w:pStyle w:val="75"/>
        <w:spacing w:line="360" w:lineRule="auto"/>
        <w:ind w:right="315" w:rightChars="150" w:firstLine="0" w:firstLineChars="0"/>
        <w:jc w:val="left"/>
        <w:rPr>
          <w:rFonts w:hint="eastAsia" w:ascii="宋体" w:hAnsi="宋体" w:cs="宋体"/>
          <w:szCs w:val="21"/>
        </w:rPr>
      </w:pPr>
      <w:r>
        <w:rPr>
          <w:rFonts w:hint="eastAsia" w:ascii="宋体" w:hAnsi="宋体" w:cs="宋体"/>
          <w:szCs w:val="21"/>
        </w:rPr>
        <w:t>防盗工作，乙方应对危险作业进行现场安全监控。</w:t>
      </w:r>
    </w:p>
    <w:p>
      <w:pPr>
        <w:pStyle w:val="75"/>
        <w:numPr>
          <w:ilvl w:val="0"/>
          <w:numId w:val="7"/>
        </w:numPr>
        <w:spacing w:line="360" w:lineRule="auto"/>
        <w:ind w:left="1260" w:leftChars="200" w:right="315" w:rightChars="150" w:hanging="840" w:hangingChars="400"/>
        <w:rPr>
          <w:rFonts w:hint="eastAsia" w:ascii="宋体" w:hAnsi="宋体" w:cs="宋体"/>
          <w:szCs w:val="21"/>
        </w:rPr>
      </w:pPr>
      <w:r>
        <w:rPr>
          <w:rFonts w:hint="eastAsia" w:ascii="宋体" w:hAnsi="宋体" w:cs="宋体"/>
          <w:szCs w:val="21"/>
        </w:rPr>
        <w:t>乙方须为其雇员购买人身意外保险以及相关法律规定的保险，其雇员的人</w:t>
      </w:r>
    </w:p>
    <w:p>
      <w:pPr>
        <w:pStyle w:val="75"/>
        <w:spacing w:line="360" w:lineRule="auto"/>
        <w:ind w:left="-420" w:leftChars="-200" w:right="315" w:rightChars="150" w:firstLine="0" w:firstLineChars="0"/>
        <w:rPr>
          <w:rFonts w:hint="eastAsia" w:ascii="宋体" w:hAnsi="宋体" w:cs="宋体"/>
          <w:szCs w:val="21"/>
        </w:rPr>
      </w:pPr>
      <w:r>
        <w:rPr>
          <w:rFonts w:hint="eastAsia" w:ascii="宋体" w:hAnsi="宋体" w:cs="宋体"/>
          <w:szCs w:val="21"/>
        </w:rPr>
        <w:t>身和财物安全与保险由乙方负责。</w:t>
      </w:r>
    </w:p>
    <w:p>
      <w:pPr>
        <w:pStyle w:val="75"/>
        <w:spacing w:line="360" w:lineRule="auto"/>
        <w:ind w:right="315" w:rightChars="150" w:firstLine="422"/>
        <w:rPr>
          <w:rFonts w:hint="eastAsia" w:ascii="宋体" w:hAnsi="宋体" w:cs="宋体"/>
          <w:b/>
          <w:szCs w:val="21"/>
        </w:rPr>
      </w:pPr>
      <w:r>
        <w:rPr>
          <w:rFonts w:hint="eastAsia" w:ascii="宋体" w:hAnsi="宋体" w:cs="宋体"/>
          <w:b/>
          <w:szCs w:val="21"/>
        </w:rPr>
        <w:t>六、其他</w:t>
      </w:r>
    </w:p>
    <w:p>
      <w:pPr>
        <w:pStyle w:val="75"/>
        <w:spacing w:line="360" w:lineRule="auto"/>
        <w:ind w:right="315" w:rightChars="150"/>
        <w:rPr>
          <w:rFonts w:hint="eastAsia" w:ascii="宋体" w:hAnsi="宋体" w:cs="宋体"/>
          <w:szCs w:val="21"/>
        </w:rPr>
      </w:pPr>
      <w:r>
        <w:rPr>
          <w:rFonts w:hint="eastAsia" w:ascii="宋体" w:hAnsi="宋体" w:cs="宋体"/>
          <w:szCs w:val="21"/>
        </w:rPr>
        <w:t>第十五条 双方有关劳务外包业务的洽商、变更等书面协议或文件视为本合同的组成</w:t>
      </w:r>
    </w:p>
    <w:p>
      <w:pPr>
        <w:pStyle w:val="75"/>
        <w:spacing w:line="360" w:lineRule="auto"/>
        <w:ind w:right="315" w:rightChars="150" w:firstLine="0" w:firstLineChars="0"/>
        <w:rPr>
          <w:rFonts w:hint="eastAsia" w:ascii="宋体" w:hAnsi="宋体" w:cs="宋体"/>
          <w:szCs w:val="21"/>
        </w:rPr>
      </w:pPr>
      <w:r>
        <w:rPr>
          <w:rFonts w:hint="eastAsia" w:ascii="宋体" w:hAnsi="宋体" w:cs="宋体"/>
          <w:szCs w:val="21"/>
        </w:rPr>
        <w:t>部分。</w:t>
      </w:r>
    </w:p>
    <w:p>
      <w:pPr>
        <w:pStyle w:val="75"/>
        <w:spacing w:line="360" w:lineRule="auto"/>
        <w:ind w:left="400" w:right="315" w:rightChars="150" w:firstLine="0" w:firstLineChars="0"/>
        <w:rPr>
          <w:rFonts w:hint="eastAsia" w:ascii="宋体" w:hAnsi="宋体" w:cs="宋体"/>
          <w:szCs w:val="21"/>
        </w:rPr>
      </w:pPr>
      <w:r>
        <w:rPr>
          <w:rFonts w:hint="eastAsia" w:ascii="宋体" w:hAnsi="宋体" w:cs="宋体"/>
          <w:szCs w:val="21"/>
        </w:rPr>
        <w:t>第十六条 如因不可抗力，致使本合同不能履行时，甲方双方均有权提前终止本合同。</w:t>
      </w:r>
    </w:p>
    <w:p>
      <w:pPr>
        <w:pStyle w:val="75"/>
        <w:spacing w:line="360" w:lineRule="auto"/>
        <w:ind w:left="400" w:right="315" w:rightChars="150" w:firstLine="0" w:firstLineChars="0"/>
        <w:rPr>
          <w:rFonts w:hint="eastAsia" w:ascii="宋体" w:hAnsi="宋体" w:cs="宋体"/>
          <w:szCs w:val="21"/>
        </w:rPr>
      </w:pPr>
      <w:r>
        <w:rPr>
          <w:rFonts w:hint="eastAsia" w:ascii="宋体" w:hAnsi="宋体" w:cs="宋体"/>
          <w:szCs w:val="21"/>
        </w:rPr>
        <w:t>第十七条 甲乙双方除因书面协商一致外，任何一方均不得将本合同中权力和义务转</w:t>
      </w:r>
    </w:p>
    <w:p>
      <w:pPr>
        <w:pStyle w:val="75"/>
        <w:spacing w:line="360" w:lineRule="auto"/>
        <w:ind w:right="315" w:rightChars="150" w:firstLine="0" w:firstLineChars="0"/>
        <w:rPr>
          <w:rFonts w:hint="eastAsia" w:ascii="宋体" w:hAnsi="宋体" w:cs="宋体"/>
          <w:szCs w:val="21"/>
        </w:rPr>
      </w:pPr>
      <w:r>
        <w:rPr>
          <w:rFonts w:hint="eastAsia" w:ascii="宋体" w:hAnsi="宋体" w:cs="宋体"/>
          <w:szCs w:val="21"/>
        </w:rPr>
        <w:t>让给其他第三方。</w:t>
      </w:r>
    </w:p>
    <w:p>
      <w:pPr>
        <w:pStyle w:val="75"/>
        <w:spacing w:line="360" w:lineRule="auto"/>
        <w:ind w:left="400" w:right="315" w:rightChars="150" w:firstLine="0" w:firstLineChars="0"/>
        <w:rPr>
          <w:rFonts w:hint="eastAsia" w:ascii="宋体" w:hAnsi="宋体" w:cs="宋体"/>
          <w:szCs w:val="21"/>
        </w:rPr>
      </w:pPr>
      <w:r>
        <w:rPr>
          <w:rFonts w:hint="eastAsia" w:ascii="宋体" w:hAnsi="宋体" w:cs="宋体"/>
          <w:szCs w:val="21"/>
        </w:rPr>
        <w:t>第十八条 其它未尽事宜，双方协商解决。如协商不成，可向甲方所在地人民法院起</w:t>
      </w:r>
    </w:p>
    <w:p>
      <w:pPr>
        <w:pStyle w:val="75"/>
        <w:spacing w:line="360" w:lineRule="auto"/>
        <w:ind w:right="315" w:rightChars="150" w:firstLine="0" w:firstLineChars="0"/>
        <w:rPr>
          <w:rFonts w:hint="eastAsia" w:ascii="宋体" w:hAnsi="宋体" w:cs="宋体"/>
          <w:szCs w:val="21"/>
        </w:rPr>
      </w:pPr>
      <w:r>
        <w:rPr>
          <w:rFonts w:hint="eastAsia" w:ascii="宋体" w:hAnsi="宋体" w:cs="宋体"/>
          <w:szCs w:val="21"/>
        </w:rPr>
        <w:t>诉。</w:t>
      </w:r>
    </w:p>
    <w:p>
      <w:pPr>
        <w:pStyle w:val="75"/>
        <w:spacing w:line="360" w:lineRule="auto"/>
        <w:ind w:left="400" w:right="315" w:rightChars="150" w:firstLine="0" w:firstLineChars="0"/>
        <w:rPr>
          <w:rFonts w:hint="eastAsia" w:ascii="宋体" w:hAnsi="宋体" w:cs="宋体"/>
          <w:szCs w:val="21"/>
        </w:rPr>
      </w:pPr>
      <w:r>
        <w:rPr>
          <w:rFonts w:hint="eastAsia" w:ascii="宋体" w:hAnsi="宋体" w:cs="宋体"/>
          <w:szCs w:val="21"/>
        </w:rPr>
        <w:t>第十九条 本合同一式二份，自双方签字盖章后生效，甲、乙双方各执一份，具有同</w:t>
      </w:r>
    </w:p>
    <w:p>
      <w:pPr>
        <w:pStyle w:val="75"/>
        <w:spacing w:line="360" w:lineRule="auto"/>
        <w:ind w:right="315" w:rightChars="150" w:firstLine="0" w:firstLineChars="0"/>
        <w:rPr>
          <w:rFonts w:hint="eastAsia" w:ascii="宋体" w:hAnsi="宋体" w:cs="宋体"/>
          <w:szCs w:val="21"/>
        </w:rPr>
      </w:pPr>
      <w:r>
        <w:rPr>
          <w:rFonts w:hint="eastAsia" w:ascii="宋体" w:hAnsi="宋体" w:cs="宋体"/>
          <w:szCs w:val="21"/>
        </w:rPr>
        <w:t>等法律效力。</w:t>
      </w:r>
    </w:p>
    <w:p>
      <w:pPr>
        <w:spacing w:line="360" w:lineRule="auto"/>
        <w:ind w:left="400"/>
        <w:rPr>
          <w:rFonts w:hint="eastAsia" w:ascii="宋体" w:hAnsi="宋体" w:cs="宋体"/>
          <w:szCs w:val="21"/>
          <w:lang w:val="fr-FR"/>
        </w:rPr>
      </w:pPr>
      <w:r>
        <w:rPr>
          <w:rFonts w:hint="eastAsia" w:ascii="宋体" w:hAnsi="宋体" w:cs="宋体"/>
          <w:szCs w:val="21"/>
        </w:rPr>
        <w:t>甲方</w:t>
      </w:r>
      <w:r>
        <w:rPr>
          <w:rFonts w:hint="eastAsia" w:ascii="宋体" w:hAnsi="宋体" w:cs="宋体"/>
          <w:szCs w:val="21"/>
          <w:lang w:val="fr-FR"/>
        </w:rPr>
        <w:t>（盖</w:t>
      </w:r>
      <w:r>
        <w:rPr>
          <w:rFonts w:hint="eastAsia" w:ascii="宋体" w:hAnsi="宋体" w:cs="宋体"/>
          <w:szCs w:val="21"/>
        </w:rPr>
        <w:t>章</w:t>
      </w:r>
      <w:r>
        <w:rPr>
          <w:rFonts w:hint="eastAsia" w:ascii="宋体" w:hAnsi="宋体" w:cs="宋体"/>
          <w:szCs w:val="21"/>
          <w:lang w:val="fr-FR"/>
        </w:rPr>
        <w:t>）：</w:t>
      </w:r>
      <w:r>
        <w:rPr>
          <w:rFonts w:hint="eastAsia" w:ascii="宋体" w:hAnsi="宋体" w:cs="宋体"/>
          <w:szCs w:val="21"/>
          <w:u w:val="single"/>
          <w:lang w:val="fr-FR"/>
        </w:rPr>
        <w:t xml:space="preserve">  广东省南方传媒发行物流有限公司  </w:t>
      </w:r>
      <w:r>
        <w:rPr>
          <w:rFonts w:hint="eastAsia" w:ascii="宋体" w:hAnsi="宋体" w:cs="宋体"/>
          <w:szCs w:val="21"/>
          <w:lang w:val="fr-FR"/>
        </w:rPr>
        <w:t xml:space="preserve">  </w:t>
      </w:r>
      <w:r>
        <w:rPr>
          <w:rFonts w:hint="eastAsia" w:ascii="宋体" w:hAnsi="宋体" w:cs="宋体"/>
          <w:szCs w:val="21"/>
        </w:rPr>
        <w:t>乙方</w:t>
      </w:r>
      <w:r>
        <w:rPr>
          <w:rFonts w:hint="eastAsia" w:ascii="宋体" w:hAnsi="宋体" w:cs="宋体"/>
          <w:szCs w:val="21"/>
          <w:lang w:val="fr-FR"/>
        </w:rPr>
        <w:t>：（盖</w:t>
      </w:r>
      <w:r>
        <w:rPr>
          <w:rFonts w:hint="eastAsia" w:ascii="宋体" w:hAnsi="宋体" w:cs="宋体"/>
          <w:szCs w:val="21"/>
        </w:rPr>
        <w:t>章</w:t>
      </w:r>
      <w:r>
        <w:rPr>
          <w:rFonts w:hint="eastAsia" w:ascii="宋体" w:hAnsi="宋体" w:cs="宋体"/>
          <w:szCs w:val="21"/>
          <w:lang w:val="fr-FR"/>
        </w:rPr>
        <w:t>）</w:t>
      </w:r>
      <w:r>
        <w:rPr>
          <w:rFonts w:hint="eastAsia" w:ascii="宋体" w:hAnsi="宋体" w:cs="宋体"/>
          <w:szCs w:val="21"/>
          <w:u w:val="single"/>
          <w:lang w:val="fr-FR"/>
        </w:rPr>
        <w:t xml:space="preserve">     </w:t>
      </w:r>
      <w:r>
        <w:rPr>
          <w:rFonts w:hint="eastAsia" w:ascii="宋体" w:hAnsi="宋体" w:cs="宋体"/>
          <w:szCs w:val="21"/>
          <w:u w:val="single"/>
        </w:rPr>
        <w:t xml:space="preserve">   </w:t>
      </w:r>
    </w:p>
    <w:p>
      <w:pPr>
        <w:spacing w:line="360" w:lineRule="auto"/>
        <w:ind w:left="400"/>
        <w:rPr>
          <w:rFonts w:hint="eastAsia" w:ascii="宋体" w:hAnsi="宋体" w:cs="宋体"/>
          <w:szCs w:val="21"/>
          <w:u w:val="single"/>
          <w:lang w:val="fr-FR"/>
        </w:rPr>
      </w:pPr>
      <w:r>
        <w:rPr>
          <w:rFonts w:hint="eastAsia" w:ascii="宋体" w:hAnsi="宋体" w:cs="宋体"/>
          <w:szCs w:val="21"/>
        </w:rPr>
        <w:t>法定代表人、负责人</w:t>
      </w:r>
      <w:r>
        <w:rPr>
          <w:rFonts w:hint="eastAsia" w:ascii="宋体" w:hAnsi="宋体" w:cs="宋体"/>
          <w:szCs w:val="21"/>
          <w:lang w:val="fr-FR"/>
        </w:rPr>
        <w:t>：</w:t>
      </w:r>
      <w:r>
        <w:rPr>
          <w:rFonts w:hint="eastAsia" w:ascii="宋体" w:hAnsi="宋体" w:cs="宋体"/>
          <w:szCs w:val="21"/>
          <w:u w:val="single"/>
          <w:lang w:val="fr-FR"/>
        </w:rPr>
        <w:t xml:space="preserve">                     </w:t>
      </w:r>
      <w:r>
        <w:rPr>
          <w:rFonts w:hint="eastAsia" w:ascii="宋体" w:hAnsi="宋体" w:cs="宋体"/>
          <w:szCs w:val="21"/>
          <w:lang w:val="fr-FR"/>
        </w:rPr>
        <w:t xml:space="preserve">   </w:t>
      </w:r>
      <w:r>
        <w:rPr>
          <w:rFonts w:hint="eastAsia" w:ascii="宋体" w:hAnsi="宋体" w:cs="宋体"/>
          <w:szCs w:val="21"/>
        </w:rPr>
        <w:t xml:space="preserve">  法定代表人、负责人</w:t>
      </w:r>
      <w:r>
        <w:rPr>
          <w:rFonts w:hint="eastAsia" w:ascii="宋体" w:hAnsi="宋体" w:cs="宋体"/>
          <w:szCs w:val="21"/>
          <w:lang w:val="fr-FR"/>
        </w:rPr>
        <w:t>：</w:t>
      </w:r>
      <w:r>
        <w:rPr>
          <w:rFonts w:hint="eastAsia" w:ascii="宋体" w:hAnsi="宋体" w:cs="宋体"/>
          <w:szCs w:val="21"/>
          <w:u w:val="single"/>
          <w:lang w:val="fr-FR"/>
        </w:rPr>
        <w:t xml:space="preserve">     </w:t>
      </w:r>
      <w:r>
        <w:rPr>
          <w:rFonts w:hint="eastAsia" w:ascii="宋体" w:hAnsi="宋体" w:cs="宋体"/>
          <w:szCs w:val="21"/>
          <w:u w:val="single"/>
        </w:rPr>
        <w:t xml:space="preserve">    </w:t>
      </w:r>
      <w:r>
        <w:rPr>
          <w:rFonts w:hint="eastAsia" w:ascii="宋体" w:hAnsi="宋体" w:cs="宋体"/>
          <w:szCs w:val="21"/>
          <w:u w:val="single"/>
          <w:lang w:val="fr-FR"/>
        </w:rPr>
        <w:t xml:space="preserve">         </w:t>
      </w:r>
    </w:p>
    <w:p>
      <w:pPr>
        <w:spacing w:line="360" w:lineRule="auto"/>
        <w:ind w:left="400"/>
        <w:rPr>
          <w:rFonts w:hint="eastAsia" w:ascii="宋体" w:hAnsi="宋体" w:cs="宋体"/>
          <w:szCs w:val="21"/>
          <w:u w:val="single"/>
        </w:rPr>
      </w:pPr>
      <w:r>
        <w:rPr>
          <w:rFonts w:hint="eastAsia" w:ascii="宋体" w:hAnsi="宋体" w:cs="宋体"/>
          <w:szCs w:val="21"/>
        </w:rPr>
        <w:t>电话：</w:t>
      </w:r>
      <w:r>
        <w:rPr>
          <w:rFonts w:hint="eastAsia" w:ascii="宋体" w:hAnsi="宋体" w:cs="宋体"/>
          <w:szCs w:val="21"/>
          <w:u w:val="single"/>
        </w:rPr>
        <w:tab/>
      </w:r>
      <w:r>
        <w:rPr>
          <w:rFonts w:hint="eastAsia" w:ascii="宋体" w:hAnsi="宋体" w:cs="宋体"/>
          <w:szCs w:val="21"/>
          <w:u w:val="single"/>
        </w:rPr>
        <w:t xml:space="preserve">       020-83003837                   </w:t>
      </w:r>
      <w:r>
        <w:rPr>
          <w:rFonts w:hint="eastAsia" w:ascii="宋体" w:hAnsi="宋体" w:cs="宋体"/>
          <w:szCs w:val="21"/>
        </w:rPr>
        <w:tab/>
      </w:r>
      <w:r>
        <w:rPr>
          <w:rFonts w:hint="eastAsia" w:ascii="宋体" w:hAnsi="宋体" w:cs="宋体"/>
          <w:szCs w:val="21"/>
        </w:rPr>
        <w:t xml:space="preserve">  电  话：</w:t>
      </w:r>
      <w:r>
        <w:rPr>
          <w:rFonts w:hint="eastAsia" w:ascii="宋体" w:hAnsi="宋体" w:cs="宋体"/>
          <w:szCs w:val="21"/>
          <w:u w:val="single"/>
        </w:rPr>
        <w:tab/>
      </w:r>
      <w:r>
        <w:rPr>
          <w:rFonts w:hint="eastAsia" w:ascii="宋体" w:hAnsi="宋体" w:cs="宋体"/>
          <w:szCs w:val="21"/>
          <w:u w:val="single"/>
        </w:rPr>
        <w:t xml:space="preserve">                   </w:t>
      </w:r>
    </w:p>
    <w:p>
      <w:pPr>
        <w:autoSpaceDE w:val="0"/>
        <w:autoSpaceDN w:val="0"/>
        <w:adjustRightInd w:val="0"/>
        <w:spacing w:line="360" w:lineRule="auto"/>
        <w:ind w:left="400"/>
        <w:rPr>
          <w:rFonts w:hint="eastAsia" w:ascii="宋体" w:hAnsi="宋体" w:cs="宋体"/>
          <w:szCs w:val="21"/>
          <w:u w:val="single"/>
        </w:rPr>
      </w:pPr>
      <w:r>
        <w:rPr>
          <w:rFonts w:hint="eastAsia" w:ascii="宋体" w:hAnsi="宋体" w:cs="宋体"/>
          <w:szCs w:val="21"/>
        </w:rPr>
        <w:t>开户银行：</w:t>
      </w:r>
      <w:r>
        <w:rPr>
          <w:rFonts w:hint="eastAsia" w:ascii="宋体" w:hAnsi="宋体" w:cs="宋体"/>
          <w:szCs w:val="21"/>
          <w:u w:val="single"/>
        </w:rPr>
        <w:t xml:space="preserve">   中国农业银行广州五羊新城支行       </w:t>
      </w:r>
      <w:r>
        <w:rPr>
          <w:rFonts w:hint="eastAsia" w:ascii="宋体" w:hAnsi="宋体" w:cs="宋体"/>
          <w:szCs w:val="21"/>
        </w:rPr>
        <w:t xml:space="preserve">  开户银行：</w:t>
      </w:r>
      <w:r>
        <w:rPr>
          <w:rFonts w:hint="eastAsia" w:ascii="宋体" w:hAnsi="宋体" w:cs="宋体"/>
          <w:szCs w:val="21"/>
          <w:u w:val="single"/>
        </w:rPr>
        <w:t xml:space="preserve">               </w:t>
      </w:r>
    </w:p>
    <w:p>
      <w:pPr>
        <w:autoSpaceDE w:val="0"/>
        <w:autoSpaceDN w:val="0"/>
        <w:adjustRightInd w:val="0"/>
        <w:spacing w:line="360" w:lineRule="auto"/>
        <w:ind w:left="400"/>
        <w:rPr>
          <w:rFonts w:hint="eastAsia" w:ascii="宋体" w:hAnsi="宋体" w:cs="宋体"/>
          <w:szCs w:val="21"/>
          <w:u w:val="single"/>
        </w:rPr>
      </w:pPr>
      <w:r>
        <w:rPr>
          <w:rFonts w:hint="eastAsia" w:ascii="宋体" w:hAnsi="宋体" w:cs="宋体"/>
          <w:szCs w:val="21"/>
        </w:rPr>
        <w:t>开户名称：</w:t>
      </w:r>
      <w:r>
        <w:rPr>
          <w:rFonts w:hint="eastAsia" w:ascii="宋体" w:hAnsi="宋体" w:cs="宋体"/>
          <w:szCs w:val="21"/>
          <w:u w:val="single"/>
        </w:rPr>
        <w:t xml:space="preserve">  广东省南方传媒发行物流有限公司    </w:t>
      </w:r>
      <w:r>
        <w:rPr>
          <w:rFonts w:hint="eastAsia" w:ascii="宋体" w:hAnsi="宋体" w:cs="宋体"/>
          <w:szCs w:val="21"/>
        </w:rPr>
        <w:t xml:space="preserve">    开户名称：</w:t>
      </w:r>
      <w:r>
        <w:rPr>
          <w:rFonts w:hint="eastAsia" w:ascii="宋体" w:hAnsi="宋体" w:cs="宋体"/>
          <w:szCs w:val="21"/>
          <w:u w:val="single"/>
        </w:rPr>
        <w:t xml:space="preserve">         </w:t>
      </w:r>
      <w:r>
        <w:rPr>
          <w:rFonts w:hint="eastAsia" w:ascii="宋体" w:hAnsi="宋体" w:cs="宋体"/>
          <w:szCs w:val="21"/>
          <w:u w:val="single"/>
          <w:lang w:val="fr-FR"/>
        </w:rPr>
        <w:t xml:space="preserve">  </w:t>
      </w:r>
      <w:r>
        <w:rPr>
          <w:rFonts w:hint="eastAsia" w:ascii="宋体" w:hAnsi="宋体" w:cs="宋体"/>
          <w:szCs w:val="21"/>
          <w:u w:val="single"/>
        </w:rPr>
        <w:t xml:space="preserve">  </w:t>
      </w:r>
      <w:r>
        <w:rPr>
          <w:rFonts w:hint="eastAsia" w:ascii="宋体" w:hAnsi="宋体" w:cs="宋体"/>
          <w:szCs w:val="21"/>
          <w:u w:val="single"/>
          <w:lang w:val="fr-FR"/>
        </w:rPr>
        <w:t xml:space="preserve">  </w:t>
      </w:r>
      <w:r>
        <w:rPr>
          <w:rFonts w:hint="eastAsia" w:ascii="宋体" w:hAnsi="宋体" w:cs="宋体"/>
          <w:szCs w:val="21"/>
        </w:rPr>
        <w:t xml:space="preserve"> </w:t>
      </w:r>
    </w:p>
    <w:p>
      <w:pPr>
        <w:autoSpaceDE w:val="0"/>
        <w:autoSpaceDN w:val="0"/>
        <w:adjustRightInd w:val="0"/>
        <w:spacing w:line="360" w:lineRule="auto"/>
        <w:ind w:left="400"/>
        <w:rPr>
          <w:rFonts w:hint="eastAsia" w:ascii="宋体" w:hAnsi="宋体" w:cs="宋体"/>
          <w:szCs w:val="21"/>
          <w:u w:val="single"/>
        </w:rPr>
      </w:pPr>
      <w:r>
        <w:rPr>
          <w:rFonts w:hint="eastAsia" w:ascii="宋体" w:hAnsi="宋体" w:cs="宋体"/>
          <w:szCs w:val="21"/>
        </w:rPr>
        <w:t>银行帐号：</w:t>
      </w:r>
      <w:r>
        <w:rPr>
          <w:rFonts w:hint="eastAsia" w:ascii="宋体" w:hAnsi="宋体" w:cs="宋体"/>
          <w:szCs w:val="21"/>
          <w:u w:val="single"/>
        </w:rPr>
        <w:tab/>
      </w:r>
      <w:r>
        <w:rPr>
          <w:rFonts w:hint="eastAsia" w:ascii="宋体" w:hAnsi="宋体" w:cs="宋体"/>
          <w:szCs w:val="21"/>
          <w:u w:val="single"/>
        </w:rPr>
        <w:t xml:space="preserve">44030401040003075         </w:t>
      </w:r>
      <w:r>
        <w:rPr>
          <w:rFonts w:hint="eastAsia" w:ascii="宋体" w:hAnsi="宋体" w:cs="宋体"/>
          <w:szCs w:val="21"/>
        </w:rPr>
        <w:t xml:space="preserve">            银行帐号： </w:t>
      </w:r>
      <w:r>
        <w:rPr>
          <w:rFonts w:hint="eastAsia" w:ascii="宋体" w:hAnsi="宋体" w:cs="宋体"/>
          <w:szCs w:val="21"/>
          <w:u w:val="single"/>
        </w:rPr>
        <w:t xml:space="preserve">               </w:t>
      </w:r>
    </w:p>
    <w:p>
      <w:pPr>
        <w:autoSpaceDE w:val="0"/>
        <w:autoSpaceDN w:val="0"/>
        <w:adjustRightInd w:val="0"/>
        <w:spacing w:line="360" w:lineRule="auto"/>
        <w:ind w:left="400"/>
        <w:rPr>
          <w:rFonts w:hint="eastAsia" w:ascii="宋体" w:hAnsi="宋体" w:cs="宋体"/>
          <w:szCs w:val="21"/>
        </w:rPr>
      </w:pPr>
      <w:r>
        <w:rPr>
          <w:rFonts w:hint="eastAsia" w:ascii="宋体" w:hAnsi="宋体" w:cs="宋体"/>
          <w:szCs w:val="21"/>
        </w:rPr>
        <w:t>授权代表：</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rPr>
        <w:tab/>
      </w:r>
      <w:r>
        <w:rPr>
          <w:rFonts w:hint="eastAsia" w:ascii="宋体" w:hAnsi="宋体" w:cs="宋体"/>
          <w:szCs w:val="21"/>
        </w:rPr>
        <w:t xml:space="preserve">  授权代表：</w:t>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rPr>
        <w:t xml:space="preserve">              </w:t>
      </w:r>
    </w:p>
    <w:p>
      <w:pPr>
        <w:spacing w:line="400" w:lineRule="exact"/>
        <w:ind w:left="400"/>
        <w:rPr>
          <w:rFonts w:hint="eastAsia" w:ascii="宋体" w:hAnsi="宋体" w:cs="宋体"/>
        </w:rPr>
      </w:pPr>
      <w:r>
        <w:rPr>
          <w:rFonts w:hint="eastAsia" w:ascii="宋体" w:hAnsi="宋体" w:cs="宋体"/>
          <w:szCs w:val="21"/>
        </w:rPr>
        <w:t xml:space="preserve">日期： </w:t>
      </w:r>
      <w:r>
        <w:rPr>
          <w:rFonts w:hint="eastAsia" w:ascii="宋体" w:hAnsi="宋体" w:cs="宋体"/>
          <w:szCs w:val="21"/>
          <w:u w:val="single"/>
        </w:rPr>
        <w:t xml:space="preserve">      </w:t>
      </w:r>
      <w:r>
        <w:rPr>
          <w:rFonts w:hint="eastAsia" w:ascii="宋体" w:hAnsi="宋体" w:cs="宋体"/>
          <w:szCs w:val="21"/>
        </w:rPr>
        <w:t xml:space="preserve"> 年</w:t>
      </w:r>
      <w:r>
        <w:rPr>
          <w:rFonts w:hint="eastAsia" w:ascii="宋体" w:hAnsi="宋体" w:cs="宋体"/>
          <w:szCs w:val="21"/>
          <w:u w:val="single"/>
        </w:rPr>
        <w:t xml:space="preserve">    </w:t>
      </w:r>
      <w:r>
        <w:rPr>
          <w:rFonts w:hint="eastAsia" w:ascii="宋体" w:hAnsi="宋体" w:cs="宋体"/>
          <w:szCs w:val="21"/>
        </w:rPr>
        <w:t xml:space="preserve"> 月</w:t>
      </w:r>
      <w:r>
        <w:rPr>
          <w:rFonts w:hint="eastAsia" w:ascii="宋体" w:hAnsi="宋体" w:cs="宋体"/>
          <w:szCs w:val="21"/>
          <w:u w:val="single"/>
        </w:rPr>
        <w:t xml:space="preserve">    </w:t>
      </w:r>
      <w:r>
        <w:rPr>
          <w:rFonts w:hint="eastAsia" w:ascii="宋体" w:hAnsi="宋体" w:cs="宋体"/>
          <w:szCs w:val="21"/>
        </w:rPr>
        <w:t xml:space="preserve">日                     日期：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 月</w:t>
      </w:r>
      <w:r>
        <w:rPr>
          <w:rFonts w:hint="eastAsia" w:ascii="宋体" w:hAnsi="宋体" w:cs="宋体"/>
          <w:szCs w:val="21"/>
          <w:u w:val="single"/>
        </w:rPr>
        <w:t xml:space="preserve">    </w:t>
      </w:r>
      <w:r>
        <w:rPr>
          <w:rFonts w:hint="eastAsia" w:ascii="宋体" w:hAnsi="宋体" w:cs="宋体"/>
          <w:szCs w:val="21"/>
        </w:rPr>
        <w:t xml:space="preserve"> 日  </w:t>
      </w:r>
      <w:bookmarkEnd w:id="1989"/>
      <w:bookmarkEnd w:id="1990"/>
      <w:bookmarkEnd w:id="1991"/>
      <w:bookmarkStart w:id="1994" w:name="_Toc435178421"/>
      <w:bookmarkStart w:id="1995" w:name="_Toc31562"/>
      <w:bookmarkStart w:id="1996" w:name="_Toc22365"/>
      <w:bookmarkStart w:id="1997" w:name="_Toc14850"/>
      <w:bookmarkStart w:id="1998" w:name="_Toc422925647"/>
      <w:bookmarkStart w:id="1999" w:name="_Toc16095"/>
      <w:bookmarkStart w:id="2000" w:name="_Toc11525"/>
      <w:bookmarkStart w:id="2001" w:name="_Toc10657"/>
      <w:bookmarkStart w:id="2002" w:name="_Toc28045"/>
      <w:bookmarkStart w:id="2003" w:name="_Toc436215779"/>
      <w:bookmarkStart w:id="2004" w:name="_Toc4553"/>
      <w:bookmarkStart w:id="2005" w:name="_Toc3347"/>
      <w:bookmarkStart w:id="2006" w:name="_Toc12730"/>
      <w:bookmarkStart w:id="2007" w:name="_Toc2640"/>
      <w:bookmarkStart w:id="2008" w:name="_Toc25052"/>
      <w:bookmarkStart w:id="2009" w:name="_Toc12175"/>
      <w:bookmarkStart w:id="2010" w:name="_Toc1009"/>
      <w:bookmarkStart w:id="2011" w:name="_Toc30029"/>
      <w:bookmarkStart w:id="2012" w:name="_Toc16703"/>
      <w:bookmarkStart w:id="2013" w:name="_Toc21917"/>
      <w:bookmarkStart w:id="2014" w:name="_Toc31106"/>
      <w:bookmarkStart w:id="2015" w:name="_Toc12607"/>
      <w:bookmarkStart w:id="2016" w:name="_Toc6519"/>
    </w:p>
    <w:p>
      <w:pPr>
        <w:numPr>
          <w:ilvl w:val="255"/>
          <w:numId w:val="0"/>
        </w:numPr>
        <w:spacing w:line="360" w:lineRule="auto"/>
        <w:rPr>
          <w:rFonts w:hint="eastAsia" w:ascii="宋体" w:hAnsi="宋体" w:cs="宋体"/>
          <w:b/>
          <w:bCs/>
          <w:kern w:val="44"/>
          <w:sz w:val="36"/>
          <w:szCs w:val="36"/>
        </w:rPr>
      </w:pPr>
      <w:bookmarkStart w:id="2017" w:name="_Toc17125"/>
      <w:bookmarkStart w:id="2018" w:name="_Toc4066"/>
      <w:bookmarkStart w:id="2019" w:name="_Toc6646"/>
      <w:bookmarkStart w:id="2020" w:name="_Toc15299"/>
      <w:bookmarkStart w:id="2021" w:name="_Toc5886"/>
      <w:bookmarkStart w:id="2022" w:name="_Toc2111"/>
      <w:bookmarkStart w:id="2023" w:name="_Toc21816"/>
      <w:bookmarkStart w:id="2024" w:name="_Toc22398"/>
      <w:bookmarkStart w:id="2025" w:name="_Toc13226"/>
      <w:bookmarkStart w:id="2026" w:name="_Toc19273"/>
      <w:bookmarkStart w:id="2027" w:name="_Toc9937"/>
    </w:p>
    <w:p/>
    <w:p>
      <w:pPr>
        <w:pStyle w:val="2"/>
      </w:pPr>
    </w:p>
    <w:p>
      <w:pPr>
        <w:pStyle w:val="3"/>
      </w:pPr>
    </w:p>
    <w:p/>
    <w:p>
      <w:pPr>
        <w:pStyle w:val="2"/>
      </w:pPr>
    </w:p>
    <w:p>
      <w:pPr>
        <w:pStyle w:val="3"/>
      </w:pPr>
    </w:p>
    <w:p/>
    <w:p>
      <w:pPr>
        <w:pStyle w:val="2"/>
      </w:pPr>
    </w:p>
    <w:p>
      <w:pPr>
        <w:pageBreakBefore/>
        <w:numPr>
          <w:ilvl w:val="255"/>
          <w:numId w:val="0"/>
        </w:numPr>
        <w:spacing w:line="360" w:lineRule="auto"/>
        <w:jc w:val="center"/>
        <w:rPr>
          <w:rFonts w:hint="eastAsia" w:ascii="宋体" w:hAnsi="宋体" w:cs="宋体"/>
          <w:b/>
          <w:bCs/>
          <w:kern w:val="44"/>
          <w:sz w:val="36"/>
          <w:szCs w:val="36"/>
        </w:rPr>
      </w:pPr>
      <w:r>
        <w:rPr>
          <w:rFonts w:hint="eastAsia" w:ascii="宋体" w:hAnsi="宋体" w:cs="宋体"/>
          <w:b/>
          <w:bCs/>
          <w:kern w:val="44"/>
          <w:sz w:val="36"/>
          <w:szCs w:val="36"/>
        </w:rPr>
        <w:t>劳务外包合同主要条款</w:t>
      </w:r>
    </w:p>
    <w:p>
      <w:pPr>
        <w:keepNext w:val="0"/>
        <w:keepLines w:val="0"/>
        <w:pageBreakBefore w:val="0"/>
        <w:widowControl w:val="0"/>
        <w:numPr>
          <w:ilvl w:val="255"/>
          <w:numId w:val="0"/>
        </w:numPr>
        <w:kinsoku/>
        <w:wordWrap/>
        <w:overflowPunct/>
        <w:topLinePunct w:val="0"/>
        <w:autoSpaceDE/>
        <w:autoSpaceDN/>
        <w:bidi w:val="0"/>
        <w:adjustRightInd/>
        <w:snapToGrid/>
        <w:spacing w:line="360" w:lineRule="auto"/>
        <w:jc w:val="center"/>
        <w:textAlignment w:val="auto"/>
        <w:rPr>
          <w:rFonts w:hint="eastAsia" w:ascii="宋体" w:hAnsi="宋体" w:cs="宋体"/>
          <w:b/>
          <w:bCs/>
          <w:kern w:val="44"/>
          <w:sz w:val="36"/>
          <w:szCs w:val="36"/>
        </w:rPr>
      </w:pPr>
      <w:r>
        <w:rPr>
          <w:rFonts w:hint="eastAsia" w:ascii="宋体" w:hAnsi="宋体" w:cs="宋体"/>
          <w:b/>
          <w:bCs/>
          <w:kern w:val="44"/>
          <w:sz w:val="36"/>
          <w:szCs w:val="36"/>
        </w:rPr>
        <w:t>（标段</w:t>
      </w:r>
      <w:r>
        <w:rPr>
          <w:rFonts w:hint="eastAsia" w:ascii="宋体" w:hAnsi="宋体" w:cs="宋体"/>
          <w:b/>
          <w:bCs/>
          <w:kern w:val="44"/>
          <w:sz w:val="36"/>
          <w:szCs w:val="36"/>
          <w:lang w:val="en-US" w:eastAsia="zh-CN"/>
        </w:rPr>
        <w:t>3</w:t>
      </w:r>
      <w:r>
        <w:rPr>
          <w:rFonts w:hint="eastAsia" w:ascii="宋体" w:hAnsi="宋体" w:cs="宋体"/>
          <w:b/>
          <w:bCs/>
          <w:kern w:val="44"/>
          <w:sz w:val="36"/>
          <w:szCs w:val="36"/>
        </w:rPr>
        <w:t>）</w:t>
      </w:r>
    </w:p>
    <w:p>
      <w:pPr>
        <w:spacing w:line="360" w:lineRule="auto"/>
        <w:ind w:left="315" w:leftChars="150" w:right="315" w:rightChars="150"/>
        <w:rPr>
          <w:rFonts w:hint="eastAsia" w:ascii="宋体" w:hAnsi="宋体" w:cs="宋体"/>
          <w:szCs w:val="21"/>
        </w:rPr>
      </w:pPr>
    </w:p>
    <w:p>
      <w:pPr>
        <w:rPr>
          <w:rFonts w:hint="eastAsia" w:ascii="宋体" w:hAnsi="宋体" w:eastAsia="宋体" w:cs="宋体"/>
          <w:color w:val="000000"/>
          <w:sz w:val="22"/>
          <w:szCs w:val="22"/>
        </w:rPr>
      </w:pPr>
      <w:bookmarkStart w:id="2028" w:name="_Toc2131"/>
      <w:bookmarkStart w:id="2029" w:name="_Toc21116"/>
      <w:bookmarkStart w:id="2030" w:name="_Toc16"/>
      <w:bookmarkStart w:id="2031" w:name="_Toc13389"/>
      <w:bookmarkStart w:id="2032" w:name="_Toc16227"/>
      <w:bookmarkStart w:id="2033" w:name="_Toc7042"/>
      <w:bookmarkStart w:id="2034" w:name="_Toc7312"/>
      <w:bookmarkStart w:id="2035" w:name="_Toc30800"/>
      <w:r>
        <w:rPr>
          <w:rFonts w:hint="eastAsia" w:ascii="宋体" w:hAnsi="宋体" w:eastAsia="宋体" w:cs="宋体"/>
          <w:color w:val="000000"/>
          <w:sz w:val="22"/>
          <w:szCs w:val="22"/>
        </w:rPr>
        <w:t xml:space="preserve">甲方: </w:t>
      </w:r>
    </w:p>
    <w:p>
      <w:pPr>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注册地址： </w:t>
      </w:r>
    </w:p>
    <w:p>
      <w:pPr>
        <w:rPr>
          <w:rFonts w:hint="eastAsia" w:ascii="宋体" w:hAnsi="宋体" w:eastAsia="宋体" w:cs="宋体"/>
          <w:color w:val="000000"/>
          <w:sz w:val="22"/>
          <w:szCs w:val="22"/>
        </w:rPr>
      </w:pPr>
      <w:r>
        <w:rPr>
          <w:rFonts w:hint="eastAsia" w:ascii="宋体" w:hAnsi="宋体" w:eastAsia="宋体" w:cs="宋体"/>
          <w:color w:val="000000"/>
          <w:sz w:val="22"/>
          <w:szCs w:val="22"/>
        </w:rPr>
        <w:t>电话：</w:t>
      </w:r>
    </w:p>
    <w:p>
      <w:pPr>
        <w:rPr>
          <w:rFonts w:hint="eastAsia" w:ascii="宋体" w:hAnsi="宋体" w:eastAsia="宋体" w:cs="宋体"/>
          <w:color w:val="000000"/>
          <w:sz w:val="22"/>
          <w:szCs w:val="22"/>
        </w:rPr>
      </w:pPr>
      <w:r>
        <w:rPr>
          <w:rFonts w:hint="eastAsia" w:ascii="宋体" w:hAnsi="宋体" w:eastAsia="宋体" w:cs="宋体"/>
          <w:color w:val="000000"/>
          <w:sz w:val="22"/>
          <w:szCs w:val="22"/>
        </w:rPr>
        <w:t>法定代表人：</w:t>
      </w:r>
    </w:p>
    <w:p>
      <w:pPr>
        <w:rPr>
          <w:rFonts w:hint="eastAsia" w:ascii="宋体" w:hAnsi="宋体" w:eastAsia="宋体" w:cs="宋体"/>
          <w:color w:val="000000"/>
          <w:sz w:val="22"/>
          <w:szCs w:val="22"/>
        </w:rPr>
      </w:pPr>
    </w:p>
    <w:p>
      <w:pPr>
        <w:rPr>
          <w:rFonts w:hint="eastAsia" w:ascii="宋体" w:hAnsi="宋体" w:eastAsia="宋体" w:cs="宋体"/>
          <w:sz w:val="22"/>
          <w:szCs w:val="22"/>
          <w:u w:val="single"/>
          <w:lang w:eastAsia="zh-CN"/>
        </w:rPr>
      </w:pPr>
      <w:r>
        <w:rPr>
          <w:rFonts w:hint="eastAsia" w:ascii="宋体" w:hAnsi="宋体" w:eastAsia="宋体" w:cs="宋体"/>
          <w:sz w:val="22"/>
          <w:szCs w:val="22"/>
        </w:rPr>
        <w:t>乙方：</w:t>
      </w:r>
    </w:p>
    <w:p>
      <w:pPr>
        <w:rPr>
          <w:rFonts w:hint="eastAsia" w:ascii="宋体" w:hAnsi="宋体" w:eastAsia="宋体" w:cs="宋体"/>
          <w:sz w:val="22"/>
          <w:szCs w:val="22"/>
        </w:rPr>
      </w:pPr>
      <w:r>
        <w:rPr>
          <w:rFonts w:hint="eastAsia" w:ascii="宋体" w:hAnsi="宋体" w:eastAsia="宋体" w:cs="宋体"/>
          <w:sz w:val="22"/>
          <w:szCs w:val="22"/>
        </w:rPr>
        <w:t>注册地址：</w:t>
      </w:r>
    </w:p>
    <w:p>
      <w:pPr>
        <w:rPr>
          <w:rFonts w:hint="default" w:ascii="宋体" w:hAnsi="宋体" w:eastAsia="宋体" w:cs="宋体"/>
          <w:sz w:val="22"/>
          <w:szCs w:val="22"/>
          <w:u w:val="single"/>
          <w:lang w:val="en-US" w:eastAsia="zh-CN"/>
        </w:rPr>
      </w:pPr>
      <w:r>
        <w:rPr>
          <w:rFonts w:hint="eastAsia" w:ascii="宋体" w:hAnsi="宋体" w:eastAsia="宋体" w:cs="宋体"/>
          <w:sz w:val="22"/>
          <w:szCs w:val="22"/>
        </w:rPr>
        <w:t>电  话：</w:t>
      </w:r>
    </w:p>
    <w:p>
      <w:pPr>
        <w:rPr>
          <w:rFonts w:hint="eastAsia" w:ascii="宋体" w:hAnsi="宋体" w:eastAsia="宋体" w:cs="宋体"/>
          <w:sz w:val="22"/>
          <w:szCs w:val="22"/>
          <w:u w:val="single"/>
          <w:lang w:eastAsia="zh-CN"/>
        </w:rPr>
      </w:pPr>
      <w:r>
        <w:rPr>
          <w:rFonts w:hint="eastAsia" w:ascii="宋体" w:hAnsi="宋体" w:eastAsia="宋体" w:cs="宋体"/>
          <w:sz w:val="22"/>
          <w:szCs w:val="22"/>
        </w:rPr>
        <w:t>法定代表人：</w:t>
      </w:r>
    </w:p>
    <w:p>
      <w:pPr>
        <w:spacing w:line="360" w:lineRule="auto"/>
        <w:rPr>
          <w:rFonts w:hint="eastAsia" w:ascii="宋体" w:hAnsi="宋体" w:eastAsia="宋体" w:cs="宋体"/>
          <w:b/>
          <w:color w:val="000000"/>
          <w:sz w:val="22"/>
          <w:szCs w:val="22"/>
        </w:rPr>
      </w:pPr>
    </w:p>
    <w:p>
      <w:pPr>
        <w:spacing w:line="360" w:lineRule="auto"/>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乙方为专业的人力资源服务外包及服务的企业，根据《</w:t>
      </w:r>
      <w:r>
        <w:rPr>
          <w:rFonts w:hint="eastAsia" w:ascii="宋体" w:hAnsi="宋体" w:eastAsia="宋体" w:cs="宋体"/>
          <w:color w:val="000000"/>
          <w:sz w:val="22"/>
          <w:szCs w:val="22"/>
          <w:lang w:val="en-US" w:eastAsia="zh-CN"/>
        </w:rPr>
        <w:t>中华人民共和国民法典</w:t>
      </w:r>
      <w:r>
        <w:rPr>
          <w:rFonts w:hint="eastAsia" w:ascii="宋体" w:hAnsi="宋体" w:eastAsia="宋体" w:cs="宋体"/>
          <w:color w:val="000000"/>
          <w:sz w:val="22"/>
          <w:szCs w:val="22"/>
        </w:rPr>
        <w:t>》及有关法律法规，双方本着"自愿平等、诚实信用、公平互利、全面履行"的原则，甲乙双方经友好协商，就开展人力资源服务合作事宜达成以下协议，以资共同遵守。</w:t>
      </w:r>
    </w:p>
    <w:p>
      <w:pPr>
        <w:spacing w:line="360" w:lineRule="auto"/>
        <w:ind w:firstLine="440" w:firstLineChars="200"/>
        <w:rPr>
          <w:rFonts w:hint="eastAsia" w:ascii="宋体" w:hAnsi="宋体" w:eastAsia="宋体" w:cs="宋体"/>
          <w:color w:val="000000"/>
          <w:sz w:val="22"/>
          <w:szCs w:val="22"/>
        </w:rPr>
      </w:pPr>
    </w:p>
    <w:p>
      <w:pPr>
        <w:spacing w:line="360" w:lineRule="auto"/>
        <w:jc w:val="center"/>
        <w:rPr>
          <w:rFonts w:hint="eastAsia" w:ascii="宋体" w:hAnsi="宋体" w:eastAsia="宋体" w:cs="宋体"/>
          <w:b/>
          <w:bCs/>
          <w:color w:val="000000"/>
          <w:sz w:val="22"/>
          <w:szCs w:val="22"/>
        </w:rPr>
      </w:pPr>
      <w:r>
        <w:rPr>
          <w:rFonts w:hint="eastAsia" w:ascii="宋体" w:hAnsi="宋体" w:eastAsia="宋体" w:cs="宋体"/>
          <w:b/>
          <w:bCs/>
          <w:color w:val="000000"/>
          <w:sz w:val="22"/>
          <w:szCs w:val="22"/>
        </w:rPr>
        <w:t>第一章  总则</w:t>
      </w:r>
    </w:p>
    <w:p>
      <w:pPr>
        <w:tabs>
          <w:tab w:val="left" w:pos="900"/>
        </w:tabs>
        <w:spacing w:line="360" w:lineRule="auto"/>
        <w:ind w:left="770" w:hanging="941" w:hangingChars="428"/>
        <w:jc w:val="left"/>
        <w:rPr>
          <w:rFonts w:hint="eastAsia" w:ascii="宋体" w:hAnsi="宋体" w:eastAsia="宋体" w:cs="宋体"/>
          <w:color w:val="000000"/>
          <w:sz w:val="22"/>
          <w:szCs w:val="22"/>
        </w:rPr>
      </w:pPr>
      <w:r>
        <w:rPr>
          <w:rFonts w:hint="eastAsia" w:ascii="宋体" w:hAnsi="宋体" w:eastAsia="宋体" w:cs="宋体"/>
          <w:color w:val="000000"/>
          <w:sz w:val="22"/>
          <w:szCs w:val="22"/>
        </w:rPr>
        <w:t>第一条  释义：人力资源外包服务是指将公司内的部分业务或职能工作内容发包给相关的机构，由其自行安排人员按照企业的要求完成相应的业务或职能工作内容。三方关系如下：</w:t>
      </w:r>
    </w:p>
    <w:p>
      <w:pPr>
        <w:numPr>
          <w:ilvl w:val="0"/>
          <w:numId w:val="8"/>
        </w:numPr>
        <w:spacing w:line="360" w:lineRule="auto"/>
        <w:rPr>
          <w:rFonts w:hint="eastAsia" w:ascii="宋体" w:hAnsi="宋体" w:eastAsia="宋体" w:cs="宋体"/>
          <w:color w:val="000000"/>
          <w:sz w:val="22"/>
          <w:szCs w:val="22"/>
        </w:rPr>
      </w:pPr>
      <w:r>
        <w:rPr>
          <w:rFonts w:hint="eastAsia" w:ascii="宋体" w:hAnsi="宋体" w:eastAsia="宋体" w:cs="宋体"/>
          <w:color w:val="000000"/>
          <w:sz w:val="22"/>
          <w:szCs w:val="22"/>
        </w:rPr>
        <w:t>甲方提供人力资源外包业务需求，由乙方承包并向乙方支付劳务服务费用。</w:t>
      </w:r>
    </w:p>
    <w:p>
      <w:pPr>
        <w:numPr>
          <w:ilvl w:val="0"/>
          <w:numId w:val="8"/>
        </w:numPr>
        <w:spacing w:line="360" w:lineRule="auto"/>
        <w:rPr>
          <w:rFonts w:hint="eastAsia" w:ascii="宋体" w:hAnsi="宋体" w:eastAsia="宋体" w:cs="宋体"/>
          <w:color w:val="000000"/>
          <w:sz w:val="22"/>
          <w:szCs w:val="22"/>
        </w:rPr>
      </w:pPr>
      <w:r>
        <w:rPr>
          <w:rFonts w:hint="eastAsia" w:ascii="宋体" w:hAnsi="宋体" w:eastAsia="宋体" w:cs="宋体"/>
          <w:color w:val="000000"/>
          <w:sz w:val="22"/>
          <w:szCs w:val="22"/>
        </w:rPr>
        <w:t>乙方根据甲方业务需要和录用条件、岗位说明、用工期限执行。</w:t>
      </w:r>
    </w:p>
    <w:p>
      <w:pPr>
        <w:numPr>
          <w:ilvl w:val="0"/>
          <w:numId w:val="8"/>
        </w:numPr>
        <w:spacing w:line="360" w:lineRule="auto"/>
        <w:rPr>
          <w:rFonts w:hint="eastAsia" w:ascii="宋体" w:hAnsi="宋体" w:eastAsia="宋体" w:cs="宋体"/>
          <w:color w:val="000000"/>
          <w:sz w:val="22"/>
          <w:szCs w:val="22"/>
        </w:rPr>
      </w:pPr>
      <w:r>
        <w:rPr>
          <w:rFonts w:hint="eastAsia" w:ascii="宋体" w:hAnsi="宋体" w:eastAsia="宋体" w:cs="宋体"/>
          <w:color w:val="000000"/>
          <w:sz w:val="22"/>
          <w:szCs w:val="22"/>
        </w:rPr>
        <w:t>劳务员工是指由乙方聘用并与其建立劳动法律关系,由乙方派</w:t>
      </w:r>
      <w:r>
        <w:rPr>
          <w:rFonts w:hint="eastAsia" w:ascii="宋体" w:hAnsi="宋体" w:eastAsia="宋体" w:cs="宋体"/>
          <w:color w:val="000000"/>
          <w:sz w:val="22"/>
          <w:szCs w:val="22"/>
          <w:lang w:val="en-US" w:eastAsia="zh-CN"/>
        </w:rPr>
        <w:t>驻</w:t>
      </w:r>
      <w:r>
        <w:rPr>
          <w:rFonts w:hint="eastAsia" w:ascii="宋体" w:hAnsi="宋体" w:eastAsia="宋体" w:cs="宋体"/>
          <w:color w:val="000000"/>
          <w:sz w:val="22"/>
          <w:szCs w:val="22"/>
        </w:rPr>
        <w:t>到甲方工作的员工。劳务工由乙方使用,其劳动人事关系、工资保险关系和劳动用工手续归属乙方，所有用工手续由乙方按照有关规定办理。</w:t>
      </w:r>
    </w:p>
    <w:p>
      <w:pPr>
        <w:spacing w:line="360" w:lineRule="auto"/>
        <w:rPr>
          <w:rFonts w:hint="eastAsia" w:ascii="宋体" w:hAnsi="宋体" w:eastAsia="宋体" w:cs="宋体"/>
          <w:color w:val="000000"/>
          <w:sz w:val="22"/>
          <w:szCs w:val="22"/>
        </w:rPr>
      </w:pPr>
    </w:p>
    <w:p>
      <w:pPr>
        <w:spacing w:line="360" w:lineRule="auto"/>
        <w:ind w:left="720" w:hanging="880" w:hangingChars="400"/>
        <w:rPr>
          <w:rFonts w:hint="eastAsia" w:ascii="宋体" w:hAnsi="宋体" w:eastAsia="宋体" w:cs="宋体"/>
          <w:color w:val="000000"/>
          <w:sz w:val="22"/>
          <w:szCs w:val="22"/>
        </w:rPr>
      </w:pPr>
      <w:r>
        <w:rPr>
          <w:rFonts w:hint="eastAsia" w:ascii="宋体" w:hAnsi="宋体" w:eastAsia="宋体" w:cs="宋体"/>
          <w:color w:val="000000"/>
          <w:sz w:val="22"/>
          <w:szCs w:val="22"/>
        </w:rPr>
        <w:t>第二条  协议期限协议有效期为，从</w:t>
      </w:r>
      <w:r>
        <w:rPr>
          <w:rFonts w:hint="eastAsia" w:ascii="宋体" w:hAnsi="宋体" w:eastAsia="宋体" w:cs="宋体"/>
          <w:color w:val="000000"/>
          <w:sz w:val="22"/>
          <w:szCs w:val="22"/>
          <w:u w:val="single"/>
        </w:rPr>
        <w:t xml:space="preserve">     </w:t>
      </w:r>
      <w:r>
        <w:rPr>
          <w:rFonts w:hint="eastAsia" w:ascii="宋体" w:hAnsi="宋体" w:eastAsia="宋体" w:cs="宋体"/>
          <w:sz w:val="22"/>
          <w:szCs w:val="22"/>
        </w:rPr>
        <w:t>年</w:t>
      </w:r>
      <w:r>
        <w:rPr>
          <w:rFonts w:hint="eastAsia" w:ascii="宋体" w:hAnsi="宋体" w:eastAsia="宋体" w:cs="宋体"/>
          <w:sz w:val="22"/>
          <w:szCs w:val="22"/>
          <w:u w:val="single"/>
        </w:rPr>
        <w:t xml:space="preserve">   </w:t>
      </w:r>
      <w:r>
        <w:rPr>
          <w:rFonts w:hint="eastAsia" w:ascii="宋体" w:hAnsi="宋体" w:eastAsia="宋体" w:cs="宋体"/>
          <w:sz w:val="22"/>
          <w:szCs w:val="22"/>
        </w:rPr>
        <w:t>月</w:t>
      </w:r>
      <w:r>
        <w:rPr>
          <w:rFonts w:hint="eastAsia" w:ascii="宋体" w:hAnsi="宋体" w:eastAsia="宋体" w:cs="宋体"/>
          <w:sz w:val="22"/>
          <w:szCs w:val="22"/>
          <w:u w:val="single"/>
        </w:rPr>
        <w:t xml:space="preserve">   </w:t>
      </w:r>
      <w:r>
        <w:rPr>
          <w:rFonts w:hint="eastAsia" w:ascii="宋体" w:hAnsi="宋体" w:eastAsia="宋体" w:cs="宋体"/>
          <w:sz w:val="22"/>
          <w:szCs w:val="22"/>
        </w:rPr>
        <w:t>日至</w:t>
      </w:r>
      <w:r>
        <w:rPr>
          <w:rFonts w:hint="eastAsia" w:ascii="宋体" w:hAnsi="宋体" w:eastAsia="宋体" w:cs="宋体"/>
          <w:sz w:val="22"/>
          <w:szCs w:val="22"/>
          <w:u w:val="single"/>
        </w:rPr>
        <w:t xml:space="preserve">    </w:t>
      </w:r>
      <w:r>
        <w:rPr>
          <w:rFonts w:hint="eastAsia" w:ascii="宋体" w:hAnsi="宋体" w:eastAsia="宋体" w:cs="宋体"/>
          <w:sz w:val="22"/>
          <w:szCs w:val="22"/>
        </w:rPr>
        <w:t>年</w:t>
      </w:r>
      <w:r>
        <w:rPr>
          <w:rFonts w:hint="eastAsia" w:ascii="宋体" w:hAnsi="宋体" w:eastAsia="宋体" w:cs="宋体"/>
          <w:sz w:val="22"/>
          <w:szCs w:val="22"/>
          <w:u w:val="single"/>
        </w:rPr>
        <w:t xml:space="preserve">     </w:t>
      </w:r>
      <w:r>
        <w:rPr>
          <w:rFonts w:hint="eastAsia" w:ascii="宋体" w:hAnsi="宋体" w:eastAsia="宋体" w:cs="宋体"/>
          <w:sz w:val="22"/>
          <w:szCs w:val="22"/>
        </w:rPr>
        <w:t>月</w:t>
      </w:r>
      <w:r>
        <w:rPr>
          <w:rFonts w:hint="eastAsia" w:ascii="宋体" w:hAnsi="宋体" w:eastAsia="宋体" w:cs="宋体"/>
          <w:sz w:val="22"/>
          <w:szCs w:val="22"/>
          <w:u w:val="single"/>
        </w:rPr>
        <w:t xml:space="preserve">  </w:t>
      </w:r>
      <w:r>
        <w:rPr>
          <w:rFonts w:hint="eastAsia" w:ascii="宋体" w:hAnsi="宋体" w:eastAsia="宋体" w:cs="宋体"/>
          <w:sz w:val="22"/>
          <w:szCs w:val="22"/>
        </w:rPr>
        <w:t>日</w:t>
      </w:r>
      <w:r>
        <w:rPr>
          <w:rFonts w:hint="eastAsia" w:ascii="宋体" w:hAnsi="宋体" w:eastAsia="宋体" w:cs="宋体"/>
          <w:color w:val="000000"/>
          <w:sz w:val="22"/>
          <w:szCs w:val="22"/>
        </w:rPr>
        <w:t>，具体人员由实际业务量来制定。期间,如</w:t>
      </w:r>
      <w:r>
        <w:rPr>
          <w:rFonts w:hint="eastAsia" w:ascii="宋体" w:hAnsi="宋体" w:eastAsia="宋体" w:cs="宋体"/>
          <w:color w:val="000000"/>
          <w:sz w:val="22"/>
          <w:szCs w:val="22"/>
          <w:lang w:val="en-US" w:eastAsia="zh-CN"/>
        </w:rPr>
        <w:t>乙</w:t>
      </w:r>
      <w:r>
        <w:rPr>
          <w:rFonts w:hint="eastAsia" w:ascii="宋体" w:hAnsi="宋体" w:eastAsia="宋体" w:cs="宋体"/>
          <w:color w:val="000000"/>
          <w:sz w:val="22"/>
          <w:szCs w:val="22"/>
        </w:rPr>
        <w:t>方提出解除合同须提前</w:t>
      </w:r>
      <w:r>
        <w:rPr>
          <w:rFonts w:hint="eastAsia" w:ascii="宋体" w:hAnsi="宋体" w:eastAsia="宋体" w:cs="宋体"/>
          <w:color w:val="000000"/>
          <w:sz w:val="22"/>
          <w:szCs w:val="22"/>
          <w:u w:val="single"/>
        </w:rPr>
        <w:t>90</w:t>
      </w:r>
      <w:r>
        <w:rPr>
          <w:rFonts w:hint="eastAsia" w:ascii="宋体" w:hAnsi="宋体" w:eastAsia="宋体" w:cs="宋体"/>
          <w:color w:val="000000"/>
          <w:sz w:val="22"/>
          <w:szCs w:val="22"/>
        </w:rPr>
        <w:t>天书面通知。协议期满，双方均可提前一个月向对方书面提出续约事宜。</w:t>
      </w:r>
    </w:p>
    <w:p>
      <w:pPr>
        <w:spacing w:line="360" w:lineRule="auto"/>
        <w:ind w:left="720" w:hanging="880" w:hangingChars="400"/>
        <w:rPr>
          <w:rFonts w:hint="eastAsia" w:ascii="宋体" w:hAnsi="宋体" w:eastAsia="宋体" w:cs="宋体"/>
          <w:color w:val="000000"/>
          <w:sz w:val="22"/>
          <w:szCs w:val="22"/>
        </w:rPr>
      </w:pPr>
    </w:p>
    <w:p>
      <w:pPr>
        <w:spacing w:line="360" w:lineRule="auto"/>
        <w:rPr>
          <w:rFonts w:hint="eastAsia" w:ascii="宋体" w:hAnsi="宋体" w:eastAsia="宋体" w:cs="宋体"/>
          <w:color w:val="000000"/>
          <w:sz w:val="22"/>
          <w:szCs w:val="22"/>
        </w:rPr>
      </w:pPr>
      <w:r>
        <w:rPr>
          <w:rFonts w:hint="eastAsia" w:ascii="宋体" w:hAnsi="宋体" w:eastAsia="宋体" w:cs="宋体"/>
          <w:color w:val="000000"/>
          <w:sz w:val="22"/>
          <w:szCs w:val="22"/>
        </w:rPr>
        <w:t>第三条  人力资源外包服务业务及劳务工的管理</w:t>
      </w:r>
    </w:p>
    <w:p>
      <w:pPr>
        <w:numPr>
          <w:ilvl w:val="0"/>
          <w:numId w:val="9"/>
        </w:numPr>
        <w:spacing w:line="360" w:lineRule="auto"/>
        <w:rPr>
          <w:rFonts w:hint="eastAsia" w:ascii="宋体" w:hAnsi="宋体" w:eastAsia="宋体" w:cs="宋体"/>
          <w:color w:val="000000"/>
          <w:sz w:val="22"/>
          <w:szCs w:val="22"/>
        </w:rPr>
      </w:pPr>
      <w:r>
        <w:rPr>
          <w:rFonts w:hint="eastAsia" w:ascii="宋体" w:hAnsi="宋体" w:eastAsia="宋体" w:cs="宋体"/>
          <w:color w:val="000000"/>
          <w:sz w:val="22"/>
          <w:szCs w:val="22"/>
        </w:rPr>
        <w:t>劳务工在甲方从事的岗位、工作内容、录用条件、薪资待遇、工作时间由乙方与劳务工约定，如岗位、薪资待遇等上述内容出现变更，</w:t>
      </w:r>
      <w:r>
        <w:rPr>
          <w:rFonts w:hint="eastAsia" w:ascii="宋体" w:hAnsi="宋体" w:eastAsia="宋体" w:cs="宋体"/>
          <w:color w:val="000000"/>
          <w:sz w:val="22"/>
          <w:szCs w:val="22"/>
          <w:lang w:val="en-US" w:eastAsia="zh-CN"/>
        </w:rPr>
        <w:t>乙</w:t>
      </w:r>
      <w:r>
        <w:rPr>
          <w:rFonts w:hint="eastAsia" w:ascii="宋体" w:hAnsi="宋体" w:eastAsia="宋体" w:cs="宋体"/>
          <w:color w:val="000000"/>
          <w:sz w:val="22"/>
          <w:szCs w:val="22"/>
        </w:rPr>
        <w:t>方应与</w:t>
      </w:r>
      <w:r>
        <w:rPr>
          <w:rFonts w:hint="eastAsia" w:ascii="宋体" w:hAnsi="宋体" w:eastAsia="宋体" w:cs="宋体"/>
          <w:color w:val="000000"/>
          <w:sz w:val="22"/>
          <w:szCs w:val="22"/>
          <w:lang w:val="en-US" w:eastAsia="zh-CN"/>
        </w:rPr>
        <w:t>甲方及</w:t>
      </w:r>
      <w:r>
        <w:rPr>
          <w:rFonts w:hint="eastAsia" w:ascii="宋体" w:hAnsi="宋体" w:eastAsia="宋体" w:cs="宋体"/>
          <w:color w:val="000000"/>
          <w:sz w:val="22"/>
          <w:szCs w:val="22"/>
        </w:rPr>
        <w:t>变更岗位、薪资待遇的劳务工协商一致后再行调整。</w:t>
      </w:r>
    </w:p>
    <w:p>
      <w:pPr>
        <w:numPr>
          <w:ilvl w:val="0"/>
          <w:numId w:val="9"/>
        </w:numPr>
        <w:spacing w:line="360" w:lineRule="auto"/>
        <w:rPr>
          <w:rFonts w:hint="eastAsia" w:ascii="宋体" w:hAnsi="宋体" w:eastAsia="宋体" w:cs="宋体"/>
          <w:color w:val="000000"/>
          <w:sz w:val="22"/>
          <w:szCs w:val="22"/>
        </w:rPr>
      </w:pPr>
      <w:r>
        <w:rPr>
          <w:rFonts w:hint="eastAsia" w:ascii="宋体" w:hAnsi="宋体" w:eastAsia="宋体" w:cs="宋体"/>
          <w:color w:val="000000"/>
          <w:sz w:val="22"/>
          <w:szCs w:val="22"/>
        </w:rPr>
        <w:t>劳务工培训</w:t>
      </w:r>
    </w:p>
    <w:p>
      <w:pPr>
        <w:spacing w:line="360" w:lineRule="auto"/>
        <w:ind w:left="950" w:leftChars="171" w:hanging="591" w:hangingChars="269"/>
        <w:rPr>
          <w:rFonts w:hint="eastAsia" w:ascii="宋体" w:hAnsi="宋体" w:eastAsia="宋体" w:cs="宋体"/>
          <w:color w:val="000000"/>
          <w:sz w:val="22"/>
          <w:szCs w:val="22"/>
        </w:rPr>
      </w:pPr>
      <w:r>
        <w:rPr>
          <w:rFonts w:hint="eastAsia" w:ascii="宋体" w:hAnsi="宋体" w:eastAsia="宋体" w:cs="宋体"/>
          <w:color w:val="000000"/>
          <w:sz w:val="22"/>
          <w:szCs w:val="22"/>
        </w:rPr>
        <w:t>（一）乙方应按照劳动法律法规履行法定告知义务，完成对新录用劳务工的公共职业培训，承担相关费用。培训内容包括：</w:t>
      </w:r>
    </w:p>
    <w:p>
      <w:pPr>
        <w:numPr>
          <w:ilvl w:val="0"/>
          <w:numId w:val="10"/>
        </w:numPr>
        <w:tabs>
          <w:tab w:val="left" w:pos="1260"/>
          <w:tab w:val="clear" w:pos="2700"/>
        </w:tabs>
        <w:spacing w:line="360" w:lineRule="auto"/>
        <w:ind w:left="1260" w:hanging="360"/>
        <w:rPr>
          <w:rFonts w:hint="eastAsia" w:ascii="宋体" w:hAnsi="宋体" w:eastAsia="宋体" w:cs="宋体"/>
          <w:color w:val="000000"/>
          <w:sz w:val="22"/>
          <w:szCs w:val="22"/>
        </w:rPr>
      </w:pPr>
      <w:r>
        <w:rPr>
          <w:rFonts w:hint="eastAsia" w:ascii="宋体" w:hAnsi="宋体" w:eastAsia="宋体" w:cs="宋体"/>
          <w:color w:val="000000"/>
          <w:sz w:val="22"/>
          <w:szCs w:val="22"/>
        </w:rPr>
        <w:t>乙方依法制定的规章制度；</w:t>
      </w:r>
    </w:p>
    <w:p>
      <w:pPr>
        <w:numPr>
          <w:ilvl w:val="0"/>
          <w:numId w:val="10"/>
        </w:numPr>
        <w:tabs>
          <w:tab w:val="left" w:pos="1260"/>
          <w:tab w:val="clear" w:pos="2700"/>
        </w:tabs>
        <w:spacing w:line="360" w:lineRule="auto"/>
        <w:ind w:left="1260" w:hanging="360"/>
        <w:rPr>
          <w:rFonts w:hint="eastAsia" w:ascii="宋体" w:hAnsi="宋体" w:eastAsia="宋体" w:cs="宋体"/>
          <w:color w:val="000000"/>
          <w:sz w:val="22"/>
          <w:szCs w:val="22"/>
        </w:rPr>
      </w:pPr>
      <w:r>
        <w:rPr>
          <w:rFonts w:hint="eastAsia" w:ascii="宋体" w:hAnsi="宋体" w:eastAsia="宋体" w:cs="宋体"/>
          <w:color w:val="000000"/>
          <w:sz w:val="22"/>
          <w:szCs w:val="22"/>
        </w:rPr>
        <w:t>劳务工的工作内容、工作条件、工作地点、期限、职业危害、安全生产状况、劳动报酬；</w:t>
      </w:r>
    </w:p>
    <w:p>
      <w:pPr>
        <w:numPr>
          <w:ilvl w:val="0"/>
          <w:numId w:val="10"/>
        </w:numPr>
        <w:tabs>
          <w:tab w:val="left" w:pos="1260"/>
          <w:tab w:val="clear" w:pos="2700"/>
        </w:tabs>
        <w:spacing w:line="360" w:lineRule="auto"/>
        <w:ind w:left="1260" w:hanging="360"/>
        <w:rPr>
          <w:rFonts w:hint="eastAsia" w:ascii="宋体" w:hAnsi="宋体" w:eastAsia="宋体" w:cs="宋体"/>
          <w:color w:val="000000"/>
          <w:sz w:val="22"/>
          <w:szCs w:val="22"/>
        </w:rPr>
      </w:pPr>
      <w:r>
        <w:rPr>
          <w:rFonts w:hint="eastAsia" w:ascii="宋体" w:hAnsi="宋体" w:eastAsia="宋体" w:cs="宋体"/>
          <w:color w:val="000000"/>
          <w:sz w:val="22"/>
          <w:szCs w:val="22"/>
        </w:rPr>
        <w:t>甲乙双方</w:t>
      </w:r>
      <w:r>
        <w:rPr>
          <w:rFonts w:hint="eastAsia" w:ascii="宋体" w:hAnsi="宋体" w:eastAsia="宋体" w:cs="宋体"/>
          <w:color w:val="000000"/>
          <w:sz w:val="22"/>
          <w:szCs w:val="22"/>
          <w:lang w:val="en-US" w:eastAsia="zh-CN"/>
        </w:rPr>
        <w:t>外包</w:t>
      </w:r>
      <w:r>
        <w:rPr>
          <w:rFonts w:hint="eastAsia" w:ascii="宋体" w:hAnsi="宋体" w:eastAsia="宋体" w:cs="宋体"/>
          <w:color w:val="000000"/>
          <w:sz w:val="22"/>
          <w:szCs w:val="22"/>
        </w:rPr>
        <w:t>协议中涉及劳务工切身利益的内容；</w:t>
      </w:r>
    </w:p>
    <w:p>
      <w:pPr>
        <w:numPr>
          <w:ilvl w:val="0"/>
          <w:numId w:val="10"/>
        </w:numPr>
        <w:tabs>
          <w:tab w:val="left" w:pos="1260"/>
          <w:tab w:val="clear" w:pos="2700"/>
        </w:tabs>
        <w:spacing w:line="360" w:lineRule="auto"/>
        <w:ind w:left="1260" w:hanging="360"/>
        <w:rPr>
          <w:rFonts w:hint="eastAsia" w:ascii="宋体" w:hAnsi="宋体" w:eastAsia="宋体" w:cs="宋体"/>
          <w:color w:val="000000"/>
          <w:sz w:val="22"/>
          <w:szCs w:val="22"/>
        </w:rPr>
      </w:pPr>
      <w:r>
        <w:rPr>
          <w:rFonts w:hint="eastAsia" w:ascii="宋体" w:hAnsi="宋体" w:eastAsia="宋体" w:cs="宋体"/>
          <w:color w:val="000000"/>
          <w:sz w:val="22"/>
          <w:szCs w:val="22"/>
        </w:rPr>
        <w:t>劳务工要求了解的其他情况；（涉及甲乙双方商业秘密的除外）</w:t>
      </w:r>
    </w:p>
    <w:p>
      <w:pPr>
        <w:spacing w:line="360" w:lineRule="auto"/>
        <w:ind w:left="940" w:leftChars="271" w:hanging="371" w:hangingChars="169"/>
        <w:rPr>
          <w:rFonts w:hint="eastAsia" w:ascii="宋体" w:hAnsi="宋体" w:eastAsia="宋体" w:cs="宋体"/>
          <w:color w:val="000000"/>
          <w:sz w:val="22"/>
          <w:szCs w:val="22"/>
        </w:rPr>
      </w:pPr>
      <w:r>
        <w:rPr>
          <w:rFonts w:hint="eastAsia" w:ascii="宋体" w:hAnsi="宋体" w:eastAsia="宋体" w:cs="宋体"/>
          <w:color w:val="000000"/>
          <w:sz w:val="22"/>
          <w:szCs w:val="22"/>
        </w:rPr>
        <w:t>(二) 劳务工正式入职后，甲方应按照劳动法律法规履行用工单位的告知义务，并</w:t>
      </w:r>
      <w:r>
        <w:rPr>
          <w:rFonts w:hint="eastAsia" w:ascii="宋体" w:hAnsi="宋体" w:eastAsia="宋体" w:cs="宋体"/>
          <w:color w:val="000000"/>
          <w:sz w:val="22"/>
          <w:szCs w:val="22"/>
          <w:lang w:val="en-US" w:eastAsia="zh-CN"/>
        </w:rPr>
        <w:t>协助乙方</w:t>
      </w:r>
      <w:r>
        <w:rPr>
          <w:rFonts w:hint="eastAsia" w:ascii="宋体" w:hAnsi="宋体" w:eastAsia="宋体" w:cs="宋体"/>
          <w:color w:val="000000"/>
          <w:sz w:val="22"/>
          <w:szCs w:val="22"/>
        </w:rPr>
        <w:t>完成劳务工的各类技能培训、安全培训、质量培训等，承担相关费用，告知内容包括：</w:t>
      </w:r>
    </w:p>
    <w:p>
      <w:pPr>
        <w:spacing w:line="360" w:lineRule="auto"/>
        <w:ind w:left="1275" w:leftChars="441" w:hanging="349" w:hangingChars="159"/>
        <w:rPr>
          <w:rFonts w:hint="eastAsia" w:ascii="宋体" w:hAnsi="宋体" w:eastAsia="宋体" w:cs="宋体"/>
          <w:color w:val="000000"/>
          <w:sz w:val="22"/>
          <w:szCs w:val="22"/>
        </w:rPr>
      </w:pPr>
      <w:r>
        <w:rPr>
          <w:rFonts w:hint="eastAsia" w:ascii="宋体" w:hAnsi="宋体" w:eastAsia="宋体" w:cs="宋体"/>
          <w:color w:val="000000"/>
          <w:sz w:val="22"/>
          <w:szCs w:val="22"/>
        </w:rPr>
        <w:t>1.  劳务工的工作要求和劳动报酬；</w:t>
      </w:r>
    </w:p>
    <w:p>
      <w:pPr>
        <w:spacing w:line="360" w:lineRule="auto"/>
        <w:ind w:left="1275" w:leftChars="441" w:hanging="349" w:hangingChars="159"/>
        <w:rPr>
          <w:rFonts w:hint="eastAsia" w:ascii="宋体" w:hAnsi="宋体" w:eastAsia="宋体" w:cs="宋体"/>
          <w:color w:val="000000"/>
          <w:sz w:val="22"/>
          <w:szCs w:val="22"/>
        </w:rPr>
      </w:pPr>
      <w:r>
        <w:rPr>
          <w:rFonts w:hint="eastAsia" w:ascii="宋体" w:hAnsi="宋体" w:eastAsia="宋体" w:cs="宋体"/>
          <w:color w:val="000000"/>
          <w:sz w:val="22"/>
          <w:szCs w:val="22"/>
        </w:rPr>
        <w:t>2.  劳务工的录用标准和绩效奖金考核标准；</w:t>
      </w:r>
    </w:p>
    <w:p>
      <w:pPr>
        <w:spacing w:line="360" w:lineRule="auto"/>
        <w:ind w:left="1275" w:leftChars="441" w:hanging="349" w:hangingChars="159"/>
        <w:rPr>
          <w:rFonts w:hint="eastAsia" w:ascii="宋体" w:hAnsi="宋体" w:eastAsia="宋体" w:cs="宋体"/>
          <w:color w:val="000000"/>
          <w:sz w:val="22"/>
          <w:szCs w:val="22"/>
        </w:rPr>
      </w:pPr>
      <w:r>
        <w:rPr>
          <w:rFonts w:hint="eastAsia" w:ascii="宋体" w:hAnsi="宋体" w:eastAsia="宋体" w:cs="宋体"/>
          <w:color w:val="000000"/>
          <w:sz w:val="22"/>
          <w:szCs w:val="22"/>
        </w:rPr>
        <w:t>3.  甲方依法制定的规章制度；</w:t>
      </w:r>
    </w:p>
    <w:p>
      <w:pPr>
        <w:spacing w:line="360" w:lineRule="auto"/>
        <w:ind w:left="1275" w:leftChars="441" w:hanging="349" w:hangingChars="159"/>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4.  其它与劳务工工作内容相关的专业知识或岗位技能。 </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三.</w:t>
      </w:r>
      <w:r>
        <w:rPr>
          <w:rFonts w:hint="eastAsia" w:ascii="宋体" w:hAnsi="宋体" w:eastAsia="宋体" w:cs="宋体"/>
          <w:color w:val="000000"/>
          <w:sz w:val="22"/>
          <w:szCs w:val="22"/>
        </w:rPr>
        <w:tab/>
      </w:r>
      <w:r>
        <w:rPr>
          <w:rFonts w:hint="eastAsia" w:ascii="宋体" w:hAnsi="宋体" w:eastAsia="宋体" w:cs="宋体"/>
          <w:color w:val="000000"/>
          <w:sz w:val="22"/>
          <w:szCs w:val="22"/>
        </w:rPr>
        <w:t xml:space="preserve">工作时间和考勤 </w:t>
      </w:r>
    </w:p>
    <w:p>
      <w:pPr>
        <w:spacing w:line="360" w:lineRule="auto"/>
        <w:ind w:left="1105" w:leftChars="257" w:hanging="565" w:hangingChars="257"/>
        <w:rPr>
          <w:rFonts w:hint="eastAsia" w:ascii="宋体" w:hAnsi="宋体" w:eastAsia="宋体" w:cs="宋体"/>
          <w:color w:val="000000"/>
          <w:sz w:val="22"/>
          <w:szCs w:val="22"/>
        </w:rPr>
      </w:pPr>
      <w:r>
        <w:rPr>
          <w:rFonts w:hint="eastAsia" w:ascii="宋体" w:hAnsi="宋体" w:eastAsia="宋体" w:cs="宋体"/>
          <w:color w:val="000000"/>
          <w:sz w:val="22"/>
          <w:szCs w:val="22"/>
        </w:rPr>
        <w:t>(一)</w:t>
      </w:r>
      <w:r>
        <w:rPr>
          <w:rFonts w:hint="eastAsia" w:ascii="宋体" w:hAnsi="宋体" w:eastAsia="宋体" w:cs="宋体"/>
          <w:color w:val="000000"/>
          <w:sz w:val="22"/>
          <w:szCs w:val="22"/>
        </w:rPr>
        <w:tab/>
      </w:r>
      <w:r>
        <w:rPr>
          <w:rFonts w:hint="eastAsia" w:ascii="宋体" w:hAnsi="宋体" w:eastAsia="宋体" w:cs="宋体"/>
          <w:color w:val="000000"/>
          <w:sz w:val="22"/>
          <w:szCs w:val="22"/>
        </w:rPr>
        <w:t>劳务工实行不定时工时制，由</w:t>
      </w:r>
      <w:r>
        <w:rPr>
          <w:rFonts w:hint="eastAsia" w:ascii="宋体" w:hAnsi="宋体" w:eastAsia="宋体" w:cs="宋体"/>
          <w:color w:val="000000"/>
          <w:sz w:val="22"/>
          <w:szCs w:val="22"/>
          <w:lang w:val="en-US" w:eastAsia="zh-CN"/>
        </w:rPr>
        <w:t>乙方按</w:t>
      </w:r>
      <w:r>
        <w:rPr>
          <w:rFonts w:hint="eastAsia" w:ascii="宋体" w:hAnsi="宋体" w:eastAsia="宋体" w:cs="宋体"/>
          <w:color w:val="000000"/>
          <w:sz w:val="22"/>
          <w:szCs w:val="22"/>
        </w:rPr>
        <w:t>甲方</w:t>
      </w:r>
      <w:r>
        <w:rPr>
          <w:rFonts w:hint="eastAsia" w:ascii="宋体" w:hAnsi="宋体" w:eastAsia="宋体" w:cs="宋体"/>
          <w:color w:val="000000"/>
          <w:sz w:val="22"/>
          <w:szCs w:val="22"/>
          <w:lang w:val="en-US" w:eastAsia="zh-CN"/>
        </w:rPr>
        <w:t>的要求</w:t>
      </w:r>
      <w:r>
        <w:rPr>
          <w:rFonts w:hint="eastAsia" w:ascii="宋体" w:hAnsi="宋体" w:eastAsia="宋体" w:cs="宋体"/>
          <w:color w:val="000000"/>
          <w:sz w:val="22"/>
          <w:szCs w:val="22"/>
        </w:rPr>
        <w:t>负责安排作息时间和提供法定休息休假。</w:t>
      </w:r>
    </w:p>
    <w:p>
      <w:pPr>
        <w:spacing w:line="360" w:lineRule="auto"/>
        <w:ind w:left="1105" w:leftChars="257" w:hanging="565" w:hangingChars="257"/>
        <w:rPr>
          <w:rFonts w:hint="eastAsia" w:ascii="宋体" w:hAnsi="宋体" w:eastAsia="宋体" w:cs="宋体"/>
          <w:color w:val="000000"/>
          <w:sz w:val="22"/>
          <w:szCs w:val="22"/>
        </w:rPr>
      </w:pPr>
      <w:r>
        <w:rPr>
          <w:rFonts w:hint="eastAsia" w:ascii="宋体" w:hAnsi="宋体" w:eastAsia="宋体" w:cs="宋体"/>
          <w:color w:val="000000"/>
          <w:sz w:val="22"/>
          <w:szCs w:val="22"/>
        </w:rPr>
        <w:t>(二）</w:t>
      </w:r>
      <w:r>
        <w:rPr>
          <w:rFonts w:hint="eastAsia" w:ascii="宋体" w:hAnsi="宋体" w:eastAsia="宋体" w:cs="宋体"/>
          <w:color w:val="000000"/>
          <w:sz w:val="22"/>
          <w:szCs w:val="22"/>
        </w:rPr>
        <w:tab/>
      </w:r>
      <w:r>
        <w:rPr>
          <w:rFonts w:hint="eastAsia" w:ascii="宋体" w:hAnsi="宋体" w:eastAsia="宋体" w:cs="宋体"/>
          <w:color w:val="000000"/>
          <w:sz w:val="22"/>
          <w:szCs w:val="22"/>
        </w:rPr>
        <w:t>劳务工在甲方工作期间，</w:t>
      </w:r>
      <w:r>
        <w:rPr>
          <w:rFonts w:hint="eastAsia" w:ascii="宋体" w:hAnsi="宋体" w:eastAsia="宋体" w:cs="宋体"/>
          <w:color w:val="000000"/>
          <w:sz w:val="22"/>
          <w:szCs w:val="22"/>
          <w:lang w:val="en-US" w:eastAsia="zh-CN"/>
        </w:rPr>
        <w:t>乙方应按</w:t>
      </w:r>
      <w:r>
        <w:rPr>
          <w:rFonts w:hint="eastAsia" w:ascii="宋体" w:hAnsi="宋体" w:eastAsia="宋体" w:cs="宋体"/>
          <w:color w:val="000000"/>
          <w:sz w:val="22"/>
          <w:szCs w:val="22"/>
        </w:rPr>
        <w:t>甲方</w:t>
      </w:r>
      <w:r>
        <w:rPr>
          <w:rFonts w:hint="eastAsia" w:ascii="宋体" w:hAnsi="宋体" w:eastAsia="宋体" w:cs="宋体"/>
          <w:color w:val="000000"/>
          <w:sz w:val="22"/>
          <w:szCs w:val="22"/>
          <w:lang w:val="en-US" w:eastAsia="zh-CN"/>
        </w:rPr>
        <w:t>要求，</w:t>
      </w:r>
      <w:r>
        <w:rPr>
          <w:rFonts w:hint="eastAsia" w:ascii="宋体" w:hAnsi="宋体" w:eastAsia="宋体" w:cs="宋体"/>
          <w:color w:val="000000"/>
          <w:sz w:val="22"/>
          <w:szCs w:val="22"/>
        </w:rPr>
        <w:t>负责按</w:t>
      </w:r>
      <w:r>
        <w:rPr>
          <w:rFonts w:hint="eastAsia" w:ascii="宋体" w:hAnsi="宋体" w:eastAsia="宋体" w:cs="宋体"/>
          <w:color w:val="000000"/>
          <w:sz w:val="22"/>
          <w:szCs w:val="22"/>
          <w:lang w:val="en-US" w:eastAsia="zh-CN"/>
        </w:rPr>
        <w:t>相关</w:t>
      </w:r>
      <w:r>
        <w:rPr>
          <w:rFonts w:hint="eastAsia" w:ascii="宋体" w:hAnsi="宋体" w:eastAsia="宋体" w:cs="宋体"/>
          <w:color w:val="000000"/>
          <w:sz w:val="22"/>
          <w:szCs w:val="22"/>
        </w:rPr>
        <w:t>规章制度对劳务工实施考勤和劳动纪律管理并将考核结果反馈给</w:t>
      </w:r>
      <w:r>
        <w:rPr>
          <w:rFonts w:hint="eastAsia" w:ascii="宋体" w:hAnsi="宋体" w:eastAsia="宋体" w:cs="宋体"/>
          <w:color w:val="000000"/>
          <w:sz w:val="22"/>
          <w:szCs w:val="22"/>
          <w:lang w:val="en-US" w:eastAsia="zh-CN"/>
        </w:rPr>
        <w:t>甲</w:t>
      </w:r>
      <w:r>
        <w:rPr>
          <w:rFonts w:hint="eastAsia" w:ascii="宋体" w:hAnsi="宋体" w:eastAsia="宋体" w:cs="宋体"/>
          <w:color w:val="000000"/>
          <w:sz w:val="22"/>
          <w:szCs w:val="22"/>
        </w:rPr>
        <w:t>方。</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四.</w:t>
      </w:r>
      <w:r>
        <w:rPr>
          <w:rFonts w:hint="eastAsia" w:ascii="宋体" w:hAnsi="宋体" w:eastAsia="宋体" w:cs="宋体"/>
          <w:color w:val="000000"/>
          <w:sz w:val="22"/>
          <w:szCs w:val="22"/>
        </w:rPr>
        <w:tab/>
      </w:r>
      <w:r>
        <w:rPr>
          <w:rFonts w:hint="eastAsia" w:ascii="宋体" w:hAnsi="宋体" w:eastAsia="宋体" w:cs="宋体"/>
          <w:color w:val="000000"/>
          <w:sz w:val="22"/>
          <w:szCs w:val="22"/>
        </w:rPr>
        <w:t>工资待遇</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（一）每月</w:t>
      </w:r>
      <w:r>
        <w:rPr>
          <w:rFonts w:hint="eastAsia" w:ascii="宋体" w:hAnsi="宋体" w:eastAsia="宋体" w:cs="宋体"/>
          <w:color w:val="000000"/>
          <w:sz w:val="22"/>
          <w:szCs w:val="22"/>
          <w:u w:val="single"/>
        </w:rPr>
        <w:t xml:space="preserve"> 1 </w:t>
      </w:r>
      <w:r>
        <w:rPr>
          <w:rFonts w:hint="eastAsia" w:ascii="宋体" w:hAnsi="宋体" w:eastAsia="宋体" w:cs="宋体"/>
          <w:color w:val="000000"/>
          <w:sz w:val="22"/>
          <w:szCs w:val="22"/>
        </w:rPr>
        <w:t>日至当月最后一天为一个工资结算周期。</w:t>
      </w:r>
    </w:p>
    <w:p>
      <w:pPr>
        <w:pStyle w:val="17"/>
        <w:spacing w:line="360" w:lineRule="auto"/>
        <w:ind w:left="953" w:leftChars="171" w:hanging="594" w:hangingChars="270"/>
        <w:rPr>
          <w:rFonts w:hint="eastAsia" w:ascii="宋体" w:hAnsi="宋体" w:eastAsia="宋体" w:cs="宋体"/>
          <w:color w:val="000000"/>
          <w:sz w:val="22"/>
          <w:szCs w:val="22"/>
        </w:rPr>
      </w:pPr>
      <w:r>
        <w:rPr>
          <w:rFonts w:hint="eastAsia" w:ascii="宋体" w:hAnsi="宋体" w:eastAsia="宋体" w:cs="宋体"/>
          <w:color w:val="000000"/>
          <w:sz w:val="22"/>
          <w:szCs w:val="22"/>
        </w:rPr>
        <w:t>（二）劳务工工资标准不得低于甲方当地最低工资标准，并随国家政策实行正常工资调整机制。因甲方原因致使乙方员工未能正常出勤造成乙方员工当月收入低于甲方当地最低工资标准，甲方需按当地最低工资标准支付乙方</w:t>
      </w:r>
      <w:r>
        <w:rPr>
          <w:rFonts w:hint="eastAsia" w:ascii="宋体" w:hAnsi="宋体" w:eastAsia="宋体" w:cs="宋体"/>
          <w:color w:val="000000"/>
          <w:sz w:val="22"/>
          <w:szCs w:val="22"/>
          <w:lang w:val="en-US" w:eastAsia="zh-CN"/>
        </w:rPr>
        <w:t>相应的劳务外包费用</w:t>
      </w:r>
      <w:r>
        <w:rPr>
          <w:rFonts w:hint="eastAsia" w:ascii="宋体" w:hAnsi="宋体" w:eastAsia="宋体" w:cs="宋体"/>
          <w:color w:val="000000"/>
          <w:sz w:val="22"/>
          <w:szCs w:val="22"/>
        </w:rPr>
        <w:t>。</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（三）甲方负责安排作息时间和提供法定休息休假及其相应待遇。</w:t>
      </w:r>
    </w:p>
    <w:p>
      <w:pPr>
        <w:spacing w:line="360" w:lineRule="auto"/>
        <w:ind w:left="953" w:leftChars="171" w:hanging="594" w:hangingChars="270"/>
        <w:rPr>
          <w:rFonts w:hint="eastAsia" w:ascii="宋体" w:hAnsi="宋体" w:eastAsia="宋体" w:cs="宋体"/>
          <w:color w:val="000000"/>
          <w:sz w:val="22"/>
          <w:szCs w:val="22"/>
        </w:rPr>
      </w:pPr>
      <w:r>
        <w:rPr>
          <w:rFonts w:hint="eastAsia" w:ascii="宋体" w:hAnsi="宋体" w:eastAsia="宋体" w:cs="宋体"/>
          <w:color w:val="000000"/>
          <w:sz w:val="22"/>
          <w:szCs w:val="22"/>
        </w:rPr>
        <w:t>（四）劳务工医疗期的工资、待遇以及甲方停工期间的工资待遇标准按国家法律和甲方当地相关法规政策执行，由甲方支付。</w:t>
      </w:r>
    </w:p>
    <w:p>
      <w:pPr>
        <w:spacing w:line="360" w:lineRule="auto"/>
        <w:ind w:left="953" w:leftChars="171" w:hanging="594" w:hangingChars="270"/>
        <w:rPr>
          <w:rFonts w:hint="eastAsia" w:ascii="宋体" w:hAnsi="宋体" w:eastAsia="宋体" w:cs="宋体"/>
          <w:color w:val="000000"/>
          <w:sz w:val="22"/>
          <w:szCs w:val="22"/>
        </w:rPr>
      </w:pPr>
      <w:r>
        <w:rPr>
          <w:rFonts w:hint="eastAsia" w:ascii="宋体" w:hAnsi="宋体" w:eastAsia="宋体" w:cs="宋体"/>
          <w:color w:val="000000"/>
          <w:sz w:val="22"/>
          <w:szCs w:val="22"/>
        </w:rPr>
        <w:t>（六）劳务工在甲方工作期间发生工伤、死亡，伤残补助，医疗费用，误工费，经济补偿金由乙方按合作合同约定办理，</w:t>
      </w: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0万以内由乙方负责，如有乙方承担费用超过</w:t>
      </w: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0万意外的不足或补偿抚恤部分，由甲方承担。</w:t>
      </w:r>
    </w:p>
    <w:p>
      <w:pPr>
        <w:spacing w:line="360" w:lineRule="auto"/>
        <w:ind w:left="953" w:leftChars="171" w:hanging="594" w:hangingChars="270"/>
        <w:rPr>
          <w:rFonts w:hint="eastAsia" w:ascii="宋体" w:hAnsi="宋体" w:eastAsia="宋体" w:cs="宋体"/>
          <w:dstrike/>
          <w:color w:val="000000"/>
          <w:sz w:val="22"/>
          <w:szCs w:val="22"/>
        </w:rPr>
      </w:pPr>
    </w:p>
    <w:p>
      <w:pPr>
        <w:spacing w:line="360" w:lineRule="auto"/>
        <w:ind w:left="744" w:leftChars="86" w:hanging="563" w:hangingChars="255"/>
        <w:jc w:val="center"/>
        <w:rPr>
          <w:rFonts w:hint="eastAsia" w:ascii="宋体" w:hAnsi="宋体" w:eastAsia="宋体" w:cs="宋体"/>
          <w:b/>
          <w:bCs/>
          <w:color w:val="000000"/>
          <w:sz w:val="22"/>
          <w:szCs w:val="22"/>
        </w:rPr>
      </w:pPr>
      <w:r>
        <w:rPr>
          <w:rFonts w:hint="eastAsia" w:ascii="宋体" w:hAnsi="宋体" w:eastAsia="宋体" w:cs="宋体"/>
          <w:b/>
          <w:bCs/>
          <w:color w:val="000000"/>
          <w:sz w:val="22"/>
          <w:szCs w:val="22"/>
        </w:rPr>
        <w:t>第二章  甲方的权利和义务</w:t>
      </w:r>
    </w:p>
    <w:p>
      <w:pPr>
        <w:spacing w:line="360" w:lineRule="auto"/>
        <w:ind w:left="750" w:leftChars="1" w:hanging="748" w:hangingChars="340"/>
        <w:rPr>
          <w:rFonts w:hint="eastAsia" w:ascii="宋体" w:hAnsi="宋体" w:eastAsia="宋体" w:cs="宋体"/>
          <w:color w:val="000000"/>
          <w:sz w:val="22"/>
          <w:szCs w:val="22"/>
        </w:rPr>
      </w:pPr>
      <w:r>
        <w:rPr>
          <w:rFonts w:hint="eastAsia" w:ascii="宋体" w:hAnsi="宋体" w:eastAsia="宋体" w:cs="宋体"/>
          <w:color w:val="000000"/>
          <w:sz w:val="22"/>
          <w:szCs w:val="22"/>
        </w:rPr>
        <w:t>第四条 甲方权利和义务</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一.</w:t>
      </w:r>
      <w:r>
        <w:rPr>
          <w:rFonts w:hint="eastAsia" w:ascii="宋体" w:hAnsi="宋体" w:eastAsia="宋体" w:cs="宋体"/>
          <w:color w:val="000000"/>
          <w:sz w:val="22"/>
          <w:szCs w:val="22"/>
        </w:rPr>
        <w:tab/>
      </w:r>
      <w:r>
        <w:rPr>
          <w:rFonts w:hint="eastAsia" w:ascii="宋体" w:hAnsi="宋体" w:eastAsia="宋体" w:cs="宋体"/>
          <w:color w:val="000000"/>
          <w:sz w:val="22"/>
          <w:szCs w:val="22"/>
        </w:rPr>
        <w:t>甲方负责劳务工的管理工作，有权监督其工作质量，并按公司《员工须知》以及各相关管理规定对违纪劳务工进行批评教育或纪律处分，对严重违纪达到辞退条件的劳务工，甲方可根据公司规定立即终止其工作，并交由乙方进行安置处理，情节严重并造成甲方经济损失的，乙方须协助甲方追究其本人的责任，并协助甲方依法向该当事人进行追偿。</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二.</w:t>
      </w:r>
      <w:r>
        <w:rPr>
          <w:rFonts w:hint="eastAsia" w:ascii="宋体" w:hAnsi="宋体" w:eastAsia="宋体" w:cs="宋体"/>
          <w:color w:val="000000"/>
          <w:sz w:val="22"/>
          <w:szCs w:val="22"/>
        </w:rPr>
        <w:tab/>
      </w:r>
      <w:r>
        <w:rPr>
          <w:rFonts w:hint="eastAsia" w:ascii="宋体" w:hAnsi="宋体" w:eastAsia="宋体" w:cs="宋体"/>
          <w:color w:val="000000"/>
          <w:sz w:val="22"/>
          <w:szCs w:val="22"/>
        </w:rPr>
        <w:t>为乙方的员工提供符合政府颁布的劳动保护条例中规定的工作场所和保护设施，若乙方员工发生事故，甲方应在事故发生后的1个工作日内通知乙方。如为符合法律规定的工伤事故，（如在工作时间、工作地点因工作原因发生伤亡事故），甲方应及时出具盖甲方公司公章的"事故证明书"，证明所发生的伤亡事实，以及协助乙方收集相关理赔所需资料。如因甲方未能及时通知乙方或出具证明书，造成工伤事故未能及时申报的，由甲方承担乙方工伤员工因此不能申报而发生的相关费用。</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三.</w:t>
      </w:r>
      <w:r>
        <w:rPr>
          <w:rFonts w:hint="eastAsia" w:ascii="宋体" w:hAnsi="宋体" w:eastAsia="宋体" w:cs="宋体"/>
          <w:color w:val="000000"/>
          <w:sz w:val="22"/>
          <w:szCs w:val="22"/>
        </w:rPr>
        <w:tab/>
      </w:r>
      <w:r>
        <w:rPr>
          <w:rFonts w:hint="eastAsia" w:ascii="宋体" w:hAnsi="宋体" w:eastAsia="宋体" w:cs="宋体"/>
          <w:color w:val="000000"/>
          <w:sz w:val="22"/>
          <w:szCs w:val="22"/>
        </w:rPr>
        <w:t>甲、乙双方不得以任何名义向劳务工收取费用、押金或扣押劳动者的证件。</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四.</w:t>
      </w:r>
      <w:r>
        <w:rPr>
          <w:rFonts w:hint="eastAsia" w:ascii="宋体" w:hAnsi="宋体" w:eastAsia="宋体" w:cs="宋体"/>
          <w:color w:val="000000"/>
          <w:sz w:val="22"/>
          <w:szCs w:val="22"/>
        </w:rPr>
        <w:tab/>
      </w:r>
      <w:r>
        <w:rPr>
          <w:rFonts w:hint="eastAsia" w:ascii="宋体" w:hAnsi="宋体" w:eastAsia="宋体" w:cs="宋体"/>
          <w:color w:val="000000"/>
          <w:sz w:val="22"/>
          <w:szCs w:val="22"/>
        </w:rPr>
        <w:t>有下列情况之一的，甲方不得退工：</w:t>
      </w:r>
    </w:p>
    <w:p>
      <w:pPr>
        <w:spacing w:line="360" w:lineRule="auto"/>
        <w:ind w:left="1113" w:leftChars="171" w:hanging="754" w:hangingChars="343"/>
        <w:rPr>
          <w:rFonts w:hint="eastAsia" w:ascii="宋体" w:hAnsi="宋体" w:eastAsia="宋体" w:cs="宋体"/>
          <w:color w:val="000000"/>
          <w:sz w:val="22"/>
          <w:szCs w:val="22"/>
        </w:rPr>
      </w:pPr>
      <w:r>
        <w:rPr>
          <w:rFonts w:hint="eastAsia" w:ascii="宋体" w:hAnsi="宋体" w:eastAsia="宋体" w:cs="宋体"/>
          <w:color w:val="000000"/>
          <w:sz w:val="22"/>
          <w:szCs w:val="22"/>
        </w:rPr>
        <w:t>（一）</w:t>
      </w:r>
      <w:r>
        <w:rPr>
          <w:rFonts w:hint="eastAsia" w:ascii="宋体" w:hAnsi="宋体" w:eastAsia="宋体" w:cs="宋体"/>
          <w:color w:val="000000"/>
          <w:sz w:val="22"/>
          <w:szCs w:val="22"/>
        </w:rPr>
        <w:tab/>
      </w:r>
      <w:r>
        <w:rPr>
          <w:rFonts w:hint="eastAsia" w:ascii="宋体" w:hAnsi="宋体" w:eastAsia="宋体" w:cs="宋体"/>
          <w:color w:val="000000"/>
          <w:sz w:val="22"/>
          <w:szCs w:val="22"/>
        </w:rPr>
        <w:t>劳务工患病或非因工负伤，在规定的医疗期内的；</w:t>
      </w:r>
    </w:p>
    <w:p>
      <w:pPr>
        <w:spacing w:line="360" w:lineRule="auto"/>
        <w:ind w:left="1113" w:leftChars="171" w:hanging="754" w:hangingChars="343"/>
        <w:rPr>
          <w:rFonts w:hint="eastAsia" w:ascii="宋体" w:hAnsi="宋体" w:eastAsia="宋体" w:cs="宋体"/>
          <w:color w:val="000000"/>
          <w:sz w:val="22"/>
          <w:szCs w:val="22"/>
        </w:rPr>
      </w:pPr>
      <w:r>
        <w:rPr>
          <w:rFonts w:hint="eastAsia" w:ascii="宋体" w:hAnsi="宋体" w:eastAsia="宋体" w:cs="宋体"/>
          <w:color w:val="000000"/>
          <w:sz w:val="22"/>
          <w:szCs w:val="22"/>
        </w:rPr>
        <w:t>（二）</w:t>
      </w:r>
      <w:r>
        <w:rPr>
          <w:rFonts w:hint="eastAsia" w:ascii="宋体" w:hAnsi="宋体" w:eastAsia="宋体" w:cs="宋体"/>
          <w:color w:val="000000"/>
          <w:sz w:val="22"/>
          <w:szCs w:val="22"/>
        </w:rPr>
        <w:tab/>
      </w:r>
      <w:r>
        <w:rPr>
          <w:rFonts w:hint="eastAsia" w:ascii="宋体" w:hAnsi="宋体" w:eastAsia="宋体" w:cs="宋体"/>
          <w:color w:val="000000"/>
          <w:sz w:val="22"/>
          <w:szCs w:val="22"/>
        </w:rPr>
        <w:t>劳务工在孕期、产期、哺乳期内的；</w:t>
      </w:r>
    </w:p>
    <w:p>
      <w:pPr>
        <w:spacing w:line="360" w:lineRule="auto"/>
        <w:ind w:left="1113" w:leftChars="171" w:hanging="754" w:hangingChars="343"/>
        <w:rPr>
          <w:rFonts w:hint="eastAsia" w:ascii="宋体" w:hAnsi="宋体" w:eastAsia="宋体" w:cs="宋体"/>
          <w:color w:val="000000"/>
          <w:sz w:val="22"/>
          <w:szCs w:val="22"/>
        </w:rPr>
      </w:pPr>
      <w:r>
        <w:rPr>
          <w:rFonts w:hint="eastAsia" w:ascii="宋体" w:hAnsi="宋体" w:eastAsia="宋体" w:cs="宋体"/>
          <w:color w:val="000000"/>
          <w:sz w:val="22"/>
          <w:szCs w:val="22"/>
        </w:rPr>
        <w:t>（三）</w:t>
      </w:r>
      <w:r>
        <w:rPr>
          <w:rFonts w:hint="eastAsia" w:ascii="宋体" w:hAnsi="宋体" w:eastAsia="宋体" w:cs="宋体"/>
          <w:color w:val="000000"/>
          <w:sz w:val="22"/>
          <w:szCs w:val="22"/>
        </w:rPr>
        <w:tab/>
      </w:r>
      <w:r>
        <w:rPr>
          <w:rFonts w:hint="eastAsia" w:ascii="宋体" w:hAnsi="宋体" w:eastAsia="宋体" w:cs="宋体"/>
          <w:color w:val="000000"/>
          <w:sz w:val="22"/>
          <w:szCs w:val="22"/>
        </w:rPr>
        <w:t>劳务工因在甲方工作场所工作而导致患职业病或因工负伤并被确认丧失或者部分丧失劳动能力的；</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六.</w:t>
      </w:r>
      <w:r>
        <w:rPr>
          <w:rFonts w:hint="eastAsia" w:ascii="宋体" w:hAnsi="宋体" w:eastAsia="宋体" w:cs="宋体"/>
          <w:color w:val="000000"/>
          <w:sz w:val="22"/>
          <w:szCs w:val="22"/>
        </w:rPr>
        <w:tab/>
      </w:r>
      <w:r>
        <w:rPr>
          <w:rFonts w:hint="eastAsia" w:ascii="宋体" w:hAnsi="宋体" w:eastAsia="宋体" w:cs="宋体"/>
          <w:color w:val="000000"/>
          <w:sz w:val="22"/>
          <w:szCs w:val="22"/>
        </w:rPr>
        <w:t>有下列情况之一的，甲方要求退工的，应当提前7日以书面形式通知乙方。乙方应在甲方书面通知要求的期限内召回该员工，并按照国家有关法律法规妥善处理后退工:</w:t>
      </w:r>
    </w:p>
    <w:p>
      <w:pPr>
        <w:ind w:firstLine="880" w:firstLineChars="400"/>
        <w:rPr>
          <w:rFonts w:hint="eastAsia" w:ascii="宋体" w:hAnsi="宋体" w:eastAsia="宋体" w:cs="宋体"/>
          <w:color w:val="000000"/>
          <w:sz w:val="22"/>
          <w:szCs w:val="22"/>
        </w:rPr>
      </w:pPr>
      <w:r>
        <w:rPr>
          <w:rFonts w:hint="eastAsia" w:ascii="宋体" w:hAnsi="宋体" w:eastAsia="宋体" w:cs="宋体"/>
          <w:color w:val="000000"/>
          <w:sz w:val="22"/>
          <w:szCs w:val="22"/>
        </w:rPr>
        <w:t>（一）劳务工不能胜任工作，经过培训或者调整工作岗位，仍不能胜任工作的。</w:t>
      </w:r>
    </w:p>
    <w:p>
      <w:pPr>
        <w:spacing w:line="360" w:lineRule="auto"/>
        <w:ind w:left="779" w:leftChars="371" w:firstLine="66" w:firstLineChars="30"/>
        <w:rPr>
          <w:rFonts w:hint="eastAsia" w:ascii="宋体" w:hAnsi="宋体" w:eastAsia="宋体" w:cs="宋体"/>
          <w:color w:val="000000"/>
          <w:sz w:val="22"/>
          <w:szCs w:val="22"/>
        </w:rPr>
      </w:pPr>
      <w:r>
        <w:rPr>
          <w:rFonts w:hint="eastAsia" w:ascii="宋体" w:hAnsi="宋体" w:eastAsia="宋体" w:cs="宋体"/>
          <w:color w:val="000000"/>
          <w:sz w:val="22"/>
          <w:szCs w:val="22"/>
        </w:rPr>
        <w:t>（二）因劳务工表现欠佳(包括不听从合理安排、调动、违反甲方相关规定等)</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七、按协议规定向乙方支付劳务服务费。乙方外包劳务人员，凡与工作任务相关的费用，由甲方承担。体检、考证两项费用遵循甲方同类岗位职工的制度安排，同时与甲方的正式职工享有同等劳保条件。</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八、劳务工采用综合计算工时，具体上班时间安排按派驻分公司营运时间另行协商约定，确保每周有二天的休息时间，加班工资须严格按法律规定执行，综合计算工时申报可要求乙方办理。</w:t>
      </w:r>
    </w:p>
    <w:p>
      <w:pPr>
        <w:spacing w:line="360" w:lineRule="auto"/>
        <w:ind w:left="733" w:leftChars="171" w:hanging="374" w:hangingChars="170"/>
        <w:rPr>
          <w:rFonts w:hint="eastAsia" w:ascii="宋体" w:hAnsi="宋体" w:eastAsia="宋体" w:cs="宋体"/>
          <w:color w:val="000000"/>
          <w:sz w:val="22"/>
          <w:szCs w:val="22"/>
        </w:rPr>
      </w:pPr>
    </w:p>
    <w:p>
      <w:pPr>
        <w:spacing w:line="360" w:lineRule="auto"/>
        <w:ind w:left="753" w:leftChars="1" w:hanging="751" w:hangingChars="340"/>
        <w:jc w:val="center"/>
        <w:rPr>
          <w:rFonts w:hint="eastAsia" w:ascii="宋体" w:hAnsi="宋体" w:eastAsia="宋体" w:cs="宋体"/>
          <w:b/>
          <w:bCs/>
          <w:color w:val="000000"/>
          <w:sz w:val="22"/>
          <w:szCs w:val="22"/>
          <w:highlight w:val="yellow"/>
        </w:rPr>
      </w:pPr>
      <w:r>
        <w:rPr>
          <w:rFonts w:hint="eastAsia" w:ascii="宋体" w:hAnsi="宋体" w:eastAsia="宋体" w:cs="宋体"/>
          <w:b/>
          <w:bCs/>
          <w:color w:val="000000"/>
          <w:sz w:val="22"/>
          <w:szCs w:val="22"/>
        </w:rPr>
        <w:t>第三章  乙方的权利和义务</w:t>
      </w:r>
    </w:p>
    <w:p>
      <w:pPr>
        <w:spacing w:line="360" w:lineRule="auto"/>
        <w:ind w:left="750" w:leftChars="1" w:hanging="748" w:hangingChars="340"/>
        <w:rPr>
          <w:rFonts w:hint="eastAsia" w:ascii="宋体" w:hAnsi="宋体" w:eastAsia="宋体" w:cs="宋体"/>
          <w:color w:val="000000"/>
          <w:sz w:val="22"/>
          <w:szCs w:val="22"/>
        </w:rPr>
      </w:pPr>
      <w:r>
        <w:rPr>
          <w:rFonts w:hint="eastAsia" w:ascii="宋体" w:hAnsi="宋体" w:eastAsia="宋体" w:cs="宋体"/>
          <w:color w:val="000000"/>
          <w:sz w:val="22"/>
          <w:szCs w:val="22"/>
        </w:rPr>
        <w:t>第五条 乙方权利和义务</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一.</w:t>
      </w:r>
      <w:r>
        <w:rPr>
          <w:rFonts w:hint="eastAsia" w:ascii="宋体" w:hAnsi="宋体" w:eastAsia="宋体" w:cs="宋体"/>
          <w:color w:val="000000"/>
          <w:sz w:val="22"/>
          <w:szCs w:val="22"/>
        </w:rPr>
        <w:tab/>
      </w:r>
      <w:r>
        <w:rPr>
          <w:rFonts w:hint="eastAsia" w:ascii="宋体" w:hAnsi="宋体" w:eastAsia="宋体" w:cs="宋体"/>
          <w:color w:val="000000"/>
          <w:sz w:val="22"/>
          <w:szCs w:val="22"/>
        </w:rPr>
        <w:t>乙方应按照甲方岗位说明书推荐劳务工，劳务工必须符合甲方录用条件。乙方须保证劳务人员身体健康、证件齐全，核对员工无犯罪记录等。</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二.</w:t>
      </w:r>
      <w:r>
        <w:rPr>
          <w:rFonts w:hint="eastAsia" w:ascii="宋体" w:hAnsi="宋体" w:eastAsia="宋体" w:cs="宋体"/>
          <w:color w:val="000000"/>
          <w:sz w:val="22"/>
          <w:szCs w:val="22"/>
        </w:rPr>
        <w:tab/>
      </w:r>
      <w:r>
        <w:rPr>
          <w:rFonts w:hint="eastAsia" w:ascii="宋体" w:hAnsi="宋体" w:eastAsia="宋体" w:cs="宋体"/>
          <w:color w:val="000000"/>
          <w:sz w:val="22"/>
          <w:szCs w:val="22"/>
        </w:rPr>
        <w:t>劳务工的劳动人事关系归属乙方，乙方负责劳务工的计生、人事档案管理、劳动合同、薪酬福利、工伤处理、社会保险、行政后勤等管理工作：</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（一）乙方负责与劳务工建立规范的劳动合同关系。</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（二）负责建立、管理劳务工人事档案。</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三.</w:t>
      </w:r>
      <w:r>
        <w:rPr>
          <w:rFonts w:hint="eastAsia" w:ascii="宋体" w:hAnsi="宋体" w:eastAsia="宋体" w:cs="宋体"/>
          <w:color w:val="000000"/>
          <w:sz w:val="22"/>
          <w:szCs w:val="22"/>
        </w:rPr>
        <w:tab/>
      </w:r>
      <w:r>
        <w:rPr>
          <w:rFonts w:hint="eastAsia" w:ascii="宋体" w:hAnsi="宋体" w:eastAsia="宋体" w:cs="宋体"/>
          <w:color w:val="000000"/>
          <w:sz w:val="22"/>
          <w:szCs w:val="22"/>
        </w:rPr>
        <w:t>乙方有权督促甲方对工作岗位的设施、设备进行及时维修、保养，以保证该岗位工作人员的安全及工作正常运转。</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四.</w:t>
      </w:r>
      <w:r>
        <w:rPr>
          <w:rFonts w:hint="eastAsia" w:ascii="宋体" w:hAnsi="宋体" w:eastAsia="宋体" w:cs="宋体"/>
          <w:color w:val="000000"/>
          <w:sz w:val="22"/>
          <w:szCs w:val="22"/>
        </w:rPr>
        <w:tab/>
      </w:r>
      <w:r>
        <w:rPr>
          <w:rFonts w:hint="eastAsia" w:ascii="宋体" w:hAnsi="宋体" w:eastAsia="宋体" w:cs="宋体"/>
          <w:color w:val="000000"/>
          <w:sz w:val="22"/>
          <w:szCs w:val="22"/>
        </w:rPr>
        <w:t>乙方可以根据甲方业务和服务提升的需要，提出有关优化人员配置和业务流程、完善业务管理、提高服务质量、促进业务开展等方面的建议。</w:t>
      </w:r>
    </w:p>
    <w:p>
      <w:pPr>
        <w:spacing w:line="360" w:lineRule="auto"/>
        <w:ind w:left="739" w:leftChars="195" w:hanging="330" w:hangingChars="150"/>
        <w:rPr>
          <w:rFonts w:hint="eastAsia" w:ascii="宋体" w:hAnsi="宋体" w:eastAsia="宋体" w:cs="宋体"/>
          <w:color w:val="000000"/>
          <w:sz w:val="22"/>
          <w:szCs w:val="22"/>
        </w:rPr>
      </w:pPr>
      <w:r>
        <w:rPr>
          <w:rFonts w:hint="eastAsia" w:ascii="宋体" w:hAnsi="宋体" w:eastAsia="宋体" w:cs="宋体"/>
          <w:color w:val="000000"/>
          <w:sz w:val="22"/>
          <w:szCs w:val="22"/>
        </w:rPr>
        <w:t>五.劳务工离职/缺编的，乙方根据甲方的要求在规定的时间内补员。</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六、乙方不得随意克扣或拖延支付甲方已全额支付给乙方的员工工资（含福利）。</w:t>
      </w:r>
    </w:p>
    <w:p>
      <w:pPr>
        <w:spacing w:line="360" w:lineRule="auto"/>
        <w:ind w:left="734" w:leftChars="171" w:hanging="375" w:hangingChars="170"/>
        <w:jc w:val="center"/>
        <w:rPr>
          <w:rFonts w:hint="eastAsia" w:ascii="宋体" w:hAnsi="宋体" w:eastAsia="宋体" w:cs="宋体"/>
          <w:b/>
          <w:bCs/>
          <w:color w:val="000000"/>
          <w:sz w:val="22"/>
          <w:szCs w:val="22"/>
        </w:rPr>
      </w:pPr>
      <w:r>
        <w:rPr>
          <w:rFonts w:hint="eastAsia" w:ascii="宋体" w:hAnsi="宋体" w:eastAsia="宋体" w:cs="宋体"/>
          <w:b/>
          <w:bCs/>
          <w:color w:val="000000"/>
          <w:sz w:val="22"/>
          <w:szCs w:val="22"/>
        </w:rPr>
        <w:t>第四章  费用结算及支付方式</w:t>
      </w:r>
    </w:p>
    <w:p>
      <w:pPr>
        <w:spacing w:line="360" w:lineRule="auto"/>
        <w:ind w:left="750" w:leftChars="1" w:hanging="748" w:hangingChars="340"/>
        <w:rPr>
          <w:rFonts w:hint="eastAsia" w:ascii="宋体" w:hAnsi="宋体" w:eastAsia="宋体" w:cs="宋体"/>
          <w:color w:val="000000"/>
          <w:sz w:val="22"/>
          <w:szCs w:val="22"/>
        </w:rPr>
      </w:pPr>
      <w:r>
        <w:rPr>
          <w:rFonts w:hint="eastAsia" w:ascii="宋体" w:hAnsi="宋体" w:eastAsia="宋体" w:cs="宋体"/>
          <w:color w:val="000000"/>
          <w:sz w:val="22"/>
          <w:szCs w:val="22"/>
        </w:rPr>
        <w:t>第六条人力资源外包服务费标准</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一.</w:t>
      </w:r>
      <w:r>
        <w:rPr>
          <w:rFonts w:hint="eastAsia" w:ascii="宋体" w:hAnsi="宋体" w:eastAsia="宋体" w:cs="宋体"/>
          <w:color w:val="000000"/>
          <w:sz w:val="22"/>
          <w:szCs w:val="22"/>
        </w:rPr>
        <w:tab/>
      </w:r>
      <w:r>
        <w:rPr>
          <w:rFonts w:hint="eastAsia" w:ascii="宋体" w:hAnsi="宋体" w:eastAsia="宋体" w:cs="宋体"/>
          <w:color w:val="000000"/>
          <w:sz w:val="22"/>
          <w:szCs w:val="22"/>
        </w:rPr>
        <w:t>劳务外包费包括以下费用，甲方按双方确认的实际额度支付劳务外包费用：</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（一）乙方劳务工的工资；</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（二）社会保险（公司支付部分）；</w:t>
      </w:r>
    </w:p>
    <w:p>
      <w:pPr>
        <w:spacing w:line="360" w:lineRule="auto"/>
        <w:ind w:left="733" w:leftChars="171" w:hanging="374" w:hangingChars="17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（三）服务费管理：</w:t>
      </w:r>
      <w:r>
        <w:rPr>
          <w:rFonts w:hint="eastAsia" w:ascii="宋体" w:hAnsi="宋体" w:eastAsia="宋体" w:cs="宋体"/>
          <w:color w:val="000000"/>
          <w:sz w:val="22"/>
          <w:szCs w:val="22"/>
          <w:highlight w:val="none"/>
          <w:lang w:eastAsia="zh-CN"/>
        </w:rPr>
        <w:t>月度</w:t>
      </w:r>
      <w:r>
        <w:rPr>
          <w:rFonts w:hint="eastAsia" w:ascii="宋体" w:hAnsi="宋体" w:eastAsia="宋体" w:cs="宋体"/>
          <w:color w:val="000000"/>
          <w:sz w:val="22"/>
          <w:szCs w:val="22"/>
          <w:highlight w:val="none"/>
        </w:rPr>
        <w:t>服务费</w:t>
      </w:r>
      <w:r>
        <w:rPr>
          <w:rFonts w:hint="eastAsia" w:ascii="宋体" w:hAnsi="宋体" w:eastAsia="宋体" w:cs="宋体"/>
          <w:color w:val="000000"/>
          <w:sz w:val="22"/>
          <w:szCs w:val="22"/>
          <w:highlight w:val="none"/>
          <w:lang w:eastAsia="zh-CN"/>
        </w:rPr>
        <w:t>按甲乙双方书面确认的金额为准</w:t>
      </w:r>
      <w:r>
        <w:rPr>
          <w:rFonts w:hint="eastAsia" w:ascii="宋体" w:hAnsi="宋体" w:eastAsia="宋体" w:cs="宋体"/>
          <w:color w:val="000000"/>
          <w:sz w:val="22"/>
          <w:szCs w:val="22"/>
          <w:highlight w:val="none"/>
        </w:rPr>
        <w:t>；</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（四）本协议有效期内其它经双方确认的费用。</w:t>
      </w:r>
    </w:p>
    <w:p>
      <w:pPr>
        <w:spacing w:line="360" w:lineRule="auto"/>
        <w:ind w:left="733" w:leftChars="171" w:hanging="374" w:hangingChars="170"/>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五</w:t>
      </w:r>
      <w:r>
        <w:rPr>
          <w:rFonts w:hint="eastAsia" w:ascii="宋体" w:hAnsi="宋体" w:eastAsia="宋体" w:cs="宋体"/>
          <w:color w:val="000000"/>
          <w:sz w:val="22"/>
          <w:szCs w:val="22"/>
          <w:lang w:eastAsia="zh-CN"/>
        </w:rPr>
        <w:t>）甲方支付乙方劳务费用，包含乙方雇员的工资、餐费、保险、乙方管理费、服务费等所有费用。 甲方有权在支付费用前查询乙方上月工资支付和保险购买（含续费）情况，乙方必须予以配合，乙方无正当理由不予配合提供相关材料的， 甲方有权暂缓支付劳务费用。</w:t>
      </w:r>
    </w:p>
    <w:p>
      <w:pPr>
        <w:spacing w:line="360" w:lineRule="auto"/>
        <w:ind w:left="733" w:leftChars="171" w:hanging="374" w:hangingChars="170"/>
        <w:rPr>
          <w:rFonts w:hint="eastAsia" w:ascii="宋体" w:hAnsi="宋体" w:eastAsia="宋体" w:cs="宋体"/>
          <w:b/>
          <w:color w:val="000000"/>
          <w:sz w:val="22"/>
          <w:szCs w:val="22"/>
        </w:rPr>
      </w:pPr>
      <w:r>
        <w:rPr>
          <w:rFonts w:hint="eastAsia" w:ascii="宋体" w:hAnsi="宋体" w:eastAsia="宋体" w:cs="宋体"/>
          <w:color w:val="000000"/>
          <w:sz w:val="22"/>
          <w:szCs w:val="22"/>
        </w:rPr>
        <w:t>二.</w:t>
      </w:r>
      <w:r>
        <w:rPr>
          <w:rFonts w:hint="eastAsia" w:ascii="宋体" w:hAnsi="宋体" w:eastAsia="宋体" w:cs="宋体"/>
          <w:color w:val="000000"/>
          <w:sz w:val="22"/>
          <w:szCs w:val="22"/>
        </w:rPr>
        <w:tab/>
      </w:r>
      <w:r>
        <w:rPr>
          <w:rFonts w:hint="eastAsia" w:ascii="宋体" w:hAnsi="宋体" w:eastAsia="宋体" w:cs="宋体"/>
          <w:color w:val="000000"/>
          <w:sz w:val="22"/>
          <w:szCs w:val="22"/>
        </w:rPr>
        <w:t>结算及支付方式：</w:t>
      </w:r>
    </w:p>
    <w:p>
      <w:pPr>
        <w:spacing w:line="360" w:lineRule="auto"/>
        <w:ind w:left="1111" w:leftChars="170" w:hanging="754" w:hangingChars="343"/>
        <w:rPr>
          <w:rFonts w:hint="eastAsia" w:ascii="宋体" w:hAnsi="宋体" w:eastAsia="宋体" w:cs="宋体"/>
          <w:color w:val="000000"/>
          <w:sz w:val="22"/>
          <w:szCs w:val="22"/>
        </w:rPr>
      </w:pPr>
      <w:r>
        <w:rPr>
          <w:rFonts w:hint="eastAsia" w:ascii="宋体" w:hAnsi="宋体" w:eastAsia="宋体" w:cs="宋体"/>
          <w:color w:val="000000"/>
          <w:sz w:val="22"/>
          <w:szCs w:val="22"/>
        </w:rPr>
        <w:t>（一）甲方参照附件一《劳务外包服务费用明细表》标准与乙方确认上月乙方派驻甲方员工的劳务外包费用。</w:t>
      </w:r>
    </w:p>
    <w:p>
      <w:pPr>
        <w:spacing w:line="360" w:lineRule="auto"/>
        <w:ind w:left="1111" w:leftChars="170" w:hanging="754" w:hangingChars="343"/>
        <w:rPr>
          <w:rFonts w:hint="eastAsia" w:ascii="宋体" w:hAnsi="宋体" w:eastAsia="宋体" w:cs="宋体"/>
          <w:color w:val="000000"/>
          <w:sz w:val="22"/>
          <w:szCs w:val="22"/>
        </w:rPr>
      </w:pPr>
      <w:r>
        <w:rPr>
          <w:rFonts w:hint="eastAsia" w:ascii="宋体" w:hAnsi="宋体" w:eastAsia="宋体" w:cs="宋体"/>
          <w:color w:val="000000"/>
          <w:sz w:val="22"/>
          <w:szCs w:val="22"/>
        </w:rPr>
        <w:t>（二）</w:t>
      </w:r>
      <w:r>
        <w:rPr>
          <w:rFonts w:hint="eastAsia" w:ascii="宋体" w:hAnsi="宋体" w:eastAsia="宋体" w:cs="宋体"/>
          <w:color w:val="000000"/>
          <w:sz w:val="22"/>
          <w:szCs w:val="22"/>
        </w:rPr>
        <w:tab/>
      </w:r>
      <w:r>
        <w:rPr>
          <w:rFonts w:hint="eastAsia" w:ascii="宋体" w:hAnsi="宋体" w:eastAsia="宋体" w:cs="宋体"/>
          <w:color w:val="000000"/>
          <w:sz w:val="22"/>
          <w:szCs w:val="22"/>
        </w:rPr>
        <w:t>甲方于每月 10 日（遇节假日适当提前）前，向乙方提供派驻甲方的所有乙方员工上月劳务外包费用明细，双乙方确认无误后，甲方并于 每月15 日（遇节假日适当提前）向乙方支付上月劳务外包费用，（如需开票乙方向甲方提供增值税专用发票按开票额</w:t>
      </w:r>
      <w:r>
        <w:rPr>
          <w:rFonts w:hint="eastAsia" w:ascii="宋体" w:hAnsi="宋体" w:eastAsia="宋体" w:cs="宋体"/>
          <w:color w:val="000000"/>
          <w:sz w:val="22"/>
          <w:szCs w:val="22"/>
          <w:lang w:val="en-US" w:eastAsia="zh-CN"/>
        </w:rPr>
        <w:t>6</w:t>
      </w:r>
      <w:r>
        <w:rPr>
          <w:rFonts w:hint="eastAsia" w:ascii="宋体" w:hAnsi="宋体" w:eastAsia="宋体" w:cs="宋体"/>
          <w:color w:val="000000"/>
          <w:sz w:val="22"/>
          <w:szCs w:val="22"/>
        </w:rPr>
        <w:t>.72收取税点），甲方汇至乙方指定以下的银行帐号：</w:t>
      </w:r>
    </w:p>
    <w:p>
      <w:pPr>
        <w:spacing w:line="480" w:lineRule="auto"/>
        <w:ind w:firstLine="1100" w:firstLineChars="500"/>
        <w:rPr>
          <w:rFonts w:hint="eastAsia" w:ascii="宋体" w:hAnsi="宋体" w:eastAsia="宋体" w:cs="宋体"/>
          <w:sz w:val="22"/>
          <w:szCs w:val="22"/>
        </w:rPr>
      </w:pPr>
      <w:r>
        <w:rPr>
          <w:rFonts w:hint="eastAsia" w:ascii="宋体" w:hAnsi="宋体" w:eastAsia="宋体" w:cs="宋体"/>
          <w:color w:val="000000"/>
          <w:sz w:val="22"/>
          <w:szCs w:val="22"/>
        </w:rPr>
        <w:t>开户名称：</w:t>
      </w:r>
    </w:p>
    <w:p>
      <w:pPr>
        <w:spacing w:line="360" w:lineRule="auto"/>
        <w:ind w:left="567" w:leftChars="270" w:firstLine="440" w:firstLineChars="200"/>
        <w:rPr>
          <w:rFonts w:hint="eastAsia" w:ascii="宋体" w:hAnsi="宋体" w:eastAsia="宋体" w:cs="宋体"/>
          <w:color w:val="000000"/>
          <w:sz w:val="22"/>
          <w:szCs w:val="22"/>
        </w:rPr>
      </w:pPr>
    </w:p>
    <w:p>
      <w:pPr>
        <w:spacing w:line="480" w:lineRule="auto"/>
        <w:ind w:firstLine="1320" w:firstLineChars="600"/>
        <w:rPr>
          <w:rFonts w:hint="eastAsia" w:ascii="宋体" w:hAnsi="宋体" w:eastAsia="宋体" w:cs="宋体"/>
          <w:sz w:val="22"/>
          <w:szCs w:val="22"/>
        </w:rPr>
      </w:pPr>
      <w:r>
        <w:rPr>
          <w:rFonts w:hint="eastAsia" w:ascii="宋体" w:hAnsi="宋体" w:eastAsia="宋体" w:cs="宋体"/>
          <w:color w:val="000000"/>
          <w:sz w:val="22"/>
          <w:szCs w:val="22"/>
        </w:rPr>
        <w:t>开户银行：</w:t>
      </w:r>
    </w:p>
    <w:p>
      <w:pPr>
        <w:spacing w:line="360" w:lineRule="auto"/>
        <w:ind w:left="567" w:leftChars="270" w:firstLine="440" w:firstLineChars="200"/>
        <w:rPr>
          <w:rFonts w:hint="eastAsia" w:ascii="宋体" w:hAnsi="宋体" w:eastAsia="宋体" w:cs="宋体"/>
          <w:color w:val="000000"/>
          <w:sz w:val="22"/>
          <w:szCs w:val="22"/>
        </w:rPr>
      </w:pPr>
    </w:p>
    <w:p>
      <w:pPr>
        <w:spacing w:line="360" w:lineRule="auto"/>
        <w:ind w:left="567" w:leftChars="270" w:firstLine="660" w:firstLineChars="300"/>
        <w:rPr>
          <w:rFonts w:hint="eastAsia" w:ascii="宋体" w:hAnsi="宋体" w:eastAsia="宋体" w:cs="宋体"/>
          <w:color w:val="000000"/>
          <w:sz w:val="22"/>
          <w:szCs w:val="22"/>
        </w:rPr>
      </w:pPr>
      <w:r>
        <w:rPr>
          <w:rFonts w:hint="eastAsia" w:ascii="宋体" w:hAnsi="宋体" w:eastAsia="宋体" w:cs="宋体"/>
          <w:color w:val="000000"/>
          <w:sz w:val="22"/>
          <w:szCs w:val="22"/>
        </w:rPr>
        <w:t>开户账号：</w:t>
      </w:r>
    </w:p>
    <w:p>
      <w:pPr>
        <w:spacing w:line="360" w:lineRule="auto"/>
        <w:ind w:left="577" w:leftChars="170" w:hanging="220" w:hangingChars="100"/>
        <w:rPr>
          <w:rFonts w:hint="eastAsia" w:ascii="宋体" w:hAnsi="宋体" w:eastAsia="宋体" w:cs="宋体"/>
          <w:color w:val="000000"/>
          <w:sz w:val="22"/>
          <w:szCs w:val="22"/>
        </w:rPr>
      </w:pPr>
      <w:r>
        <w:rPr>
          <w:rFonts w:hint="eastAsia" w:ascii="宋体" w:hAnsi="宋体" w:eastAsia="宋体" w:cs="宋体"/>
          <w:color w:val="000000"/>
          <w:sz w:val="22"/>
          <w:szCs w:val="22"/>
        </w:rPr>
        <w:t>（三）如国家规定的社会保险福利政策和财税政策进行调整，甲乙双方应调整相关服务项目及费用标准。乙方应及时以书面形式通知甲方，以便双方及时以书面形式予以确认，此确认书作为本协议附件为本协议不可分割的一部分。</w:t>
      </w:r>
    </w:p>
    <w:p>
      <w:pPr>
        <w:spacing w:line="360" w:lineRule="auto"/>
        <w:ind w:left="734" w:leftChars="171" w:hanging="375" w:hangingChars="170"/>
        <w:jc w:val="center"/>
        <w:rPr>
          <w:rFonts w:hint="eastAsia" w:ascii="宋体" w:hAnsi="宋体" w:eastAsia="宋体" w:cs="宋体"/>
          <w:b/>
          <w:bCs/>
          <w:color w:val="000000"/>
          <w:sz w:val="22"/>
          <w:szCs w:val="22"/>
        </w:rPr>
      </w:pPr>
    </w:p>
    <w:p>
      <w:pPr>
        <w:spacing w:line="360" w:lineRule="auto"/>
        <w:ind w:left="734" w:leftChars="171" w:hanging="375" w:hangingChars="170"/>
        <w:jc w:val="center"/>
        <w:rPr>
          <w:rFonts w:hint="eastAsia" w:ascii="宋体" w:hAnsi="宋体" w:eastAsia="宋体" w:cs="宋体"/>
          <w:b/>
          <w:bCs/>
          <w:color w:val="000000"/>
          <w:sz w:val="22"/>
          <w:szCs w:val="22"/>
        </w:rPr>
      </w:pPr>
      <w:r>
        <w:rPr>
          <w:rFonts w:hint="eastAsia" w:ascii="宋体" w:hAnsi="宋体" w:eastAsia="宋体" w:cs="宋体"/>
          <w:b/>
          <w:bCs/>
          <w:color w:val="000000"/>
          <w:sz w:val="22"/>
          <w:szCs w:val="22"/>
        </w:rPr>
        <w:t>第五章  其它</w:t>
      </w:r>
    </w:p>
    <w:p>
      <w:pPr>
        <w:spacing w:line="360" w:lineRule="auto"/>
        <w:ind w:left="750" w:leftChars="1" w:hanging="748" w:hangingChars="340"/>
        <w:rPr>
          <w:rFonts w:hint="eastAsia" w:ascii="宋体" w:hAnsi="宋体" w:eastAsia="宋体" w:cs="宋体"/>
          <w:color w:val="000000"/>
          <w:sz w:val="22"/>
          <w:szCs w:val="22"/>
        </w:rPr>
      </w:pPr>
      <w:r>
        <w:rPr>
          <w:rFonts w:hint="eastAsia" w:ascii="宋体" w:hAnsi="宋体" w:eastAsia="宋体" w:cs="宋体"/>
          <w:color w:val="000000"/>
          <w:sz w:val="22"/>
          <w:szCs w:val="22"/>
        </w:rPr>
        <w:t>第七条 违约责任</w:t>
      </w:r>
    </w:p>
    <w:p>
      <w:pPr>
        <w:spacing w:line="360" w:lineRule="auto"/>
        <w:ind w:left="735" w:leftChars="171" w:hanging="376" w:hangingChars="171"/>
        <w:rPr>
          <w:rFonts w:hint="eastAsia" w:ascii="宋体" w:hAnsi="宋体" w:eastAsia="宋体" w:cs="宋体"/>
          <w:color w:val="000000"/>
          <w:sz w:val="22"/>
          <w:szCs w:val="22"/>
        </w:rPr>
      </w:pPr>
      <w:r>
        <w:rPr>
          <w:rFonts w:hint="eastAsia" w:ascii="宋体" w:hAnsi="宋体" w:eastAsia="宋体" w:cs="宋体"/>
          <w:color w:val="000000"/>
          <w:sz w:val="22"/>
          <w:szCs w:val="22"/>
        </w:rPr>
        <w:t>一</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ab/>
      </w:r>
      <w:r>
        <w:rPr>
          <w:rFonts w:hint="eastAsia" w:ascii="宋体" w:hAnsi="宋体" w:eastAsia="宋体" w:cs="宋体"/>
          <w:color w:val="000000"/>
          <w:sz w:val="22"/>
          <w:szCs w:val="22"/>
        </w:rPr>
        <w:t>乙方故意拖欠员工工资（含福利）或加班费用的，造成甲方或员工损失的，乙方应承担全部赔偿责任。</w:t>
      </w:r>
    </w:p>
    <w:p>
      <w:pPr>
        <w:spacing w:line="360" w:lineRule="auto"/>
        <w:ind w:left="735" w:leftChars="171" w:hanging="376" w:hangingChars="171"/>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二</w:t>
      </w:r>
      <w:r>
        <w:rPr>
          <w:rFonts w:hint="eastAsia" w:ascii="宋体" w:hAnsi="宋体" w:eastAsia="宋体" w:cs="宋体"/>
          <w:color w:val="000000"/>
          <w:sz w:val="22"/>
          <w:szCs w:val="22"/>
        </w:rPr>
        <w:t>．如因乙方雇员原因造成甲方</w:t>
      </w:r>
      <w:r>
        <w:rPr>
          <w:rFonts w:hint="eastAsia" w:ascii="宋体" w:hAnsi="宋体" w:eastAsia="宋体" w:cs="宋体"/>
          <w:color w:val="000000"/>
          <w:sz w:val="22"/>
          <w:szCs w:val="22"/>
          <w:lang w:val="en-US" w:eastAsia="zh-CN"/>
        </w:rPr>
        <w:t>财产</w:t>
      </w:r>
      <w:r>
        <w:rPr>
          <w:rFonts w:hint="eastAsia" w:ascii="宋体" w:hAnsi="宋体" w:eastAsia="宋体" w:cs="宋体"/>
          <w:color w:val="000000"/>
          <w:sz w:val="22"/>
          <w:szCs w:val="22"/>
        </w:rPr>
        <w:t>损坏、丢失等情形，造成的经济损失，乙方须照价赔偿， 甲方在支付乙方的劳务费用中直接扣除。</w:t>
      </w:r>
    </w:p>
    <w:p>
      <w:pPr>
        <w:spacing w:line="360" w:lineRule="auto"/>
        <w:ind w:left="735" w:leftChars="171" w:hanging="376" w:hangingChars="171"/>
        <w:rPr>
          <w:rFonts w:hint="eastAsia" w:ascii="宋体" w:hAnsi="宋体" w:eastAsia="宋体" w:cs="宋体"/>
          <w:dstrike/>
          <w:color w:val="000000"/>
          <w:sz w:val="22"/>
          <w:szCs w:val="22"/>
        </w:rPr>
      </w:pPr>
      <w:r>
        <w:rPr>
          <w:rFonts w:hint="eastAsia" w:ascii="宋体" w:hAnsi="宋体" w:eastAsia="宋体" w:cs="宋体"/>
          <w:color w:val="000000"/>
          <w:sz w:val="22"/>
          <w:szCs w:val="22"/>
          <w:lang w:val="en-US" w:eastAsia="zh-CN"/>
        </w:rPr>
        <w:t>三.</w:t>
      </w:r>
      <w:r>
        <w:rPr>
          <w:rFonts w:hint="eastAsia" w:ascii="宋体" w:hAnsi="宋体" w:eastAsia="宋体" w:cs="宋体"/>
          <w:color w:val="000000"/>
          <w:sz w:val="22"/>
          <w:szCs w:val="22"/>
        </w:rPr>
        <w:t>如果非因国家或当地政府政策产生无法履行合同条件之原因，合同期内单方面解除本合同，违约方需承担责任。</w:t>
      </w:r>
    </w:p>
    <w:p>
      <w:pPr>
        <w:spacing w:line="360" w:lineRule="auto"/>
        <w:ind w:left="750" w:leftChars="1" w:hanging="748" w:hangingChars="340"/>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  第八条 协议终止</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一.</w:t>
      </w:r>
      <w:r>
        <w:rPr>
          <w:rFonts w:hint="eastAsia" w:ascii="宋体" w:hAnsi="宋体" w:eastAsia="宋体" w:cs="宋体"/>
          <w:color w:val="000000"/>
          <w:sz w:val="22"/>
          <w:szCs w:val="22"/>
        </w:rPr>
        <w:tab/>
      </w:r>
      <w:r>
        <w:rPr>
          <w:rFonts w:hint="eastAsia" w:ascii="宋体" w:hAnsi="宋体" w:eastAsia="宋体" w:cs="宋体"/>
          <w:color w:val="000000"/>
          <w:sz w:val="22"/>
          <w:szCs w:val="22"/>
        </w:rPr>
        <w:t>本协议期满后双方不再续约，或者双方协商解除的，经双方清算并做好合同终止的交接工作后，双方权利义务消除。</w:t>
      </w:r>
    </w:p>
    <w:p>
      <w:pPr>
        <w:spacing w:line="360" w:lineRule="auto"/>
        <w:ind w:left="797" w:leftChars="170" w:hanging="440" w:hangingChars="200"/>
        <w:rPr>
          <w:rFonts w:hint="eastAsia" w:ascii="宋体" w:hAnsi="宋体" w:eastAsia="宋体" w:cs="宋体"/>
          <w:color w:val="000000"/>
          <w:sz w:val="22"/>
          <w:szCs w:val="22"/>
        </w:rPr>
      </w:pPr>
      <w:r>
        <w:rPr>
          <w:rFonts w:hint="eastAsia" w:ascii="宋体" w:hAnsi="宋体" w:eastAsia="宋体" w:cs="宋体"/>
          <w:color w:val="000000"/>
          <w:sz w:val="22"/>
          <w:szCs w:val="22"/>
        </w:rPr>
        <w:t>二．协议解除或终止后，乙方应自协议解除或终止之日起的</w:t>
      </w:r>
      <w:r>
        <w:rPr>
          <w:rFonts w:hint="eastAsia" w:ascii="宋体" w:hAnsi="宋体" w:eastAsia="宋体" w:cs="宋体"/>
          <w:color w:val="000000"/>
          <w:sz w:val="22"/>
          <w:szCs w:val="22"/>
          <w:u w:val="single"/>
        </w:rPr>
        <w:t>10</w:t>
      </w:r>
      <w:r>
        <w:rPr>
          <w:rFonts w:hint="eastAsia" w:ascii="宋体" w:hAnsi="宋体" w:eastAsia="宋体" w:cs="宋体"/>
          <w:color w:val="000000"/>
          <w:sz w:val="22"/>
          <w:szCs w:val="22"/>
        </w:rPr>
        <w:t>天内及时交还甲方的工作物品、授权书等，清理乙方物品，搬离甲方场所。</w:t>
      </w:r>
    </w:p>
    <w:p>
      <w:pPr>
        <w:spacing w:line="360" w:lineRule="auto"/>
        <w:ind w:left="750" w:leftChars="1" w:hanging="748" w:hangingChars="340"/>
        <w:rPr>
          <w:rFonts w:hint="eastAsia" w:ascii="宋体" w:hAnsi="宋体" w:eastAsia="宋体" w:cs="宋体"/>
          <w:color w:val="000000"/>
          <w:sz w:val="22"/>
          <w:szCs w:val="22"/>
        </w:rPr>
      </w:pPr>
      <w:r>
        <w:rPr>
          <w:rFonts w:hint="eastAsia" w:ascii="宋体" w:hAnsi="宋体" w:eastAsia="宋体" w:cs="宋体"/>
          <w:color w:val="000000"/>
          <w:sz w:val="22"/>
          <w:szCs w:val="22"/>
        </w:rPr>
        <w:t>第九条 附则</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一.</w:t>
      </w:r>
      <w:r>
        <w:rPr>
          <w:rFonts w:hint="eastAsia" w:ascii="宋体" w:hAnsi="宋体" w:eastAsia="宋体" w:cs="宋体"/>
          <w:color w:val="000000"/>
          <w:sz w:val="22"/>
          <w:szCs w:val="22"/>
        </w:rPr>
        <w:tab/>
      </w:r>
      <w:r>
        <w:rPr>
          <w:rFonts w:hint="eastAsia" w:ascii="宋体" w:hAnsi="宋体" w:eastAsia="宋体" w:cs="宋体"/>
          <w:color w:val="000000"/>
          <w:sz w:val="22"/>
          <w:szCs w:val="22"/>
        </w:rPr>
        <w:t>甲、乙双方有权分别依法制定劳务工的管理制度，并按照相关法律规定的程序对劳务工进行告知。本协议生效后，甲、乙双方应将前述劳务工的管理制度提交对方备案。</w:t>
      </w:r>
    </w:p>
    <w:p>
      <w:pPr>
        <w:spacing w:line="360" w:lineRule="auto"/>
        <w:ind w:left="733" w:leftChars="171" w:hanging="374" w:hangingChars="170"/>
        <w:rPr>
          <w:rFonts w:hint="eastAsia" w:ascii="宋体" w:hAnsi="宋体" w:eastAsia="宋体" w:cs="宋体"/>
          <w:dstrike/>
          <w:color w:val="000000"/>
          <w:sz w:val="22"/>
          <w:szCs w:val="22"/>
        </w:rPr>
      </w:pPr>
      <w:r>
        <w:rPr>
          <w:rFonts w:hint="eastAsia" w:ascii="宋体" w:hAnsi="宋体" w:eastAsia="宋体" w:cs="宋体"/>
          <w:color w:val="000000"/>
          <w:sz w:val="22"/>
          <w:szCs w:val="22"/>
        </w:rPr>
        <w:t>二.</w:t>
      </w:r>
      <w:r>
        <w:rPr>
          <w:rFonts w:hint="eastAsia" w:ascii="宋体" w:hAnsi="宋体" w:eastAsia="宋体" w:cs="宋体"/>
          <w:color w:val="000000"/>
          <w:sz w:val="22"/>
          <w:szCs w:val="22"/>
        </w:rPr>
        <w:tab/>
      </w:r>
      <w:r>
        <w:rPr>
          <w:rFonts w:hint="eastAsia" w:ascii="宋体" w:hAnsi="宋体" w:eastAsia="宋体" w:cs="宋体"/>
          <w:color w:val="000000"/>
          <w:sz w:val="22"/>
          <w:szCs w:val="22"/>
        </w:rPr>
        <w:t>协议期内，任何一方欲提前解除协议，应提前</w:t>
      </w:r>
      <w:r>
        <w:rPr>
          <w:rFonts w:hint="eastAsia" w:ascii="宋体" w:hAnsi="宋体" w:eastAsia="宋体" w:cs="宋体"/>
          <w:color w:val="000000"/>
          <w:sz w:val="22"/>
          <w:szCs w:val="22"/>
          <w:u w:val="single"/>
        </w:rPr>
        <w:t xml:space="preserve"> 3</w:t>
      </w:r>
      <w:r>
        <w:rPr>
          <w:rFonts w:hint="eastAsia" w:ascii="宋体" w:hAnsi="宋体" w:eastAsia="宋体" w:cs="宋体"/>
          <w:color w:val="000000"/>
          <w:sz w:val="22"/>
          <w:szCs w:val="22"/>
        </w:rPr>
        <w:t>个月书面通知对方，并取得对方同意后方可解除协议。</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三.</w:t>
      </w:r>
      <w:r>
        <w:rPr>
          <w:rFonts w:hint="eastAsia" w:ascii="宋体" w:hAnsi="宋体" w:eastAsia="宋体" w:cs="宋体"/>
          <w:color w:val="000000"/>
          <w:sz w:val="22"/>
          <w:szCs w:val="22"/>
        </w:rPr>
        <w:tab/>
      </w:r>
      <w:r>
        <w:rPr>
          <w:rFonts w:hint="eastAsia" w:ascii="宋体" w:hAnsi="宋体" w:eastAsia="宋体" w:cs="宋体"/>
          <w:color w:val="000000"/>
          <w:sz w:val="22"/>
          <w:szCs w:val="22"/>
        </w:rPr>
        <w:t>甲、乙双方中任何一方欲变更本协议，须提前</w:t>
      </w:r>
      <w:r>
        <w:rPr>
          <w:rFonts w:hint="eastAsia" w:ascii="宋体" w:hAnsi="宋体" w:eastAsia="宋体" w:cs="宋体"/>
          <w:color w:val="000000"/>
          <w:sz w:val="22"/>
          <w:szCs w:val="22"/>
          <w:u w:val="single"/>
        </w:rPr>
        <w:t>30</w:t>
      </w:r>
      <w:r>
        <w:rPr>
          <w:rFonts w:hint="eastAsia" w:ascii="宋体" w:hAnsi="宋体" w:eastAsia="宋体" w:cs="宋体"/>
          <w:color w:val="000000"/>
          <w:sz w:val="22"/>
          <w:szCs w:val="22"/>
        </w:rPr>
        <w:t>日以书面形式通知另一方，双方共同确认后可对协议相关内容进行变更。</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四.</w:t>
      </w:r>
      <w:r>
        <w:rPr>
          <w:rFonts w:hint="eastAsia" w:ascii="宋体" w:hAnsi="宋体" w:eastAsia="宋体" w:cs="宋体"/>
          <w:color w:val="000000"/>
          <w:sz w:val="22"/>
          <w:szCs w:val="22"/>
        </w:rPr>
        <w:tab/>
      </w:r>
      <w:r>
        <w:rPr>
          <w:rFonts w:hint="eastAsia" w:ascii="宋体" w:hAnsi="宋体" w:eastAsia="宋体" w:cs="宋体"/>
          <w:color w:val="000000"/>
          <w:sz w:val="22"/>
          <w:szCs w:val="22"/>
        </w:rPr>
        <w:t>一方严重违约，经对方提出后仍不改正的，守约方有权单方解除本合同，违约方应承担损害赔偿责任。</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五.</w:t>
      </w:r>
      <w:r>
        <w:rPr>
          <w:rFonts w:hint="eastAsia" w:ascii="宋体" w:hAnsi="宋体" w:eastAsia="宋体" w:cs="宋体"/>
          <w:color w:val="000000"/>
          <w:sz w:val="22"/>
          <w:szCs w:val="22"/>
        </w:rPr>
        <w:tab/>
      </w:r>
      <w:r>
        <w:rPr>
          <w:rFonts w:hint="eastAsia" w:ascii="宋体" w:hAnsi="宋体" w:eastAsia="宋体" w:cs="宋体"/>
          <w:color w:val="000000"/>
          <w:sz w:val="22"/>
          <w:szCs w:val="22"/>
        </w:rPr>
        <w:t>本协议中涉及的所有"通知"、"同意"、"确认"等事项应以直接送达或邮件等书面形式为标准确定其效力。</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六.</w:t>
      </w:r>
      <w:r>
        <w:rPr>
          <w:rFonts w:hint="eastAsia" w:ascii="宋体" w:hAnsi="宋体" w:eastAsia="宋体" w:cs="宋体"/>
          <w:color w:val="000000"/>
          <w:sz w:val="22"/>
          <w:szCs w:val="22"/>
        </w:rPr>
        <w:tab/>
      </w:r>
      <w:r>
        <w:rPr>
          <w:rFonts w:hint="eastAsia" w:ascii="宋体" w:hAnsi="宋体" w:eastAsia="宋体" w:cs="宋体"/>
          <w:color w:val="000000"/>
          <w:sz w:val="22"/>
          <w:szCs w:val="22"/>
        </w:rPr>
        <w:t>本协议书未尽事宜，双方另行协商并签署补充协议，作为本协议的附件，具有同等法律效力。</w:t>
      </w:r>
    </w:p>
    <w:p>
      <w:pPr>
        <w:spacing w:line="360" w:lineRule="auto"/>
        <w:ind w:left="733" w:leftChars="171" w:hanging="374" w:hangingChars="170"/>
        <w:rPr>
          <w:rFonts w:hint="eastAsia" w:ascii="宋体" w:hAnsi="宋体" w:eastAsia="宋体" w:cs="宋体"/>
          <w:color w:val="000000"/>
          <w:sz w:val="22"/>
          <w:szCs w:val="22"/>
        </w:rPr>
      </w:pPr>
      <w:r>
        <w:rPr>
          <w:rFonts w:hint="eastAsia" w:ascii="宋体" w:hAnsi="宋体" w:eastAsia="宋体" w:cs="宋体"/>
          <w:color w:val="000000"/>
          <w:sz w:val="22"/>
          <w:szCs w:val="22"/>
        </w:rPr>
        <w:t>七.</w:t>
      </w:r>
      <w:r>
        <w:rPr>
          <w:rFonts w:hint="eastAsia" w:ascii="宋体" w:hAnsi="宋体" w:eastAsia="宋体" w:cs="宋体"/>
          <w:color w:val="000000"/>
          <w:sz w:val="22"/>
          <w:szCs w:val="22"/>
        </w:rPr>
        <w:tab/>
      </w:r>
      <w:r>
        <w:rPr>
          <w:rFonts w:hint="eastAsia" w:ascii="宋体" w:hAnsi="宋体" w:eastAsia="宋体" w:cs="宋体"/>
          <w:color w:val="000000"/>
          <w:sz w:val="22"/>
          <w:szCs w:val="22"/>
        </w:rPr>
        <w:t>本协议一式二份，甲乙双方各执一份，经双方签字并加盖单位印章之日起生效。</w:t>
      </w:r>
    </w:p>
    <w:p>
      <w:pPr>
        <w:spacing w:line="360" w:lineRule="auto"/>
        <w:ind w:left="733" w:leftChars="171" w:hanging="374" w:hangingChars="170"/>
        <w:rPr>
          <w:rFonts w:hint="eastAsia" w:ascii="宋体" w:hAnsi="宋体" w:eastAsia="宋体" w:cs="宋体"/>
          <w:color w:val="000000"/>
          <w:sz w:val="22"/>
          <w:szCs w:val="22"/>
        </w:rPr>
      </w:pPr>
    </w:p>
    <w:p>
      <w:pPr>
        <w:spacing w:line="360" w:lineRule="auto"/>
        <w:rPr>
          <w:rFonts w:hint="eastAsia" w:ascii="宋体" w:hAnsi="宋体" w:eastAsia="宋体" w:cs="宋体"/>
          <w:color w:val="000000"/>
          <w:sz w:val="22"/>
          <w:szCs w:val="22"/>
        </w:rPr>
      </w:pPr>
    </w:p>
    <w:p>
      <w:pPr>
        <w:spacing w:line="360" w:lineRule="auto"/>
        <w:rPr>
          <w:rFonts w:hint="eastAsia" w:ascii="宋体" w:hAnsi="宋体" w:eastAsia="宋体" w:cs="宋体"/>
          <w:color w:val="000000"/>
          <w:sz w:val="22"/>
          <w:szCs w:val="22"/>
        </w:rPr>
      </w:pPr>
    </w:p>
    <w:p>
      <w:pPr>
        <w:spacing w:line="360" w:lineRule="auto"/>
        <w:rPr>
          <w:rFonts w:hint="eastAsia" w:ascii="宋体" w:hAnsi="宋体" w:eastAsia="宋体" w:cs="宋体"/>
          <w:color w:val="000000"/>
          <w:sz w:val="22"/>
          <w:szCs w:val="22"/>
        </w:rPr>
      </w:pPr>
    </w:p>
    <w:p>
      <w:pPr>
        <w:spacing w:line="360" w:lineRule="auto"/>
        <w:rPr>
          <w:rFonts w:hint="eastAsia" w:ascii="宋体" w:hAnsi="宋体" w:eastAsia="宋体" w:cs="宋体"/>
          <w:color w:val="000000"/>
          <w:sz w:val="22"/>
          <w:szCs w:val="22"/>
        </w:rPr>
      </w:pPr>
      <w:r>
        <w:rPr>
          <w:rFonts w:hint="eastAsia" w:ascii="宋体" w:hAnsi="宋体" w:eastAsia="宋体" w:cs="宋体"/>
          <w:color w:val="000000"/>
          <w:sz w:val="22"/>
          <w:szCs w:val="22"/>
        </w:rPr>
        <w:t>甲方（盖章）：</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 xml:space="preserve">                               乙方（盖章）</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 xml:space="preserve">  </w:t>
      </w:r>
    </w:p>
    <w:p>
      <w:pPr>
        <w:spacing w:line="360" w:lineRule="auto"/>
        <w:rPr>
          <w:rFonts w:hint="eastAsia" w:ascii="宋体" w:hAnsi="宋体" w:eastAsia="宋体" w:cs="宋体"/>
          <w:color w:val="000000"/>
          <w:sz w:val="22"/>
          <w:szCs w:val="22"/>
        </w:rPr>
      </w:pPr>
      <w:r>
        <w:rPr>
          <w:rFonts w:hint="eastAsia" w:ascii="宋体" w:hAnsi="宋体" w:eastAsia="宋体" w:cs="宋体"/>
          <w:color w:val="000000"/>
          <w:sz w:val="22"/>
          <w:szCs w:val="22"/>
        </w:rPr>
        <w:t>代表签字：</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 xml:space="preserve">                                 代表签字：</w:t>
      </w:r>
      <w:r>
        <w:rPr>
          <w:rFonts w:hint="eastAsia" w:ascii="宋体" w:hAnsi="宋体" w:eastAsia="宋体" w:cs="宋体"/>
          <w:color w:val="000000"/>
          <w:sz w:val="22"/>
          <w:szCs w:val="22"/>
          <w:u w:val="single"/>
        </w:rPr>
        <w:t xml:space="preserve">             </w:t>
      </w:r>
    </w:p>
    <w:p>
      <w:pPr>
        <w:spacing w:line="360" w:lineRule="auto"/>
        <w:rPr>
          <w:rFonts w:hint="eastAsia" w:ascii="宋体" w:hAnsi="宋体" w:eastAsia="宋体" w:cs="宋体"/>
          <w:color w:val="000000"/>
          <w:sz w:val="22"/>
          <w:szCs w:val="22"/>
        </w:rPr>
      </w:pPr>
      <w:r>
        <w:rPr>
          <w:rFonts w:hint="eastAsia" w:ascii="宋体" w:hAnsi="宋体" w:eastAsia="宋体" w:cs="宋体"/>
          <w:color w:val="000000"/>
          <w:sz w:val="22"/>
          <w:szCs w:val="22"/>
        </w:rPr>
        <w:t>日期：</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年</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月</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 xml:space="preserve"> 日                          日期：</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年</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月</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日</w:t>
      </w:r>
    </w:p>
    <w:p>
      <w:pPr>
        <w:rPr>
          <w:rFonts w:hint="eastAsia" w:ascii="宋体" w:hAnsi="宋体"/>
        </w:rPr>
      </w:pPr>
    </w:p>
    <w:p>
      <w:pPr>
        <w:pStyle w:val="2"/>
        <w:rPr>
          <w:rFonts w:hint="eastAsia" w:ascii="宋体" w:hAnsi="宋体"/>
        </w:rPr>
      </w:pPr>
    </w:p>
    <w:p>
      <w:pPr>
        <w:pStyle w:val="3"/>
        <w:rPr>
          <w:rFonts w:hint="eastAsia" w:ascii="宋体" w:hAnsi="宋体"/>
        </w:rPr>
      </w:pPr>
    </w:p>
    <w:p>
      <w:pPr>
        <w:rPr>
          <w:rFonts w:hint="eastAsia" w:ascii="宋体" w:hAnsi="宋体"/>
        </w:rPr>
      </w:pPr>
    </w:p>
    <w:p>
      <w:pPr>
        <w:pStyle w:val="2"/>
      </w:pPr>
    </w:p>
    <w:p>
      <w:pPr>
        <w:pStyle w:val="4"/>
        <w:tabs>
          <w:tab w:val="left" w:pos="720"/>
        </w:tabs>
        <w:spacing w:line="560" w:lineRule="exact"/>
        <w:jc w:val="center"/>
      </w:pPr>
      <w:bookmarkStart w:id="2036" w:name="_Toc27983"/>
      <w:bookmarkStart w:id="2037" w:name="_Toc27886"/>
      <w:bookmarkStart w:id="2038" w:name="_Toc6996"/>
      <w:bookmarkStart w:id="2039" w:name="_Toc31075"/>
      <w:bookmarkStart w:id="2040" w:name="_Toc14047"/>
      <w:bookmarkStart w:id="2041" w:name="_Toc20838"/>
      <w:r>
        <w:rPr>
          <w:rFonts w:hint="eastAsia" w:ascii="宋体" w:hAnsi="宋体"/>
        </w:rPr>
        <w:t>第五章  投标报价</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Start w:id="2042" w:name="_Toc8198"/>
      <w:bookmarkStart w:id="2043" w:name="_Toc13392"/>
      <w:bookmarkStart w:id="2044" w:name="_Toc18457"/>
      <w:bookmarkStart w:id="2045" w:name="_Toc19378"/>
      <w:bookmarkStart w:id="2046" w:name="_Toc5867"/>
      <w:bookmarkStart w:id="2047" w:name="_Toc19970"/>
      <w:bookmarkStart w:id="2048" w:name="_Toc11119"/>
    </w:p>
    <w:p>
      <w:pPr>
        <w:pStyle w:val="5"/>
        <w:widowControl/>
        <w:spacing w:before="20" w:after="20" w:line="560" w:lineRule="exact"/>
        <w:rPr>
          <w:rFonts w:hint="eastAsia" w:ascii="宋体" w:hAnsi="宋体" w:cs="宋体"/>
          <w:sz w:val="24"/>
        </w:rPr>
      </w:pPr>
      <w:bookmarkStart w:id="2049" w:name="_Toc26807"/>
      <w:bookmarkStart w:id="2050" w:name="_Toc29740"/>
      <w:bookmarkStart w:id="2051" w:name="_Toc15860"/>
      <w:bookmarkStart w:id="2052" w:name="_Toc19275"/>
      <w:bookmarkStart w:id="2053" w:name="_Toc5861"/>
      <w:bookmarkStart w:id="2054" w:name="_Toc19806"/>
      <w:bookmarkStart w:id="2055" w:name="_Toc24439"/>
      <w:bookmarkStart w:id="2056" w:name="_Toc9207"/>
      <w:bookmarkStart w:id="2057" w:name="_Toc21891"/>
      <w:bookmarkStart w:id="2058" w:name="_Toc6144"/>
      <w:bookmarkStart w:id="2059" w:name="_Toc17943"/>
      <w:bookmarkStart w:id="2060" w:name="_Toc16390"/>
      <w:bookmarkStart w:id="2061" w:name="_Toc32690"/>
      <w:bookmarkStart w:id="2062" w:name="_Toc15869"/>
      <w:bookmarkStart w:id="2063" w:name="_Toc26972"/>
      <w:bookmarkStart w:id="2064" w:name="_Toc15099"/>
      <w:bookmarkStart w:id="2065" w:name="_Toc22376"/>
      <w:bookmarkStart w:id="2066" w:name="_Toc6505"/>
      <w:r>
        <w:rPr>
          <w:rFonts w:hint="eastAsia" w:ascii="宋体" w:hAnsi="宋体" w:eastAsia="宋体" w:cs="宋体"/>
          <w:sz w:val="24"/>
          <w:szCs w:val="24"/>
        </w:rPr>
        <w:t>1. 投标报价表</w:t>
      </w:r>
      <w:bookmarkEnd w:id="2042"/>
      <w:bookmarkEnd w:id="2043"/>
      <w:bookmarkEnd w:id="2044"/>
      <w:bookmarkEnd w:id="2045"/>
      <w:bookmarkEnd w:id="2046"/>
      <w:bookmarkEnd w:id="2047"/>
      <w:bookmarkEnd w:id="2048"/>
      <w:bookmarkEnd w:id="2049"/>
      <w:bookmarkEnd w:id="2050"/>
      <w:bookmarkEnd w:id="2051"/>
      <w:bookmarkEnd w:id="2052"/>
      <w:r>
        <w:rPr>
          <w:rFonts w:hint="eastAsia" w:ascii="宋体" w:hAnsi="宋体" w:eastAsia="宋体" w:cs="宋体"/>
          <w:sz w:val="24"/>
          <w:szCs w:val="24"/>
        </w:rPr>
        <w:t>（标段1）</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Start w:id="2067" w:name="OLE_LINK11"/>
    </w:p>
    <w:tbl>
      <w:tblPr>
        <w:tblStyle w:val="42"/>
        <w:tblW w:w="8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941"/>
        <w:gridCol w:w="2484"/>
        <w:gridCol w:w="2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167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b/>
                <w:bCs/>
                <w:sz w:val="24"/>
              </w:rPr>
            </w:pPr>
            <w:bookmarkStart w:id="2068" w:name="OLE_LINK12" w:colFirst="2" w:colLast="3"/>
            <w:r>
              <w:rPr>
                <w:rFonts w:hint="eastAsia" w:ascii="宋体" w:hAnsi="宋体" w:cs="宋体"/>
                <w:b/>
                <w:bCs/>
                <w:sz w:val="24"/>
              </w:rPr>
              <w:t>地区</w:t>
            </w:r>
          </w:p>
        </w:tc>
        <w:tc>
          <w:tcPr>
            <w:tcW w:w="194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b/>
                <w:bCs/>
                <w:sz w:val="24"/>
              </w:rPr>
            </w:pPr>
            <w:r>
              <w:rPr>
                <w:rFonts w:hint="eastAsia" w:ascii="宋体" w:hAnsi="宋体" w:cs="宋体"/>
                <w:b/>
                <w:bCs/>
                <w:sz w:val="24"/>
              </w:rPr>
              <w:t>作业时间段</w:t>
            </w:r>
          </w:p>
        </w:tc>
        <w:tc>
          <w:tcPr>
            <w:tcW w:w="2484" w:type="dxa"/>
            <w:tcBorders>
              <w:top w:val="single" w:color="auto" w:sz="4" w:space="0"/>
              <w:left w:val="single" w:color="auto" w:sz="4" w:space="0"/>
              <w:bottom w:val="single" w:color="auto" w:sz="4" w:space="0"/>
              <w:right w:val="single" w:color="auto" w:sz="4" w:space="0"/>
            </w:tcBorders>
            <w:vAlign w:val="center"/>
          </w:tcPr>
          <w:p>
            <w:pPr>
              <w:pStyle w:val="37"/>
              <w:rPr>
                <w:rFonts w:hint="eastAsia"/>
                <w:b/>
                <w:bCs/>
                <w:kern w:val="2"/>
              </w:rPr>
            </w:pPr>
            <w:r>
              <w:rPr>
                <w:b/>
                <w:bCs/>
              </w:rPr>
              <w:t>劳务外包服务费</w:t>
            </w:r>
            <w:r>
              <w:rPr>
                <w:rFonts w:hint="eastAsia"/>
                <w:b/>
                <w:bCs/>
              </w:rPr>
              <w:t>单价（元/人/时，含税报价）</w:t>
            </w:r>
          </w:p>
        </w:tc>
        <w:tc>
          <w:tcPr>
            <w:tcW w:w="212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eastAsia="宋体" w:cs="宋体"/>
                <w:b/>
                <w:bCs/>
                <w:sz w:val="24"/>
                <w:highlight w:val="yellow"/>
                <w:lang w:val="en-US" w:eastAsia="zh-CN"/>
              </w:rPr>
            </w:pPr>
          </w:p>
          <w:p>
            <w:pPr>
              <w:widowControl/>
              <w:spacing w:line="300" w:lineRule="exact"/>
              <w:jc w:val="center"/>
              <w:rPr>
                <w:rFonts w:hint="default" w:ascii="宋体" w:hAnsi="宋体" w:eastAsia="宋体" w:cs="宋体"/>
                <w:b/>
                <w:bCs/>
                <w:sz w:val="24"/>
                <w:lang w:val="en-US" w:eastAsia="zh-CN"/>
              </w:rPr>
            </w:pPr>
            <w:r>
              <w:rPr>
                <w:rFonts w:hint="eastAsia" w:ascii="宋体" w:hAnsi="宋体" w:cs="宋体"/>
                <w:b/>
                <w:bCs/>
                <w:sz w:val="24"/>
                <w:lang w:val="en-US" w:eastAsia="zh-CN"/>
              </w:rPr>
              <w:t>增值税税率</w:t>
            </w:r>
          </w:p>
        </w:tc>
      </w:tr>
      <w:bookmarkEnd w:id="2067"/>
      <w:bookmarkEnd w:id="206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671" w:type="dxa"/>
            <w:vMerge w:val="restart"/>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eastAsia="宋体" w:cs="宋体"/>
                <w:sz w:val="24"/>
                <w:lang w:eastAsia="zh-CN"/>
              </w:rPr>
            </w:pPr>
            <w:r>
              <w:rPr>
                <w:rFonts w:hint="eastAsia" w:ascii="宋体" w:hAnsi="宋体" w:cs="宋体"/>
                <w:sz w:val="24"/>
              </w:rPr>
              <w:t>佛山、东莞（</w:t>
            </w:r>
            <w:r>
              <w:rPr>
                <w:rFonts w:ascii="宋体" w:hAnsi="宋体" w:cs="宋体"/>
                <w:sz w:val="24"/>
              </w:rPr>
              <w:t>报刊发行分发</w:t>
            </w:r>
            <w:r>
              <w:rPr>
                <w:rFonts w:hint="eastAsia" w:ascii="宋体" w:hAnsi="宋体" w:cs="宋体"/>
                <w:sz w:val="24"/>
              </w:rPr>
              <w:t>）</w:t>
            </w:r>
            <w:r>
              <w:rPr>
                <w:rFonts w:hint="eastAsia" w:ascii="宋体" w:hAnsi="宋体" w:cs="宋体"/>
                <w:sz w:val="24"/>
                <w:lang w:eastAsia="zh-CN"/>
              </w:rPr>
              <w:t>、</w:t>
            </w:r>
            <w:r>
              <w:rPr>
                <w:rFonts w:hint="eastAsia" w:ascii="宋体" w:hAnsi="宋体" w:cs="宋体"/>
                <w:sz w:val="24"/>
              </w:rPr>
              <w:t>佛山（</w:t>
            </w:r>
            <w:r>
              <w:rPr>
                <w:rFonts w:ascii="宋体" w:hAnsi="宋体" w:cs="宋体"/>
                <w:sz w:val="24"/>
              </w:rPr>
              <w:t>南方优品团购分拣</w:t>
            </w:r>
            <w:r>
              <w:rPr>
                <w:rFonts w:hint="eastAsia" w:ascii="宋体" w:hAnsi="宋体" w:cs="宋体"/>
                <w:sz w:val="24"/>
              </w:rPr>
              <w:t>）</w:t>
            </w:r>
          </w:p>
        </w:tc>
        <w:tc>
          <w:tcPr>
            <w:tcW w:w="194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sz w:val="24"/>
              </w:rPr>
            </w:pPr>
            <w:r>
              <w:rPr>
                <w:rFonts w:hint="eastAsia" w:ascii="宋体" w:hAnsi="宋体" w:cs="宋体"/>
                <w:sz w:val="24"/>
              </w:rPr>
              <w:t>白班8：00-19:00</w:t>
            </w:r>
          </w:p>
        </w:tc>
        <w:tc>
          <w:tcPr>
            <w:tcW w:w="248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sz w:val="24"/>
              </w:rPr>
            </w:pPr>
          </w:p>
        </w:tc>
        <w:tc>
          <w:tcPr>
            <w:tcW w:w="2122" w:type="dxa"/>
            <w:vMerge w:val="restart"/>
            <w:tcBorders>
              <w:top w:val="single" w:color="auto" w:sz="4" w:space="0"/>
              <w:left w:val="single" w:color="auto" w:sz="4" w:space="0"/>
              <w:right w:val="single" w:color="auto" w:sz="4" w:space="0"/>
            </w:tcBorders>
            <w:vAlign w:val="center"/>
          </w:tcPr>
          <w:p>
            <w:pPr>
              <w:widowControl/>
              <w:spacing w:line="300" w:lineRule="exact"/>
              <w:jc w:val="cente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67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sz w:val="24"/>
              </w:rPr>
            </w:pPr>
          </w:p>
        </w:tc>
        <w:tc>
          <w:tcPr>
            <w:tcW w:w="194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sz w:val="24"/>
              </w:rPr>
            </w:pPr>
            <w:r>
              <w:rPr>
                <w:rFonts w:hint="eastAsia" w:ascii="宋体" w:hAnsi="宋体" w:cs="宋体"/>
                <w:sz w:val="24"/>
              </w:rPr>
              <w:t>夜班19:00-次日凌晨8：00</w:t>
            </w:r>
          </w:p>
        </w:tc>
        <w:tc>
          <w:tcPr>
            <w:tcW w:w="248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sz w:val="24"/>
              </w:rPr>
            </w:pPr>
          </w:p>
        </w:tc>
        <w:tc>
          <w:tcPr>
            <w:tcW w:w="2122" w:type="dxa"/>
            <w:vMerge w:val="continue"/>
            <w:tcBorders>
              <w:left w:val="single" w:color="auto" w:sz="4" w:space="0"/>
              <w:right w:val="single" w:color="auto" w:sz="4" w:space="0"/>
            </w:tcBorders>
            <w:vAlign w:val="center"/>
          </w:tcPr>
          <w:p>
            <w:pPr>
              <w:widowControl/>
              <w:spacing w:line="300" w:lineRule="exact"/>
              <w:jc w:val="cente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8218" w:type="dxa"/>
            <w:gridSpan w:val="4"/>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480" w:firstLineChars="200"/>
              <w:jc w:val="left"/>
              <w:rPr>
                <w:rFonts w:hint="eastAsia" w:ascii="宋体" w:hAnsi="宋体" w:cs="宋体"/>
                <w:sz w:val="24"/>
              </w:rPr>
            </w:pPr>
            <w:bookmarkStart w:id="2069" w:name="_Toc8429"/>
            <w:bookmarkStart w:id="2070" w:name="_Toc19777"/>
            <w:bookmarkStart w:id="2071" w:name="_Toc3393"/>
            <w:bookmarkStart w:id="2072" w:name="_Toc18499"/>
            <w:bookmarkStart w:id="2073" w:name="_Toc14711"/>
            <w:bookmarkStart w:id="2074" w:name="_Toc7198"/>
            <w:bookmarkStart w:id="2075" w:name="_Toc29259"/>
            <w:r>
              <w:rPr>
                <w:rFonts w:hint="eastAsia" w:ascii="宋体" w:hAnsi="宋体" w:cs="宋体"/>
                <w:sz w:val="24"/>
              </w:rPr>
              <w:t>★备注：</w:t>
            </w:r>
          </w:p>
          <w:p>
            <w:pPr>
              <w:widowControl/>
              <w:spacing w:line="300" w:lineRule="exact"/>
              <w:ind w:firstLine="482" w:firstLineChars="200"/>
              <w:jc w:val="left"/>
              <w:rPr>
                <w:rFonts w:hint="eastAsia" w:ascii="宋体" w:hAnsi="宋体" w:cs="宋体"/>
                <w:sz w:val="24"/>
              </w:rPr>
            </w:pPr>
            <w:r>
              <w:rPr>
                <w:rFonts w:hint="eastAsia" w:ascii="宋体" w:hAnsi="宋体" w:cs="宋体"/>
                <w:b/>
                <w:bCs/>
                <w:sz w:val="24"/>
                <w:lang w:val="en-US" w:eastAsia="zh-CN"/>
              </w:rPr>
              <w:t>1</w:t>
            </w:r>
            <w:r>
              <w:rPr>
                <w:rFonts w:hint="eastAsia" w:ascii="宋体" w:hAnsi="宋体" w:cs="宋体"/>
                <w:b/>
                <w:bCs/>
                <w:sz w:val="24"/>
              </w:rPr>
              <w:t>.支付方式为按月结算</w:t>
            </w:r>
            <w:r>
              <w:rPr>
                <w:rFonts w:hint="eastAsia" w:ascii="宋体" w:hAnsi="宋体" w:cs="宋体"/>
                <w:b/>
                <w:bCs/>
                <w:sz w:val="24"/>
                <w:lang w:eastAsia="zh-CN"/>
              </w:rPr>
              <w:t>，</w:t>
            </w:r>
            <w:r>
              <w:rPr>
                <w:rFonts w:hint="eastAsia" w:ascii="宋体" w:hAnsi="宋体" w:cs="宋体"/>
                <w:b/>
                <w:bCs/>
                <w:sz w:val="24"/>
                <w:lang w:val="en-US" w:eastAsia="zh-CN"/>
              </w:rPr>
              <w:t>开具全额增值税专用发票</w:t>
            </w:r>
            <w:r>
              <w:rPr>
                <w:rFonts w:hint="eastAsia" w:ascii="宋体" w:hAnsi="宋体" w:cs="宋体"/>
                <w:sz w:val="24"/>
              </w:rPr>
              <w:t>。</w:t>
            </w:r>
          </w:p>
          <w:p>
            <w:pPr>
              <w:widowControl/>
              <w:spacing w:line="300" w:lineRule="exact"/>
              <w:ind w:firstLine="480" w:firstLineChars="200"/>
              <w:jc w:val="left"/>
              <w:rPr>
                <w:rFonts w:hint="eastAsia" w:ascii="宋体" w:hAnsi="宋体" w:cs="宋体"/>
                <w:sz w:val="24"/>
              </w:rPr>
            </w:pPr>
            <w:r>
              <w:rPr>
                <w:rFonts w:hint="default" w:ascii="宋体" w:hAnsi="宋体" w:cs="宋体"/>
                <w:sz w:val="24"/>
              </w:rPr>
              <w:t>2</w:t>
            </w:r>
            <w:r>
              <w:rPr>
                <w:rFonts w:hint="eastAsia" w:ascii="宋体" w:hAnsi="宋体" w:cs="宋体"/>
                <w:sz w:val="24"/>
              </w:rPr>
              <w:t>.劳务人员外包服务项目包括但不限于外包员工的入离职管理、合同管理、员工招聘、商业保险服务、考勤管理、假期管理、绩效管理、薪酬管理、现场管理等服务内容。</w:t>
            </w:r>
          </w:p>
          <w:p>
            <w:pPr>
              <w:widowControl/>
              <w:spacing w:line="300" w:lineRule="exact"/>
              <w:ind w:firstLine="480" w:firstLineChars="200"/>
              <w:jc w:val="left"/>
              <w:rPr>
                <w:rFonts w:hint="eastAsia" w:ascii="宋体" w:hAnsi="宋体" w:cs="宋体"/>
                <w:sz w:val="24"/>
              </w:rPr>
            </w:pPr>
            <w:r>
              <w:rPr>
                <w:rFonts w:hint="default" w:ascii="宋体" w:hAnsi="宋体" w:cs="宋体"/>
                <w:sz w:val="24"/>
              </w:rPr>
              <w:t>3</w:t>
            </w:r>
            <w:r>
              <w:rPr>
                <w:rFonts w:hint="eastAsia" w:ascii="宋体" w:hAnsi="宋体" w:cs="宋体"/>
                <w:sz w:val="24"/>
              </w:rPr>
              <w:t>.劳务费报价包含劳务人员工资、风险金等，风险金包括但不限于工伤保险、离职解除和终止所产生的补偿或赔偿费用、医疗期员工的工资；员工工伤期间工资、商业保险费用；员工发生意外事件而产生的费用及其他不可预知的雇主责任等风险。</w:t>
            </w:r>
          </w:p>
          <w:p>
            <w:pPr>
              <w:widowControl/>
              <w:spacing w:line="300" w:lineRule="exact"/>
              <w:ind w:firstLine="480" w:firstLineChars="200"/>
              <w:jc w:val="left"/>
              <w:rPr>
                <w:rFonts w:hint="eastAsia" w:ascii="宋体" w:hAnsi="宋体" w:cs="宋体"/>
                <w:sz w:val="24"/>
              </w:rPr>
            </w:pPr>
            <w:r>
              <w:rPr>
                <w:rFonts w:hint="default" w:ascii="宋体" w:hAnsi="宋体" w:cs="宋体"/>
                <w:sz w:val="24"/>
              </w:rPr>
              <w:t>4</w:t>
            </w:r>
            <w:r>
              <w:rPr>
                <w:rFonts w:hint="eastAsia" w:ascii="宋体" w:hAnsi="宋体" w:cs="宋体"/>
                <w:sz w:val="24"/>
              </w:rPr>
              <w:t>.人员外包服务费总额按照每天提供外包服务人员的实际人数以及服务的小时数折算后予以结算。</w:t>
            </w:r>
          </w:p>
        </w:tc>
      </w:tr>
    </w:tbl>
    <w:p>
      <w:pPr>
        <w:pStyle w:val="5"/>
        <w:spacing w:before="20" w:after="20" w:line="500" w:lineRule="exact"/>
        <w:ind w:firstLine="482" w:firstLineChars="200"/>
        <w:jc w:val="left"/>
        <w:rPr>
          <w:rFonts w:hint="eastAsia" w:ascii="宋体" w:hAnsi="宋体" w:eastAsia="宋体" w:cs="宋体"/>
          <w:sz w:val="24"/>
          <w:szCs w:val="24"/>
        </w:rPr>
      </w:pPr>
      <w:bookmarkStart w:id="2076" w:name="_Toc25566"/>
      <w:bookmarkStart w:id="2077" w:name="_Toc6699"/>
      <w:bookmarkStart w:id="2078" w:name="_Toc4150"/>
      <w:bookmarkStart w:id="2079" w:name="_Toc21396"/>
      <w:bookmarkStart w:id="2080" w:name="_Toc24073"/>
      <w:r>
        <w:rPr>
          <w:rFonts w:hint="eastAsia" w:ascii="宋体" w:hAnsi="宋体" w:eastAsia="宋体" w:cs="宋体"/>
          <w:sz w:val="24"/>
          <w:szCs w:val="24"/>
        </w:rPr>
        <w:t>备注:报价说明</w:t>
      </w:r>
      <w:bookmarkEnd w:id="2069"/>
      <w:bookmarkEnd w:id="2070"/>
      <w:bookmarkEnd w:id="2071"/>
      <w:bookmarkEnd w:id="2072"/>
      <w:bookmarkEnd w:id="2073"/>
      <w:bookmarkEnd w:id="2074"/>
      <w:bookmarkEnd w:id="2075"/>
      <w:bookmarkEnd w:id="2076"/>
      <w:bookmarkEnd w:id="2077"/>
      <w:bookmarkEnd w:id="2078"/>
      <w:bookmarkEnd w:id="2079"/>
      <w:bookmarkEnd w:id="2080"/>
    </w:p>
    <w:p>
      <w:pPr>
        <w:spacing w:line="500" w:lineRule="exact"/>
        <w:ind w:firstLine="482" w:firstLineChars="200"/>
        <w:jc w:val="left"/>
        <w:rPr>
          <w:rFonts w:hint="eastAsia" w:ascii="宋体" w:hAnsi="宋体" w:cs="宋体"/>
          <w:b/>
          <w:bCs/>
          <w:sz w:val="24"/>
        </w:rPr>
      </w:pPr>
      <w:r>
        <w:rPr>
          <w:rFonts w:hint="eastAsia" w:ascii="宋体" w:hAnsi="宋体" w:cs="宋体"/>
          <w:b/>
          <w:bCs/>
          <w:sz w:val="24"/>
        </w:rPr>
        <w:t>1.投标人须严格按照招标人提供的报价表填报价。报价表中的所有报价均只允许有一个报价。任何有选择的报价</w:t>
      </w:r>
      <w:r>
        <w:rPr>
          <w:rFonts w:hint="eastAsia" w:ascii="宋体" w:hAnsi="宋体" w:cs="宋体"/>
          <w:b/>
          <w:bCs/>
          <w:sz w:val="24"/>
          <w:lang w:eastAsia="zh-CN"/>
        </w:rPr>
        <w:t>、</w:t>
      </w:r>
      <w:r>
        <w:rPr>
          <w:rFonts w:hint="eastAsia" w:ascii="宋体" w:hAnsi="宋体" w:cs="宋体"/>
          <w:b/>
          <w:bCs/>
          <w:sz w:val="24"/>
          <w:lang w:val="en-US" w:eastAsia="zh-CN"/>
        </w:rPr>
        <w:t>任意修改报价表格式的投标无效</w:t>
      </w:r>
      <w:r>
        <w:rPr>
          <w:rFonts w:hint="eastAsia" w:ascii="宋体" w:hAnsi="宋体" w:cs="宋体"/>
          <w:b/>
          <w:bCs/>
          <w:sz w:val="24"/>
        </w:rPr>
        <w:t>。</w:t>
      </w:r>
    </w:p>
    <w:p>
      <w:pPr>
        <w:spacing w:line="500" w:lineRule="exact"/>
        <w:ind w:firstLine="480" w:firstLineChars="200"/>
        <w:jc w:val="left"/>
        <w:rPr>
          <w:rFonts w:hint="eastAsia" w:ascii="宋体" w:hAnsi="宋体"/>
        </w:rPr>
      </w:pPr>
      <w:r>
        <w:rPr>
          <w:rFonts w:hint="eastAsia" w:ascii="宋体" w:hAnsi="宋体" w:cs="宋体"/>
          <w:sz w:val="24"/>
        </w:rPr>
        <w:t>2.投标人的报价，应是按照投标文件规定的时间、地点，完成投标范围内的全部费用，包括但不限于完成工作的成本、利润、</w:t>
      </w:r>
      <w:r>
        <w:rPr>
          <w:rFonts w:hint="eastAsia" w:ascii="宋体" w:hAnsi="宋体" w:cs="宋体"/>
          <w:bCs/>
          <w:sz w:val="24"/>
        </w:rPr>
        <w:t>税金</w:t>
      </w:r>
      <w:r>
        <w:rPr>
          <w:rFonts w:hint="eastAsia" w:ascii="宋体" w:hAnsi="宋体" w:cs="宋体"/>
          <w:sz w:val="24"/>
        </w:rPr>
        <w:t>、运费、风险费以及政策性文件规定费用等，不得以任何理由予以重复计算。</w:t>
      </w:r>
    </w:p>
    <w:p>
      <w:pPr>
        <w:spacing w:line="500" w:lineRule="exact"/>
        <w:ind w:firstLine="4800" w:firstLineChars="2000"/>
        <w:jc w:val="left"/>
        <w:rPr>
          <w:rFonts w:hint="eastAsia" w:ascii="宋体" w:hAnsi="宋体" w:cs="宋体"/>
          <w:sz w:val="24"/>
        </w:rPr>
      </w:pPr>
      <w:r>
        <w:rPr>
          <w:rFonts w:hint="eastAsia" w:ascii="宋体" w:hAnsi="宋体" w:cs="宋体"/>
          <w:sz w:val="24"/>
        </w:rPr>
        <w:t>投标单位（盖章）：</w:t>
      </w:r>
    </w:p>
    <w:p>
      <w:pPr>
        <w:spacing w:line="500" w:lineRule="exact"/>
        <w:ind w:firstLine="3120" w:firstLineChars="1300"/>
        <w:jc w:val="left"/>
        <w:rPr>
          <w:rFonts w:hint="eastAsia" w:ascii="宋体" w:hAnsi="宋体" w:cs="宋体"/>
          <w:sz w:val="24"/>
        </w:rPr>
      </w:pPr>
      <w:r>
        <w:rPr>
          <w:rFonts w:hint="eastAsia" w:ascii="宋体" w:hAnsi="宋体" w:cs="宋体"/>
          <w:sz w:val="24"/>
        </w:rPr>
        <w:t>法定代表人或授权代表人签字确认：</w:t>
      </w:r>
    </w:p>
    <w:p>
      <w:pPr>
        <w:widowControl/>
        <w:spacing w:before="20" w:after="20" w:line="500" w:lineRule="exact"/>
        <w:ind w:firstLine="6240" w:firstLineChars="2600"/>
        <w:jc w:val="left"/>
        <w:rPr>
          <w:rFonts w:hint="eastAsia" w:ascii="宋体" w:hAnsi="宋体" w:eastAsia="宋体" w:cs="宋体"/>
          <w:sz w:val="24"/>
          <w:szCs w:val="24"/>
        </w:rPr>
      </w:pPr>
      <w:r>
        <w:rPr>
          <w:rFonts w:hint="eastAsia" w:ascii="宋体" w:hAnsi="宋体" w:cs="宋体"/>
          <w:sz w:val="24"/>
        </w:rPr>
        <w:t>日期：</w:t>
      </w:r>
      <w:bookmarkStart w:id="2081" w:name="_Toc5978"/>
    </w:p>
    <w:bookmarkEnd w:id="2081"/>
    <w:p>
      <w:pPr>
        <w:pStyle w:val="5"/>
        <w:widowControl/>
        <w:spacing w:before="20" w:after="20" w:line="560" w:lineRule="exact"/>
        <w:rPr>
          <w:rFonts w:hint="eastAsia" w:ascii="宋体" w:hAnsi="宋体" w:cs="宋体"/>
          <w:sz w:val="24"/>
        </w:rPr>
      </w:pPr>
      <w:bookmarkStart w:id="2082" w:name="_Toc14739"/>
      <w:bookmarkStart w:id="2083" w:name="_Toc12893"/>
      <w:bookmarkStart w:id="2084" w:name="_Toc7516"/>
      <w:r>
        <w:rPr>
          <w:rFonts w:hint="eastAsia" w:ascii="宋体" w:hAnsi="宋体" w:eastAsia="宋体" w:cs="宋体"/>
          <w:sz w:val="24"/>
          <w:szCs w:val="24"/>
          <w:lang w:val="en-US" w:eastAsia="zh-CN"/>
        </w:rPr>
        <w:t>2</w:t>
      </w:r>
      <w:r>
        <w:rPr>
          <w:rFonts w:hint="eastAsia" w:ascii="宋体" w:hAnsi="宋体" w:eastAsia="宋体" w:cs="宋体"/>
          <w:sz w:val="24"/>
          <w:szCs w:val="24"/>
        </w:rPr>
        <w:t>. 投标报价表（标段</w:t>
      </w:r>
      <w:r>
        <w:rPr>
          <w:rFonts w:hint="eastAsia" w:ascii="宋体" w:hAnsi="宋体" w:eastAsia="宋体" w:cs="宋体"/>
          <w:sz w:val="24"/>
          <w:szCs w:val="24"/>
          <w:lang w:val="en-US" w:eastAsia="zh-CN"/>
        </w:rPr>
        <w:t>2</w:t>
      </w:r>
      <w:r>
        <w:rPr>
          <w:rFonts w:hint="eastAsia" w:ascii="宋体" w:hAnsi="宋体" w:eastAsia="宋体" w:cs="宋体"/>
          <w:sz w:val="24"/>
          <w:szCs w:val="24"/>
        </w:rPr>
        <w:t>）</w:t>
      </w:r>
    </w:p>
    <w:tbl>
      <w:tblPr>
        <w:tblStyle w:val="41"/>
        <w:tblW w:w="8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941"/>
        <w:gridCol w:w="2484"/>
        <w:gridCol w:w="2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167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b/>
                <w:bCs/>
                <w:sz w:val="24"/>
              </w:rPr>
            </w:pPr>
            <w:r>
              <w:rPr>
                <w:rFonts w:hint="eastAsia" w:ascii="宋体" w:hAnsi="宋体" w:cs="宋体"/>
                <w:b/>
                <w:bCs/>
                <w:sz w:val="24"/>
              </w:rPr>
              <w:t>地区</w:t>
            </w:r>
          </w:p>
        </w:tc>
        <w:tc>
          <w:tcPr>
            <w:tcW w:w="194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b/>
                <w:bCs/>
                <w:sz w:val="24"/>
              </w:rPr>
            </w:pPr>
            <w:r>
              <w:rPr>
                <w:rFonts w:hint="eastAsia" w:ascii="宋体" w:hAnsi="宋体" w:cs="宋体"/>
                <w:b/>
                <w:bCs/>
                <w:sz w:val="24"/>
              </w:rPr>
              <w:t>作业时间段</w:t>
            </w:r>
          </w:p>
        </w:tc>
        <w:tc>
          <w:tcPr>
            <w:tcW w:w="2484" w:type="dxa"/>
            <w:tcBorders>
              <w:top w:val="single" w:color="auto" w:sz="4" w:space="0"/>
              <w:left w:val="single" w:color="auto" w:sz="4" w:space="0"/>
              <w:bottom w:val="single" w:color="auto" w:sz="4" w:space="0"/>
              <w:right w:val="single" w:color="auto" w:sz="4" w:space="0"/>
            </w:tcBorders>
            <w:vAlign w:val="center"/>
          </w:tcPr>
          <w:p>
            <w:pPr>
              <w:pStyle w:val="37"/>
              <w:rPr>
                <w:rFonts w:hint="eastAsia"/>
                <w:b/>
                <w:bCs/>
                <w:kern w:val="2"/>
              </w:rPr>
            </w:pPr>
            <w:r>
              <w:rPr>
                <w:b/>
                <w:bCs/>
              </w:rPr>
              <w:t>劳务外包服务费</w:t>
            </w:r>
            <w:r>
              <w:rPr>
                <w:rFonts w:hint="eastAsia"/>
                <w:b/>
                <w:bCs/>
              </w:rPr>
              <w:t>单价（元/人/时，含税报价）</w:t>
            </w:r>
          </w:p>
        </w:tc>
        <w:tc>
          <w:tcPr>
            <w:tcW w:w="212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eastAsia="宋体" w:cs="宋体"/>
                <w:b/>
                <w:bCs/>
                <w:sz w:val="24"/>
                <w:highlight w:val="yellow"/>
                <w:lang w:val="en-US" w:eastAsia="zh-CN"/>
              </w:rPr>
            </w:pPr>
          </w:p>
          <w:p>
            <w:pPr>
              <w:widowControl/>
              <w:spacing w:line="300" w:lineRule="exact"/>
              <w:jc w:val="center"/>
              <w:rPr>
                <w:rFonts w:hint="default" w:ascii="宋体" w:hAnsi="宋体" w:eastAsia="宋体" w:cs="宋体"/>
                <w:b/>
                <w:bCs/>
                <w:sz w:val="24"/>
                <w:lang w:val="en-US" w:eastAsia="zh-CN"/>
              </w:rPr>
            </w:pPr>
            <w:r>
              <w:rPr>
                <w:rFonts w:hint="eastAsia" w:ascii="宋体" w:hAnsi="宋体" w:cs="宋体"/>
                <w:b/>
                <w:bCs/>
                <w:sz w:val="24"/>
                <w:lang w:val="en-US" w:eastAsia="zh-CN"/>
              </w:rPr>
              <w:t>增值税税率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671" w:type="dxa"/>
            <w:vMerge w:val="restart"/>
            <w:tcBorders>
              <w:top w:val="single" w:color="auto" w:sz="4" w:space="0"/>
              <w:left w:val="single" w:color="auto" w:sz="4" w:space="0"/>
              <w:bottom w:val="single" w:color="auto" w:sz="4" w:space="0"/>
              <w:right w:val="single" w:color="auto" w:sz="4" w:space="0"/>
            </w:tcBorders>
            <w:vAlign w:val="center"/>
          </w:tcPr>
          <w:p>
            <w:pPr>
              <w:pStyle w:val="2"/>
              <w:rPr>
                <w:rFonts w:hint="eastAsia"/>
              </w:rPr>
            </w:pPr>
            <w:r>
              <w:rPr>
                <w:rFonts w:hint="eastAsia" w:ascii="宋体" w:hAnsi="宋体" w:cs="宋体"/>
                <w:sz w:val="24"/>
              </w:rPr>
              <w:t>深圳</w:t>
            </w:r>
            <w:r>
              <w:rPr>
                <w:rFonts w:ascii="宋体" w:hAnsi="宋体" w:cs="宋体"/>
                <w:sz w:val="24"/>
              </w:rPr>
              <w:t>南方优品团购分拣</w:t>
            </w:r>
            <w:r>
              <w:rPr>
                <w:rFonts w:hint="eastAsia" w:ascii="宋体" w:hAnsi="宋体" w:cs="宋体"/>
                <w:sz w:val="24"/>
              </w:rPr>
              <w:t>（光明区、龙岗区）</w:t>
            </w:r>
          </w:p>
          <w:p>
            <w:pPr>
              <w:widowControl/>
              <w:spacing w:line="300" w:lineRule="exact"/>
              <w:jc w:val="center"/>
              <w:rPr>
                <w:rFonts w:hint="eastAsia" w:ascii="宋体" w:hAnsi="宋体" w:eastAsia="宋体" w:cs="宋体"/>
                <w:sz w:val="24"/>
                <w:lang w:eastAsia="zh-CN"/>
              </w:rPr>
            </w:pPr>
          </w:p>
        </w:tc>
        <w:tc>
          <w:tcPr>
            <w:tcW w:w="194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sz w:val="24"/>
              </w:rPr>
            </w:pPr>
            <w:r>
              <w:rPr>
                <w:rFonts w:hint="eastAsia" w:ascii="宋体" w:hAnsi="宋体" w:cs="宋体"/>
                <w:sz w:val="24"/>
              </w:rPr>
              <w:t>白班8：00-19:00</w:t>
            </w:r>
          </w:p>
        </w:tc>
        <w:tc>
          <w:tcPr>
            <w:tcW w:w="248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sz w:val="24"/>
              </w:rPr>
            </w:pPr>
          </w:p>
        </w:tc>
        <w:tc>
          <w:tcPr>
            <w:tcW w:w="2122" w:type="dxa"/>
            <w:vMerge w:val="restart"/>
            <w:tcBorders>
              <w:top w:val="single" w:color="auto" w:sz="4" w:space="0"/>
              <w:left w:val="single" w:color="auto" w:sz="4" w:space="0"/>
              <w:right w:val="single" w:color="auto" w:sz="4" w:space="0"/>
            </w:tcBorders>
            <w:vAlign w:val="center"/>
          </w:tcPr>
          <w:p>
            <w:pPr>
              <w:widowControl/>
              <w:spacing w:line="300" w:lineRule="exact"/>
              <w:jc w:val="cente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67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sz w:val="24"/>
              </w:rPr>
            </w:pPr>
          </w:p>
        </w:tc>
        <w:tc>
          <w:tcPr>
            <w:tcW w:w="194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sz w:val="24"/>
              </w:rPr>
            </w:pPr>
            <w:r>
              <w:rPr>
                <w:rFonts w:hint="eastAsia" w:ascii="宋体" w:hAnsi="宋体" w:cs="宋体"/>
                <w:sz w:val="24"/>
              </w:rPr>
              <w:t>夜班19:00-次日凌晨8：00</w:t>
            </w:r>
          </w:p>
        </w:tc>
        <w:tc>
          <w:tcPr>
            <w:tcW w:w="248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sz w:val="24"/>
              </w:rPr>
            </w:pPr>
          </w:p>
        </w:tc>
        <w:tc>
          <w:tcPr>
            <w:tcW w:w="2122" w:type="dxa"/>
            <w:vMerge w:val="continue"/>
            <w:tcBorders>
              <w:left w:val="single" w:color="auto" w:sz="4" w:space="0"/>
              <w:right w:val="single" w:color="auto" w:sz="4" w:space="0"/>
            </w:tcBorders>
            <w:vAlign w:val="center"/>
          </w:tcPr>
          <w:p>
            <w:pPr>
              <w:widowControl/>
              <w:spacing w:line="300" w:lineRule="exact"/>
              <w:jc w:val="cente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8218" w:type="dxa"/>
            <w:gridSpan w:val="4"/>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480" w:firstLineChars="200"/>
              <w:jc w:val="left"/>
              <w:rPr>
                <w:rFonts w:hint="eastAsia" w:ascii="宋体" w:hAnsi="宋体" w:cs="宋体"/>
                <w:sz w:val="24"/>
              </w:rPr>
            </w:pPr>
            <w:r>
              <w:rPr>
                <w:rFonts w:hint="eastAsia" w:ascii="宋体" w:hAnsi="宋体" w:cs="宋体"/>
                <w:sz w:val="24"/>
              </w:rPr>
              <w:t>★备注：</w:t>
            </w:r>
          </w:p>
          <w:p>
            <w:pPr>
              <w:widowControl/>
              <w:spacing w:line="300" w:lineRule="exact"/>
              <w:ind w:firstLine="482" w:firstLineChars="200"/>
              <w:jc w:val="left"/>
              <w:rPr>
                <w:rFonts w:hint="eastAsia" w:ascii="宋体" w:hAnsi="宋体" w:cs="宋体"/>
                <w:sz w:val="24"/>
              </w:rPr>
            </w:pPr>
            <w:r>
              <w:rPr>
                <w:rFonts w:hint="eastAsia" w:ascii="宋体" w:hAnsi="宋体" w:cs="宋体"/>
                <w:b/>
                <w:bCs/>
                <w:sz w:val="24"/>
                <w:lang w:val="en-US" w:eastAsia="zh-CN"/>
              </w:rPr>
              <w:t>1</w:t>
            </w:r>
            <w:r>
              <w:rPr>
                <w:rFonts w:hint="eastAsia" w:ascii="宋体" w:hAnsi="宋体" w:cs="宋体"/>
                <w:b/>
                <w:bCs/>
                <w:sz w:val="24"/>
              </w:rPr>
              <w:t>.支付方式为按月结算</w:t>
            </w:r>
            <w:r>
              <w:rPr>
                <w:rFonts w:hint="eastAsia" w:ascii="宋体" w:hAnsi="宋体" w:cs="宋体"/>
                <w:b/>
                <w:bCs/>
                <w:sz w:val="24"/>
                <w:lang w:eastAsia="zh-CN"/>
              </w:rPr>
              <w:t>，</w:t>
            </w:r>
            <w:r>
              <w:rPr>
                <w:rFonts w:hint="eastAsia" w:ascii="宋体" w:hAnsi="宋体" w:cs="宋体"/>
                <w:b/>
                <w:bCs/>
                <w:sz w:val="24"/>
                <w:lang w:val="en-US" w:eastAsia="zh-CN"/>
              </w:rPr>
              <w:t>开具全额增值税专用发票</w:t>
            </w:r>
            <w:r>
              <w:rPr>
                <w:rFonts w:hint="eastAsia" w:ascii="宋体" w:hAnsi="宋体" w:cs="宋体"/>
                <w:sz w:val="24"/>
              </w:rPr>
              <w:t>。</w:t>
            </w:r>
          </w:p>
          <w:p>
            <w:pPr>
              <w:widowControl/>
              <w:spacing w:line="300" w:lineRule="exact"/>
              <w:ind w:firstLine="480" w:firstLineChars="200"/>
              <w:jc w:val="left"/>
              <w:rPr>
                <w:rFonts w:hint="eastAsia" w:ascii="宋体" w:hAnsi="宋体" w:cs="宋体"/>
                <w:sz w:val="24"/>
              </w:rPr>
            </w:pPr>
            <w:r>
              <w:rPr>
                <w:rFonts w:hint="default" w:ascii="宋体" w:hAnsi="宋体" w:cs="宋体"/>
                <w:sz w:val="24"/>
              </w:rPr>
              <w:t>2</w:t>
            </w:r>
            <w:r>
              <w:rPr>
                <w:rFonts w:hint="eastAsia" w:ascii="宋体" w:hAnsi="宋体" w:cs="宋体"/>
                <w:sz w:val="24"/>
              </w:rPr>
              <w:t>.劳务人员外包服务项目包括但不限于外包员工的入离职管理、合同管理、员工招聘、商业保险服务、考勤管理、假期管理、绩效管理、薪酬管理、现场管理等服务内容。</w:t>
            </w:r>
          </w:p>
          <w:p>
            <w:pPr>
              <w:widowControl/>
              <w:spacing w:line="300" w:lineRule="exact"/>
              <w:ind w:firstLine="480" w:firstLineChars="200"/>
              <w:jc w:val="left"/>
              <w:rPr>
                <w:rFonts w:hint="eastAsia" w:ascii="宋体" w:hAnsi="宋体" w:cs="宋体"/>
                <w:sz w:val="24"/>
              </w:rPr>
            </w:pPr>
            <w:r>
              <w:rPr>
                <w:rFonts w:hint="default" w:ascii="宋体" w:hAnsi="宋体" w:cs="宋体"/>
                <w:sz w:val="24"/>
              </w:rPr>
              <w:t>3</w:t>
            </w:r>
            <w:r>
              <w:rPr>
                <w:rFonts w:hint="eastAsia" w:ascii="宋体" w:hAnsi="宋体" w:cs="宋体"/>
                <w:sz w:val="24"/>
              </w:rPr>
              <w:t>.劳务费报价包含劳务人员工资、风险金等，风险金包括但不限于工伤保险、离职解除和终止所产生的补偿或赔偿费用、医疗期员工的工资；员工工伤期间工资、商业保险费用；员工发生意外事件而产生的费用及其他不可预知的雇主责任等风险。</w:t>
            </w:r>
          </w:p>
          <w:p>
            <w:r>
              <w:rPr>
                <w:rFonts w:hint="default" w:ascii="宋体" w:hAnsi="宋体" w:cs="宋体"/>
                <w:sz w:val="24"/>
              </w:rPr>
              <w:t xml:space="preserve">    4</w:t>
            </w:r>
            <w:r>
              <w:rPr>
                <w:rFonts w:hint="eastAsia" w:ascii="宋体" w:hAnsi="宋体" w:cs="宋体"/>
                <w:sz w:val="24"/>
              </w:rPr>
              <w:t>.人员外包服务费总额按照每天提供外包服务人员的实际人数以及服务的小时数折算后予以结算。</w:t>
            </w:r>
          </w:p>
          <w:p>
            <w:pPr>
              <w:widowControl/>
              <w:spacing w:line="300" w:lineRule="exact"/>
              <w:ind w:firstLine="480" w:firstLineChars="200"/>
              <w:jc w:val="left"/>
              <w:rPr>
                <w:rFonts w:hint="eastAsia" w:ascii="宋体" w:hAnsi="宋体" w:cs="宋体"/>
                <w:sz w:val="24"/>
              </w:rPr>
            </w:pPr>
          </w:p>
        </w:tc>
      </w:tr>
    </w:tbl>
    <w:p>
      <w:pPr>
        <w:pStyle w:val="5"/>
        <w:spacing w:before="20" w:after="20" w:line="500" w:lineRule="exact"/>
        <w:ind w:firstLine="482" w:firstLineChars="200"/>
        <w:jc w:val="left"/>
        <w:rPr>
          <w:rFonts w:hint="eastAsia" w:ascii="宋体" w:hAnsi="宋体" w:eastAsia="宋体" w:cs="宋体"/>
          <w:sz w:val="24"/>
          <w:szCs w:val="24"/>
          <w:lang w:eastAsia="zh-CN"/>
        </w:rPr>
      </w:pPr>
      <w:r>
        <w:rPr>
          <w:rFonts w:hint="eastAsia" w:ascii="宋体" w:hAnsi="宋体" w:eastAsia="宋体" w:cs="宋体"/>
          <w:sz w:val="24"/>
          <w:szCs w:val="24"/>
        </w:rPr>
        <w:t>报价说明</w:t>
      </w:r>
      <w:r>
        <w:rPr>
          <w:rFonts w:hint="eastAsia" w:ascii="宋体" w:hAnsi="宋体" w:eastAsia="宋体" w:cs="宋体"/>
          <w:sz w:val="24"/>
          <w:szCs w:val="24"/>
          <w:lang w:eastAsia="zh-CN"/>
        </w:rPr>
        <w:t>：</w:t>
      </w:r>
    </w:p>
    <w:p>
      <w:pPr>
        <w:spacing w:line="500" w:lineRule="exact"/>
        <w:ind w:firstLine="482" w:firstLineChars="200"/>
        <w:jc w:val="left"/>
        <w:rPr>
          <w:rFonts w:hint="eastAsia" w:ascii="宋体" w:hAnsi="宋体" w:cs="宋体"/>
          <w:sz w:val="24"/>
        </w:rPr>
      </w:pPr>
      <w:r>
        <w:rPr>
          <w:rFonts w:hint="eastAsia" w:ascii="宋体" w:hAnsi="宋体" w:cs="宋体"/>
          <w:b/>
          <w:bCs/>
          <w:sz w:val="24"/>
        </w:rPr>
        <w:t>1.投标人须严格按照招标人提供的报价表填报价。报价表中的所有报价均只允许有一个报价。任何有选择的报价</w:t>
      </w:r>
      <w:r>
        <w:rPr>
          <w:rFonts w:hint="eastAsia" w:ascii="宋体" w:hAnsi="宋体" w:cs="宋体"/>
          <w:b/>
          <w:bCs/>
          <w:sz w:val="24"/>
          <w:lang w:eastAsia="zh-CN"/>
        </w:rPr>
        <w:t>、</w:t>
      </w:r>
      <w:r>
        <w:rPr>
          <w:rFonts w:hint="eastAsia" w:ascii="宋体" w:hAnsi="宋体" w:cs="宋体"/>
          <w:b/>
          <w:bCs/>
          <w:sz w:val="24"/>
          <w:lang w:val="en-US" w:eastAsia="zh-CN"/>
        </w:rPr>
        <w:t>任意修改报价表格式的投标无效</w:t>
      </w:r>
      <w:r>
        <w:rPr>
          <w:rFonts w:hint="eastAsia" w:ascii="宋体" w:hAnsi="宋体" w:cs="宋体"/>
          <w:b/>
          <w:bCs/>
          <w:sz w:val="24"/>
        </w:rPr>
        <w:t>。</w:t>
      </w:r>
    </w:p>
    <w:p>
      <w:pPr>
        <w:spacing w:line="500" w:lineRule="exact"/>
        <w:ind w:firstLine="480" w:firstLineChars="200"/>
        <w:jc w:val="left"/>
        <w:rPr>
          <w:rFonts w:hint="eastAsia" w:ascii="宋体" w:hAnsi="宋体"/>
        </w:rPr>
      </w:pPr>
      <w:r>
        <w:rPr>
          <w:rFonts w:hint="eastAsia" w:ascii="宋体" w:hAnsi="宋体" w:cs="宋体"/>
          <w:sz w:val="24"/>
        </w:rPr>
        <w:t>2.投标人的报价，应是按照投标文件规定的时间、地点，完成投标范围内的全部费用，包括但不限于完成工作的成本、利润、</w:t>
      </w:r>
      <w:r>
        <w:rPr>
          <w:rFonts w:hint="eastAsia" w:ascii="宋体" w:hAnsi="宋体" w:cs="宋体"/>
          <w:bCs/>
          <w:sz w:val="24"/>
        </w:rPr>
        <w:t>税金</w:t>
      </w:r>
      <w:r>
        <w:rPr>
          <w:rFonts w:hint="eastAsia" w:ascii="宋体" w:hAnsi="宋体" w:cs="宋体"/>
          <w:sz w:val="24"/>
        </w:rPr>
        <w:t>、运费、风险费以及政策性文件规定费用等，不得以任何理由予以重复计算。</w:t>
      </w:r>
    </w:p>
    <w:p>
      <w:pPr>
        <w:spacing w:line="500" w:lineRule="exact"/>
        <w:ind w:firstLine="4800" w:firstLineChars="2000"/>
        <w:jc w:val="left"/>
        <w:rPr>
          <w:rFonts w:hint="eastAsia" w:ascii="宋体" w:hAnsi="宋体" w:cs="宋体"/>
          <w:sz w:val="24"/>
        </w:rPr>
      </w:pPr>
      <w:r>
        <w:rPr>
          <w:rFonts w:hint="eastAsia" w:ascii="宋体" w:hAnsi="宋体" w:cs="宋体"/>
          <w:sz w:val="24"/>
        </w:rPr>
        <w:t>投标单位（盖章）：</w:t>
      </w:r>
    </w:p>
    <w:p>
      <w:pPr>
        <w:spacing w:line="500" w:lineRule="exact"/>
        <w:ind w:firstLine="3120" w:firstLineChars="1300"/>
        <w:jc w:val="left"/>
        <w:rPr>
          <w:rFonts w:hint="eastAsia" w:ascii="宋体" w:hAnsi="宋体" w:cs="宋体"/>
          <w:sz w:val="24"/>
        </w:rPr>
      </w:pPr>
      <w:r>
        <w:rPr>
          <w:rFonts w:hint="eastAsia" w:ascii="宋体" w:hAnsi="宋体" w:cs="宋体"/>
          <w:sz w:val="24"/>
        </w:rPr>
        <w:t>法定代表人或授权代表人签字确认：</w:t>
      </w:r>
    </w:p>
    <w:p>
      <w:pPr>
        <w:ind w:firstLine="5040" w:firstLineChars="2100"/>
      </w:pPr>
      <w:r>
        <w:rPr>
          <w:rFonts w:hint="eastAsia" w:ascii="宋体" w:hAnsi="宋体" w:cs="宋体"/>
          <w:sz w:val="24"/>
        </w:rPr>
        <w:t>日期：</w:t>
      </w:r>
    </w:p>
    <w:p>
      <w:pPr>
        <w:pStyle w:val="2"/>
        <w:rPr>
          <w:rFonts w:hint="eastAsia" w:ascii="宋体" w:hAnsi="宋体" w:cs="宋体"/>
          <w:sz w:val="24"/>
        </w:rPr>
      </w:pPr>
    </w:p>
    <w:p>
      <w:pPr>
        <w:pStyle w:val="2"/>
        <w:rPr>
          <w:rFonts w:hint="eastAsia" w:ascii="宋体" w:hAnsi="宋体" w:cs="宋体"/>
          <w:sz w:val="24"/>
        </w:rPr>
      </w:pPr>
    </w:p>
    <w:p>
      <w:pPr>
        <w:pStyle w:val="2"/>
        <w:rPr>
          <w:rFonts w:hint="eastAsia" w:ascii="宋体" w:hAnsi="宋体" w:cs="宋体"/>
          <w:sz w:val="24"/>
        </w:rPr>
      </w:pPr>
    </w:p>
    <w:p>
      <w:pPr>
        <w:pStyle w:val="2"/>
        <w:rPr>
          <w:rFonts w:hint="eastAsia" w:ascii="宋体" w:hAnsi="宋体" w:cs="宋体"/>
          <w:sz w:val="24"/>
        </w:rPr>
      </w:pPr>
    </w:p>
    <w:p>
      <w:pPr>
        <w:pStyle w:val="2"/>
        <w:rPr>
          <w:rFonts w:hint="eastAsia" w:ascii="宋体" w:hAnsi="宋体" w:cs="宋体"/>
          <w:sz w:val="24"/>
        </w:rPr>
      </w:pPr>
    </w:p>
    <w:p>
      <w:pPr>
        <w:pStyle w:val="5"/>
        <w:spacing w:before="20" w:after="20" w:line="560" w:lineRule="exact"/>
        <w:rPr>
          <w:rFonts w:ascii="宋体" w:hAnsi="宋体" w:eastAsia="宋体" w:cs="宋体"/>
          <w:sz w:val="24"/>
          <w:szCs w:val="24"/>
        </w:rPr>
      </w:pPr>
      <w:bookmarkStart w:id="2085" w:name="_Toc14671"/>
      <w:bookmarkStart w:id="2086" w:name="_Toc5757"/>
      <w:bookmarkStart w:id="2087" w:name="_Toc3691"/>
      <w:bookmarkStart w:id="2088" w:name="_Toc17287"/>
      <w:bookmarkStart w:id="2089" w:name="_Toc30019"/>
      <w:bookmarkStart w:id="2090" w:name="_Toc14332"/>
      <w:bookmarkStart w:id="2091" w:name="_Toc5452"/>
      <w:bookmarkStart w:id="2092" w:name="_Toc29887"/>
      <w:bookmarkStart w:id="2093" w:name="_Toc32551"/>
      <w:bookmarkStart w:id="2094" w:name="_Toc17133"/>
      <w:bookmarkStart w:id="2095" w:name="_Toc10666"/>
      <w:r>
        <w:rPr>
          <w:rFonts w:hint="eastAsia" w:ascii="宋体" w:hAnsi="宋体" w:eastAsia="宋体" w:cs="宋体"/>
          <w:sz w:val="24"/>
          <w:szCs w:val="24"/>
          <w:lang w:val="en-US" w:eastAsia="zh-CN"/>
        </w:rPr>
        <w:t>3</w:t>
      </w:r>
      <w:r>
        <w:rPr>
          <w:rFonts w:hint="eastAsia" w:ascii="宋体" w:hAnsi="宋体" w:eastAsia="宋体" w:cs="宋体"/>
          <w:sz w:val="24"/>
          <w:szCs w:val="24"/>
        </w:rPr>
        <w:t>. 投标报价表（标段</w:t>
      </w:r>
      <w:r>
        <w:rPr>
          <w:rFonts w:hint="eastAsia" w:ascii="宋体" w:hAnsi="宋体" w:eastAsia="宋体" w:cs="宋体"/>
          <w:sz w:val="24"/>
          <w:szCs w:val="24"/>
          <w:lang w:val="en-US" w:eastAsia="zh-CN"/>
        </w:rPr>
        <w:t>3</w:t>
      </w:r>
      <w:r>
        <w:rPr>
          <w:rFonts w:hint="eastAsia" w:ascii="宋体" w:hAnsi="宋体" w:eastAsia="宋体" w:cs="宋体"/>
          <w:sz w:val="24"/>
          <w:szCs w:val="24"/>
        </w:rPr>
        <w:t>）</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tbl>
      <w:tblPr>
        <w:tblStyle w:val="42"/>
        <w:tblW w:w="8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6"/>
        <w:gridCol w:w="1965"/>
        <w:gridCol w:w="1620"/>
        <w:gridCol w:w="2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996" w:type="dxa"/>
            <w:vAlign w:val="center"/>
          </w:tcPr>
          <w:p>
            <w:pPr>
              <w:widowControl/>
              <w:jc w:val="center"/>
              <w:rPr>
                <w:rFonts w:hint="eastAsia" w:ascii="宋体" w:hAnsi="宋体" w:cs="宋体"/>
                <w:sz w:val="24"/>
              </w:rPr>
            </w:pPr>
            <w:r>
              <w:rPr>
                <w:rFonts w:hint="eastAsia" w:ascii="宋体" w:hAnsi="宋体" w:cs="宋体"/>
                <w:sz w:val="24"/>
              </w:rPr>
              <w:t>项目区域要求</w:t>
            </w:r>
          </w:p>
        </w:tc>
        <w:tc>
          <w:tcPr>
            <w:tcW w:w="1965" w:type="dxa"/>
            <w:vAlign w:val="center"/>
          </w:tcPr>
          <w:p>
            <w:pPr>
              <w:widowControl/>
              <w:spacing w:line="300" w:lineRule="exact"/>
              <w:jc w:val="center"/>
              <w:rPr>
                <w:rFonts w:hint="eastAsia" w:ascii="宋体" w:hAnsi="宋体" w:cs="宋体"/>
                <w:sz w:val="24"/>
              </w:rPr>
            </w:pPr>
            <w:r>
              <w:rPr>
                <w:rFonts w:hint="eastAsia" w:ascii="宋体" w:hAnsi="宋体" w:cs="宋体"/>
                <w:sz w:val="24"/>
              </w:rPr>
              <w:t>计费基数</w:t>
            </w:r>
          </w:p>
        </w:tc>
        <w:tc>
          <w:tcPr>
            <w:tcW w:w="1620" w:type="dxa"/>
            <w:vAlign w:val="center"/>
          </w:tcPr>
          <w:p>
            <w:pPr>
              <w:widowControl/>
              <w:spacing w:line="300" w:lineRule="exact"/>
              <w:ind w:firstLine="720" w:firstLineChars="300"/>
              <w:jc w:val="center"/>
              <w:rPr>
                <w:rFonts w:hint="eastAsia" w:ascii="宋体" w:hAnsi="宋体" w:cs="宋体"/>
                <w:sz w:val="24"/>
              </w:rPr>
            </w:pPr>
          </w:p>
          <w:p>
            <w:pPr>
              <w:widowControl/>
              <w:spacing w:line="300" w:lineRule="exact"/>
              <w:ind w:firstLine="240" w:firstLineChars="100"/>
              <w:jc w:val="center"/>
              <w:rPr>
                <w:rFonts w:hint="eastAsia" w:ascii="宋体" w:hAnsi="宋体" w:cs="宋体"/>
                <w:sz w:val="24"/>
              </w:rPr>
            </w:pPr>
            <w:r>
              <w:rPr>
                <w:rFonts w:hint="eastAsia" w:ascii="宋体" w:hAnsi="宋体" w:cs="宋体"/>
                <w:sz w:val="24"/>
                <w:lang w:val="en-US" w:eastAsia="zh-CN"/>
              </w:rPr>
              <w:t>服务</w:t>
            </w:r>
            <w:r>
              <w:rPr>
                <w:rFonts w:hint="eastAsia" w:ascii="宋体" w:hAnsi="宋体" w:cs="宋体"/>
                <w:sz w:val="24"/>
              </w:rPr>
              <w:t>费率（%）</w:t>
            </w:r>
          </w:p>
          <w:p>
            <w:pPr>
              <w:widowControl/>
              <w:spacing w:line="300" w:lineRule="exact"/>
              <w:ind w:firstLine="720" w:firstLineChars="300"/>
              <w:jc w:val="center"/>
              <w:rPr>
                <w:rFonts w:hint="eastAsia" w:ascii="宋体" w:hAnsi="宋体" w:cs="宋体"/>
                <w:sz w:val="24"/>
              </w:rPr>
            </w:pPr>
          </w:p>
        </w:tc>
        <w:tc>
          <w:tcPr>
            <w:tcW w:w="2940" w:type="dxa"/>
            <w:vAlign w:val="center"/>
          </w:tcPr>
          <w:p>
            <w:pPr>
              <w:widowControl/>
              <w:spacing w:line="300" w:lineRule="exact"/>
              <w:ind w:firstLine="0" w:firstLineChars="0"/>
              <w:jc w:val="center"/>
              <w:rPr>
                <w:rFonts w:hint="eastAsia" w:ascii="宋体" w:hAnsi="宋体" w:cs="宋体"/>
                <w:b/>
                <w:bCs/>
                <w:sz w:val="24"/>
                <w:lang w:val="en-US" w:eastAsia="zh-CN"/>
              </w:rPr>
            </w:pPr>
            <w:r>
              <w:rPr>
                <w:rFonts w:hint="eastAsia" w:ascii="宋体" w:hAnsi="宋体" w:cs="宋体"/>
                <w:b/>
                <w:bCs/>
                <w:sz w:val="24"/>
                <w:lang w:val="en-US" w:eastAsia="zh-CN"/>
              </w:rPr>
              <w:t>增值税税率</w:t>
            </w:r>
          </w:p>
          <w:p>
            <w:pPr>
              <w:widowControl/>
              <w:spacing w:line="300" w:lineRule="exact"/>
              <w:ind w:firstLine="0" w:firstLineChars="0"/>
              <w:jc w:val="center"/>
              <w:rPr>
                <w:rFonts w:hint="default" w:ascii="宋体" w:hAnsi="宋体" w:eastAsia="宋体" w:cs="宋体"/>
                <w:sz w:val="24"/>
                <w:lang w:val="en-US" w:eastAsia="zh-CN"/>
              </w:rPr>
            </w:pPr>
            <w:r>
              <w:rPr>
                <w:rFonts w:hint="eastAsia" w:ascii="宋体" w:hAnsi="宋体" w:cs="宋体"/>
                <w:b/>
                <w:bCs/>
                <w:sz w:val="24"/>
                <w:lang w:val="en-US" w:eastAsia="zh-CN"/>
              </w:rPr>
              <w:t>（全额增值税专用发票）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trPr>
        <w:tc>
          <w:tcPr>
            <w:tcW w:w="1996" w:type="dxa"/>
            <w:vAlign w:val="center"/>
          </w:tcPr>
          <w:p>
            <w:pPr>
              <w:widowControl/>
              <w:rPr>
                <w:rFonts w:hint="eastAsia" w:ascii="宋体" w:hAnsi="宋体" w:cs="宋体"/>
                <w:sz w:val="24"/>
              </w:rPr>
            </w:pPr>
            <w:r>
              <w:rPr>
                <w:rFonts w:hint="eastAsia" w:ascii="宋体" w:hAnsi="宋体" w:cs="宋体"/>
                <w:sz w:val="24"/>
              </w:rPr>
              <w:t>全国各城镇地区（现场分拣、配送）</w:t>
            </w:r>
          </w:p>
        </w:tc>
        <w:tc>
          <w:tcPr>
            <w:tcW w:w="1965" w:type="dxa"/>
            <w:vAlign w:val="center"/>
          </w:tcPr>
          <w:p>
            <w:pPr>
              <w:widowControl/>
              <w:jc w:val="center"/>
              <w:rPr>
                <w:rFonts w:hint="default" w:ascii="宋体" w:hAnsi="宋体" w:eastAsia="宋体" w:cs="宋体"/>
                <w:sz w:val="24"/>
                <w:lang w:val="en-US" w:eastAsia="zh-CN"/>
              </w:rPr>
            </w:pPr>
            <w:r>
              <w:rPr>
                <w:rFonts w:hint="eastAsia" w:ascii="宋体" w:hAnsi="宋体" w:cs="宋体"/>
                <w:sz w:val="24"/>
                <w:lang w:val="en-US" w:eastAsia="zh-CN"/>
              </w:rPr>
              <w:t>项目工资总额</w:t>
            </w:r>
          </w:p>
        </w:tc>
        <w:tc>
          <w:tcPr>
            <w:tcW w:w="1620" w:type="dxa"/>
            <w:vAlign w:val="center"/>
          </w:tcPr>
          <w:p>
            <w:pPr>
              <w:widowControl/>
              <w:jc w:val="center"/>
              <w:rPr>
                <w:rFonts w:hint="eastAsia" w:ascii="宋体" w:hAnsi="宋体" w:cs="宋体"/>
                <w:sz w:val="24"/>
              </w:rPr>
            </w:pPr>
          </w:p>
        </w:tc>
        <w:tc>
          <w:tcPr>
            <w:tcW w:w="2940" w:type="dxa"/>
            <w:vAlign w:val="center"/>
          </w:tcPr>
          <w:p>
            <w:pPr>
              <w:widowControl/>
              <w:jc w:val="cente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4" w:hRule="atLeast"/>
        </w:trPr>
        <w:tc>
          <w:tcPr>
            <w:tcW w:w="8521" w:type="dxa"/>
            <w:gridSpan w:val="4"/>
            <w:vAlign w:val="center"/>
          </w:tcPr>
          <w:p>
            <w:pPr>
              <w:widowControl/>
              <w:ind w:firstLine="480" w:firstLineChars="200"/>
              <w:jc w:val="left"/>
              <w:rPr>
                <w:rFonts w:hint="eastAsia" w:ascii="宋体" w:hAnsi="宋体" w:cs="宋体"/>
                <w:sz w:val="24"/>
              </w:rPr>
            </w:pPr>
            <w:r>
              <w:rPr>
                <w:rFonts w:hint="eastAsia" w:ascii="宋体" w:hAnsi="宋体" w:cs="宋体"/>
                <w:sz w:val="24"/>
              </w:rPr>
              <w:t>★备注：</w:t>
            </w:r>
          </w:p>
          <w:p>
            <w:pPr>
              <w:widowControl/>
              <w:ind w:firstLine="482" w:firstLineChars="200"/>
              <w:jc w:val="left"/>
              <w:rPr>
                <w:rFonts w:hint="eastAsia" w:ascii="宋体" w:hAnsi="宋体" w:cs="宋体"/>
                <w:sz w:val="24"/>
              </w:rPr>
            </w:pPr>
            <w:r>
              <w:rPr>
                <w:rFonts w:hint="eastAsia" w:ascii="宋体" w:hAnsi="宋体" w:cs="宋体"/>
                <w:b/>
                <w:bCs/>
                <w:sz w:val="24"/>
                <w:lang w:eastAsia="zh-CN"/>
              </w:rPr>
              <w:t>1</w:t>
            </w:r>
            <w:r>
              <w:rPr>
                <w:rFonts w:hint="eastAsia" w:ascii="宋体" w:hAnsi="宋体" w:cs="宋体"/>
                <w:b/>
                <w:bCs/>
                <w:sz w:val="24"/>
              </w:rPr>
              <w:t>.支付方式为按月结算</w:t>
            </w:r>
            <w:r>
              <w:rPr>
                <w:rFonts w:hint="eastAsia" w:ascii="宋体" w:hAnsi="宋体" w:cs="宋体"/>
                <w:b/>
                <w:bCs/>
                <w:sz w:val="24"/>
                <w:lang w:eastAsia="zh-CN"/>
              </w:rPr>
              <w:t>，</w:t>
            </w:r>
            <w:r>
              <w:rPr>
                <w:rFonts w:hint="eastAsia" w:ascii="宋体" w:hAnsi="宋体" w:cs="宋体"/>
                <w:b/>
                <w:bCs/>
                <w:sz w:val="24"/>
                <w:lang w:val="en-US" w:eastAsia="zh-CN"/>
              </w:rPr>
              <w:t>须开具全额增值税专用发票</w:t>
            </w:r>
            <w:r>
              <w:rPr>
                <w:rFonts w:hint="eastAsia" w:ascii="宋体" w:hAnsi="宋体" w:cs="宋体"/>
                <w:sz w:val="24"/>
              </w:rPr>
              <w:t>。</w:t>
            </w:r>
          </w:p>
          <w:p>
            <w:pPr>
              <w:widowControl/>
              <w:ind w:firstLine="480" w:firstLineChars="200"/>
              <w:jc w:val="left"/>
              <w:rPr>
                <w:rFonts w:ascii="宋体" w:hAnsi="宋体" w:cs="宋体"/>
                <w:sz w:val="24"/>
              </w:rPr>
            </w:pPr>
            <w:r>
              <w:rPr>
                <w:rFonts w:hint="eastAsia" w:ascii="宋体" w:hAnsi="宋体" w:cs="宋体"/>
                <w:sz w:val="24"/>
                <w:lang w:val="en-US" w:eastAsia="zh-CN"/>
              </w:rPr>
              <w:t>2</w:t>
            </w:r>
            <w:r>
              <w:rPr>
                <w:rFonts w:hint="eastAsia" w:ascii="宋体" w:hAnsi="宋体" w:cs="宋体"/>
                <w:sz w:val="24"/>
              </w:rPr>
              <w:t>.上述投标报价为劳务人员外包服务费率</w:t>
            </w:r>
            <w:r>
              <w:rPr>
                <w:rFonts w:hint="default" w:ascii="宋体" w:hAnsi="宋体" w:cs="宋体"/>
                <w:sz w:val="24"/>
              </w:rPr>
              <w:t>。服务费</w:t>
            </w:r>
            <w:r>
              <w:rPr>
                <w:rFonts w:hint="eastAsia" w:ascii="宋体" w:hAnsi="宋体" w:cs="宋体"/>
                <w:sz w:val="24"/>
                <w:lang w:val="en-US" w:eastAsia="zh-CN"/>
              </w:rPr>
              <w:t>计算</w:t>
            </w:r>
            <w:r>
              <w:rPr>
                <w:rFonts w:hint="eastAsia" w:ascii="宋体" w:hAnsi="宋体" w:cs="宋体"/>
                <w:sz w:val="24"/>
              </w:rPr>
              <w:t xml:space="preserve">公式：服务费 = </w:t>
            </w:r>
            <w:r>
              <w:rPr>
                <w:rFonts w:hint="eastAsia" w:ascii="宋体" w:hAnsi="宋体" w:cs="宋体"/>
                <w:sz w:val="24"/>
                <w:lang w:val="en-US" w:eastAsia="zh-CN"/>
              </w:rPr>
              <w:t>项目</w:t>
            </w:r>
            <w:r>
              <w:rPr>
                <w:rFonts w:hint="eastAsia" w:ascii="宋体" w:hAnsi="宋体" w:cs="宋体"/>
                <w:sz w:val="24"/>
              </w:rPr>
              <w:t>工资总额 × 中标</w:t>
            </w:r>
            <w:r>
              <w:rPr>
                <w:rFonts w:hint="eastAsia" w:ascii="宋体" w:hAnsi="宋体" w:cs="宋体"/>
                <w:sz w:val="24"/>
                <w:lang w:val="en-US" w:eastAsia="zh-CN"/>
              </w:rPr>
              <w:t>服务</w:t>
            </w:r>
            <w:r>
              <w:rPr>
                <w:rFonts w:hint="eastAsia" w:ascii="宋体" w:hAnsi="宋体" w:cs="宋体"/>
                <w:sz w:val="24"/>
              </w:rPr>
              <w:t>费率。</w:t>
            </w:r>
          </w:p>
          <w:p>
            <w:pPr>
              <w:widowControl/>
              <w:ind w:firstLine="420" w:firstLineChars="200"/>
              <w:jc w:val="left"/>
              <w:rPr>
                <w:rFonts w:hint="eastAsia"/>
                <w:highlight w:val="yellow"/>
              </w:rPr>
            </w:pPr>
            <w:r>
              <w:rPr>
                <w:rFonts w:hint="eastAsia"/>
                <w:lang w:val="en-US" w:eastAsia="zh-CN"/>
              </w:rPr>
              <w:t>3</w:t>
            </w:r>
            <w:r>
              <w:rPr>
                <w:rFonts w:hint="eastAsia"/>
              </w:rPr>
              <w:t>.</w:t>
            </w:r>
            <w:r>
              <w:rPr>
                <w:rFonts w:hint="eastAsia" w:ascii="宋体" w:hAnsi="宋体" w:cs="宋体"/>
                <w:sz w:val="24"/>
                <w:highlight w:val="none"/>
              </w:rPr>
              <w:t>服务费包括但不限于工伤保险、商业保险、雇主责任险</w:t>
            </w:r>
            <w:r>
              <w:rPr>
                <w:rFonts w:hint="eastAsia" w:ascii="宋体" w:hAnsi="宋体" w:cs="宋体"/>
                <w:sz w:val="24"/>
                <w:highlight w:val="none"/>
                <w:lang w:eastAsia="zh-CN"/>
              </w:rPr>
              <w:t>、</w:t>
            </w:r>
            <w:r>
              <w:rPr>
                <w:rFonts w:hint="eastAsia" w:ascii="宋体" w:hAnsi="宋体" w:cs="宋体"/>
                <w:sz w:val="24"/>
                <w:highlight w:val="none"/>
                <w:lang w:val="en-US" w:eastAsia="zh-CN"/>
              </w:rPr>
              <w:t>税费</w:t>
            </w:r>
            <w:r>
              <w:rPr>
                <w:rFonts w:hint="eastAsia" w:ascii="宋体" w:hAnsi="宋体" w:cs="宋体"/>
                <w:sz w:val="24"/>
                <w:highlight w:val="none"/>
              </w:rPr>
              <w:t>等费用，不含劳务人员工资。</w:t>
            </w:r>
          </w:p>
          <w:p>
            <w:pPr>
              <w:widowControl/>
              <w:ind w:firstLine="480" w:firstLineChars="200"/>
              <w:jc w:val="left"/>
              <w:rPr>
                <w:rFonts w:hint="eastAsia" w:ascii="宋体" w:hAnsi="宋体" w:cs="宋体"/>
                <w:sz w:val="24"/>
              </w:rPr>
            </w:pPr>
            <w:r>
              <w:rPr>
                <w:rFonts w:hint="eastAsia" w:ascii="宋体" w:hAnsi="宋体" w:cs="宋体"/>
                <w:sz w:val="24"/>
                <w:lang w:val="en-US" w:eastAsia="zh-CN"/>
              </w:rPr>
              <w:t>4</w:t>
            </w:r>
            <w:r>
              <w:rPr>
                <w:rFonts w:hint="eastAsia" w:ascii="宋体" w:hAnsi="宋体" w:cs="宋体"/>
                <w:sz w:val="24"/>
              </w:rPr>
              <w:t>.劳务人员通过劳务公司推荐，由招标人选定，劳务公司</w:t>
            </w:r>
            <w:r>
              <w:rPr>
                <w:rFonts w:hint="eastAsia" w:ascii="宋体" w:hAnsi="宋体" w:cs="宋体"/>
                <w:sz w:val="24"/>
                <w:lang w:val="en-US" w:eastAsia="zh-CN"/>
              </w:rPr>
              <w:t>发放</w:t>
            </w:r>
            <w:r>
              <w:rPr>
                <w:rFonts w:hint="eastAsia" w:ascii="宋体" w:hAnsi="宋体" w:cs="宋体"/>
                <w:sz w:val="24"/>
              </w:rPr>
              <w:t>工资。</w:t>
            </w:r>
          </w:p>
          <w:p>
            <w:pPr>
              <w:widowControl/>
              <w:ind w:firstLine="480" w:firstLineChars="200"/>
              <w:jc w:val="left"/>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.招标人劳务人员年度需求约为40人。</w:t>
            </w:r>
          </w:p>
          <w:p>
            <w:pPr>
              <w:widowControl/>
              <w:ind w:firstLine="480" w:firstLineChars="200"/>
              <w:jc w:val="left"/>
              <w:rPr>
                <w:rFonts w:hint="eastAsia" w:ascii="宋体" w:hAnsi="宋体" w:cs="宋体"/>
                <w:sz w:val="24"/>
              </w:rPr>
            </w:pPr>
            <w:r>
              <w:rPr>
                <w:rFonts w:hint="eastAsia" w:ascii="宋体" w:hAnsi="宋体" w:cs="宋体"/>
                <w:sz w:val="24"/>
                <w:lang w:val="en-US" w:eastAsia="zh-CN"/>
              </w:rPr>
              <w:t>6</w:t>
            </w:r>
            <w:r>
              <w:rPr>
                <w:rFonts w:hint="eastAsia" w:ascii="宋体" w:hAnsi="宋体" w:cs="宋体"/>
                <w:sz w:val="24"/>
              </w:rPr>
              <w:t>.劳务人员外包服务项目包括但不限于外包员工的工伤保险管理、入离职管理、合同管理、商业保险服务、考勤管理、假期管理、绩效管理、薪酬管理、现场管理等服务内容。</w:t>
            </w:r>
          </w:p>
        </w:tc>
      </w:tr>
    </w:tbl>
    <w:p>
      <w:pPr>
        <w:pStyle w:val="5"/>
        <w:spacing w:before="20" w:after="20" w:line="500" w:lineRule="exact"/>
        <w:ind w:firstLine="482" w:firstLineChars="200"/>
        <w:jc w:val="left"/>
        <w:rPr>
          <w:rFonts w:hint="eastAsia" w:ascii="宋体" w:hAnsi="宋体" w:eastAsia="宋体" w:cs="宋体"/>
          <w:sz w:val="24"/>
          <w:szCs w:val="24"/>
          <w:lang w:eastAsia="zh-CN"/>
        </w:rPr>
      </w:pPr>
      <w:r>
        <w:rPr>
          <w:rFonts w:hint="eastAsia" w:ascii="宋体" w:hAnsi="宋体" w:eastAsia="宋体" w:cs="宋体"/>
          <w:sz w:val="24"/>
          <w:szCs w:val="24"/>
        </w:rPr>
        <w:t>投标报价说明</w:t>
      </w:r>
      <w:r>
        <w:rPr>
          <w:rFonts w:hint="eastAsia" w:ascii="宋体" w:hAnsi="宋体" w:eastAsia="宋体" w:cs="宋体"/>
          <w:sz w:val="24"/>
          <w:szCs w:val="24"/>
          <w:lang w:eastAsia="zh-CN"/>
        </w:rPr>
        <w:t>：</w:t>
      </w:r>
    </w:p>
    <w:p>
      <w:pPr>
        <w:widowControl/>
        <w:spacing w:line="500" w:lineRule="exact"/>
        <w:ind w:firstLine="482" w:firstLineChars="200"/>
        <w:jc w:val="left"/>
        <w:rPr>
          <w:rFonts w:hint="eastAsia" w:ascii="宋体" w:hAnsi="宋体" w:cs="宋体"/>
          <w:sz w:val="24"/>
        </w:rPr>
      </w:pPr>
      <w:r>
        <w:rPr>
          <w:rFonts w:hint="eastAsia" w:ascii="宋体" w:hAnsi="宋体" w:cs="宋体"/>
          <w:b/>
          <w:bCs/>
          <w:sz w:val="24"/>
        </w:rPr>
        <w:t>1.投标人须严格按照招标人提供的报价表填报价。报价表中的所有报价均只允许有一个报价。任何有选择的报价</w:t>
      </w:r>
      <w:r>
        <w:rPr>
          <w:rFonts w:hint="eastAsia" w:ascii="宋体" w:hAnsi="宋体" w:cs="宋体"/>
          <w:b/>
          <w:bCs/>
          <w:sz w:val="24"/>
          <w:lang w:eastAsia="zh-CN"/>
        </w:rPr>
        <w:t>、</w:t>
      </w:r>
      <w:r>
        <w:rPr>
          <w:rFonts w:hint="eastAsia" w:ascii="宋体" w:hAnsi="宋体" w:cs="宋体"/>
          <w:b/>
          <w:bCs/>
          <w:sz w:val="24"/>
          <w:lang w:val="en-US" w:eastAsia="zh-CN"/>
        </w:rPr>
        <w:t>任意修改报价表格式的投标无效。</w:t>
      </w:r>
    </w:p>
    <w:p>
      <w:pPr>
        <w:widowControl/>
        <w:spacing w:line="500" w:lineRule="exact"/>
        <w:ind w:firstLine="480" w:firstLineChars="200"/>
        <w:jc w:val="left"/>
        <w:rPr>
          <w:rFonts w:hint="eastAsia" w:ascii="宋体" w:hAnsi="宋体" w:cs="宋体"/>
          <w:sz w:val="24"/>
        </w:rPr>
      </w:pPr>
      <w:r>
        <w:rPr>
          <w:rFonts w:hint="eastAsia" w:ascii="宋体" w:hAnsi="宋体" w:cs="宋体"/>
          <w:sz w:val="24"/>
        </w:rPr>
        <w:t>2.投标人的报价，应是按照投标文件规定的时间、地点，完成投标范围内的全部费用，包括但不限于完成工作的成本、利润、</w:t>
      </w:r>
      <w:r>
        <w:rPr>
          <w:rFonts w:hint="eastAsia" w:ascii="宋体" w:hAnsi="宋体" w:cs="宋体"/>
          <w:bCs/>
          <w:sz w:val="24"/>
        </w:rPr>
        <w:t>税金</w:t>
      </w:r>
      <w:r>
        <w:rPr>
          <w:rFonts w:hint="eastAsia" w:ascii="宋体" w:hAnsi="宋体" w:cs="宋体"/>
          <w:sz w:val="24"/>
        </w:rPr>
        <w:t>、运费、风险费以及政策性文件规定费用等，不得以任何理由予以重复计算。</w:t>
      </w:r>
    </w:p>
    <w:p>
      <w:pPr>
        <w:pStyle w:val="2"/>
        <w:spacing w:line="500" w:lineRule="exact"/>
        <w:jc w:val="left"/>
      </w:pPr>
    </w:p>
    <w:p>
      <w:pPr>
        <w:widowControl/>
        <w:spacing w:line="500" w:lineRule="exact"/>
        <w:ind w:firstLine="4800" w:firstLineChars="2000"/>
        <w:jc w:val="left"/>
        <w:rPr>
          <w:rFonts w:hint="eastAsia" w:ascii="宋体" w:hAnsi="宋体" w:cs="宋体"/>
          <w:sz w:val="24"/>
        </w:rPr>
      </w:pPr>
      <w:r>
        <w:rPr>
          <w:rFonts w:hint="eastAsia" w:ascii="宋体" w:hAnsi="宋体" w:cs="宋体"/>
          <w:sz w:val="24"/>
        </w:rPr>
        <w:t>投标单位（盖章）：</w:t>
      </w:r>
    </w:p>
    <w:p>
      <w:pPr>
        <w:widowControl/>
        <w:spacing w:line="500" w:lineRule="exact"/>
        <w:ind w:firstLine="3120" w:firstLineChars="1300"/>
        <w:jc w:val="left"/>
        <w:rPr>
          <w:rFonts w:hint="eastAsia" w:ascii="宋体" w:hAnsi="宋体" w:cs="宋体"/>
          <w:sz w:val="24"/>
        </w:rPr>
      </w:pPr>
      <w:r>
        <w:rPr>
          <w:rFonts w:hint="eastAsia" w:ascii="宋体" w:hAnsi="宋体" w:cs="宋体"/>
          <w:sz w:val="24"/>
        </w:rPr>
        <w:t>法定代表人或授权代表人签字确认：</w:t>
      </w:r>
    </w:p>
    <w:p>
      <w:pPr>
        <w:widowControl/>
        <w:spacing w:line="500" w:lineRule="exact"/>
        <w:ind w:firstLine="6240" w:firstLineChars="2600"/>
        <w:jc w:val="left"/>
      </w:pPr>
      <w:r>
        <w:rPr>
          <w:rFonts w:hint="eastAsia" w:ascii="宋体" w:hAnsi="宋体" w:cs="宋体"/>
          <w:sz w:val="24"/>
        </w:rPr>
        <w:t>日期：</w:t>
      </w:r>
    </w:p>
    <w:p>
      <w:pPr>
        <w:pStyle w:val="3"/>
        <w:rPr>
          <w:rFonts w:hint="eastAsia" w:ascii="宋体" w:hAnsi="宋体" w:cs="宋体"/>
          <w:sz w:val="24"/>
        </w:rPr>
      </w:pPr>
    </w:p>
    <w:p>
      <w:pPr>
        <w:rPr>
          <w:rFonts w:hint="eastAsia" w:ascii="宋体" w:hAnsi="宋体" w:cs="宋体"/>
          <w:sz w:val="24"/>
        </w:rPr>
      </w:pPr>
    </w:p>
    <w:p>
      <w:pPr>
        <w:pStyle w:val="2"/>
        <w:rPr>
          <w:rFonts w:hint="eastAsia" w:ascii="宋体" w:hAnsi="宋体" w:cs="宋体"/>
          <w:sz w:val="24"/>
        </w:rPr>
      </w:pPr>
    </w:p>
    <w:p>
      <w:pPr>
        <w:pStyle w:val="2"/>
        <w:rPr>
          <w:rFonts w:hint="eastAsia" w:ascii="宋体" w:hAnsi="宋体" w:cs="宋体"/>
          <w:sz w:val="24"/>
        </w:rPr>
      </w:pPr>
    </w:p>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Pr>
        <w:pStyle w:val="4"/>
        <w:jc w:val="center"/>
        <w:rPr>
          <w:rFonts w:hint="eastAsia" w:ascii="宋体" w:hAnsi="宋体"/>
          <w:szCs w:val="21"/>
        </w:rPr>
      </w:pPr>
      <w:bookmarkStart w:id="2096" w:name="_Toc12919"/>
      <w:bookmarkStart w:id="2097" w:name="_Toc586"/>
      <w:bookmarkStart w:id="2098" w:name="_Toc7741"/>
      <w:bookmarkStart w:id="2099" w:name="_Toc11757"/>
      <w:bookmarkStart w:id="2100" w:name="_Toc11334"/>
      <w:bookmarkStart w:id="2101" w:name="_Toc7162"/>
      <w:bookmarkStart w:id="2102" w:name="_Toc25974"/>
      <w:bookmarkStart w:id="2103" w:name="_Toc15448"/>
      <w:bookmarkStart w:id="2104" w:name="_Toc16308"/>
      <w:bookmarkStart w:id="2105" w:name="_Toc23983"/>
      <w:bookmarkStart w:id="2106" w:name="_Toc1608"/>
      <w:bookmarkStart w:id="2107" w:name="_Toc457993003"/>
      <w:bookmarkStart w:id="2108" w:name="_Toc14095"/>
      <w:bookmarkStart w:id="2109" w:name="_Toc9788"/>
      <w:bookmarkStart w:id="2110" w:name="_Toc32159"/>
      <w:bookmarkStart w:id="2111" w:name="_Toc17477"/>
      <w:bookmarkStart w:id="2112" w:name="_Toc11013"/>
      <w:bookmarkStart w:id="2113" w:name="_Toc4944"/>
      <w:bookmarkStart w:id="2114" w:name="_Toc23469"/>
      <w:bookmarkStart w:id="2115" w:name="_Toc16166"/>
      <w:bookmarkStart w:id="2116" w:name="_Toc8466"/>
      <w:bookmarkStart w:id="2117" w:name="_Toc17880"/>
      <w:bookmarkStart w:id="2118" w:name="_Toc23435"/>
      <w:bookmarkStart w:id="2119" w:name="_Toc11810"/>
      <w:bookmarkStart w:id="2120" w:name="_Toc16341"/>
      <w:bookmarkStart w:id="2121" w:name="_Toc16577"/>
      <w:bookmarkStart w:id="2122" w:name="_Toc3241"/>
      <w:bookmarkStart w:id="2123" w:name="_Toc7558"/>
      <w:bookmarkStart w:id="2124" w:name="_Toc16348"/>
      <w:bookmarkStart w:id="2125" w:name="_Toc23924"/>
      <w:bookmarkStart w:id="2126" w:name="_Toc10394"/>
      <w:bookmarkStart w:id="2127" w:name="_Toc5803"/>
      <w:bookmarkStart w:id="2128" w:name="_Toc28108"/>
      <w:bookmarkStart w:id="2129" w:name="_Toc11844"/>
      <w:bookmarkStart w:id="2130" w:name="_Toc2660"/>
      <w:bookmarkStart w:id="2131" w:name="_Toc427"/>
      <w:bookmarkStart w:id="2132" w:name="_Toc2066"/>
      <w:bookmarkStart w:id="2133" w:name="_Toc718"/>
      <w:bookmarkStart w:id="2134" w:name="_Toc7387"/>
      <w:bookmarkStart w:id="2135" w:name="_Toc2330"/>
      <w:bookmarkStart w:id="2136" w:name="_Toc28336"/>
      <w:bookmarkStart w:id="2137" w:name="_Toc9340"/>
      <w:bookmarkStart w:id="2138" w:name="_Toc18231"/>
      <w:bookmarkStart w:id="2139" w:name="_Toc32044"/>
      <w:bookmarkStart w:id="2140" w:name="_Toc246996354"/>
      <w:bookmarkStart w:id="2141" w:name="_Toc422925648"/>
      <w:bookmarkStart w:id="2142" w:name="_Toc152042575"/>
      <w:bookmarkStart w:id="2143" w:name="_Toc11494"/>
      <w:bookmarkStart w:id="2144" w:name="_Toc19684"/>
      <w:bookmarkStart w:id="2145" w:name="_Toc436215780"/>
      <w:bookmarkStart w:id="2146" w:name="_Toc5668"/>
      <w:bookmarkStart w:id="2147" w:name="_Toc24410"/>
      <w:bookmarkStart w:id="2148" w:name="_Toc6761"/>
      <w:bookmarkStart w:id="2149" w:name="_Toc26357"/>
      <w:bookmarkStart w:id="2150" w:name="_Toc152045786"/>
      <w:bookmarkStart w:id="2151" w:name="_Toc16521"/>
      <w:bookmarkStart w:id="2152" w:name="_Toc144974855"/>
      <w:bookmarkStart w:id="2153" w:name="_Toc435178422"/>
      <w:bookmarkStart w:id="2154" w:name="_Toc10998"/>
      <w:bookmarkStart w:id="2155" w:name="_Toc5027"/>
      <w:bookmarkStart w:id="2156" w:name="_Toc179632806"/>
      <w:bookmarkStart w:id="2157" w:name="_Toc24210"/>
      <w:bookmarkStart w:id="2158" w:name="_Toc496601990"/>
      <w:bookmarkStart w:id="2159" w:name="_Toc32499"/>
      <w:bookmarkStart w:id="2160" w:name="_Toc9795"/>
      <w:bookmarkStart w:id="2161" w:name="_Toc247085872"/>
      <w:bookmarkStart w:id="2162" w:name="_Toc24329"/>
      <w:bookmarkStart w:id="2163" w:name="_Toc3687"/>
      <w:bookmarkStart w:id="2164" w:name="_Toc13007"/>
      <w:bookmarkStart w:id="2165" w:name="_Toc26950"/>
      <w:bookmarkStart w:id="2166" w:name="_Toc4334"/>
      <w:bookmarkStart w:id="2167" w:name="_Toc246997097"/>
      <w:bookmarkStart w:id="2168" w:name="_Toc4880"/>
      <w:bookmarkStart w:id="2169" w:name="_Toc30762"/>
      <w:r>
        <w:rPr>
          <w:rFonts w:hint="eastAsia" w:ascii="宋体" w:hAnsi="宋体"/>
        </w:rPr>
        <w:t>第六章 项目要求</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tabs>
          <w:tab w:val="left" w:pos="0"/>
        </w:tabs>
        <w:spacing w:line="360" w:lineRule="auto"/>
        <w:ind w:firstLine="480" w:firstLineChars="200"/>
        <w:rPr>
          <w:rFonts w:hint="eastAsia" w:ascii="宋体" w:hAnsi="宋体" w:cs="宋体"/>
          <w:sz w:val="24"/>
        </w:rPr>
      </w:pPr>
      <w:r>
        <w:rPr>
          <w:rFonts w:hint="eastAsia" w:ascii="宋体" w:hAnsi="宋体" w:cs="宋体"/>
          <w:sz w:val="24"/>
        </w:rPr>
        <w:t>★1、详见本投标文件第四章合同主要条款和第五章投标报价相关要求，投标人前来投标，视为响应本项目所有要求，若</w:t>
      </w:r>
      <w:r>
        <w:rPr>
          <w:rFonts w:hint="eastAsia" w:ascii="宋体" w:hAnsi="宋体" w:cs="宋体"/>
          <w:sz w:val="24"/>
          <w:lang w:eastAsia="zh-CN"/>
        </w:rPr>
        <w:t>中标</w:t>
      </w:r>
      <w:r>
        <w:rPr>
          <w:rFonts w:hint="eastAsia" w:ascii="宋体" w:hAnsi="宋体" w:cs="宋体"/>
          <w:sz w:val="24"/>
        </w:rPr>
        <w:t>必须全部满足。</w:t>
      </w:r>
    </w:p>
    <w:p>
      <w:pPr>
        <w:tabs>
          <w:tab w:val="left" w:pos="0"/>
        </w:tabs>
        <w:spacing w:line="360" w:lineRule="auto"/>
        <w:ind w:firstLine="480" w:firstLineChars="200"/>
        <w:rPr>
          <w:rFonts w:hint="eastAsia" w:ascii="宋体" w:hAnsi="宋体" w:cs="宋体"/>
          <w:sz w:val="24"/>
        </w:rPr>
      </w:pPr>
      <w:r>
        <w:rPr>
          <w:rFonts w:hint="eastAsia" w:ascii="宋体" w:hAnsi="宋体" w:cs="宋体"/>
          <w:sz w:val="24"/>
        </w:rPr>
        <w:t>2、本项目采购内容分别为报刊发行分发、优品分拣、食材项目分拣和配送劳务用工务，投标人须按照招标人劳务用工数量、规定地区及规定时间计划等，</w:t>
      </w:r>
      <w:r>
        <w:rPr>
          <w:rFonts w:hint="eastAsia" w:ascii="宋体" w:hAnsi="宋体" w:cs="宋体"/>
          <w:sz w:val="24"/>
          <w:lang w:val="fr-FR"/>
        </w:rPr>
        <w:t>选派符合要求的劳务人员到</w:t>
      </w:r>
      <w:r>
        <w:rPr>
          <w:rFonts w:hint="eastAsia" w:ascii="宋体" w:hAnsi="宋体" w:cs="宋体"/>
          <w:sz w:val="24"/>
        </w:rPr>
        <w:t>招标人</w:t>
      </w:r>
      <w:r>
        <w:rPr>
          <w:rFonts w:hint="eastAsia" w:ascii="宋体" w:hAnsi="宋体" w:cs="宋体"/>
          <w:sz w:val="24"/>
          <w:lang w:val="fr-FR"/>
        </w:rPr>
        <w:t>指定的地点工作。在选派劳务人员到达</w:t>
      </w:r>
      <w:r>
        <w:rPr>
          <w:rFonts w:hint="eastAsia" w:ascii="宋体" w:hAnsi="宋体" w:cs="宋体"/>
          <w:sz w:val="24"/>
        </w:rPr>
        <w:t>招标人</w:t>
      </w:r>
      <w:r>
        <w:rPr>
          <w:rFonts w:hint="eastAsia" w:ascii="宋体" w:hAnsi="宋体" w:cs="宋体"/>
          <w:sz w:val="24"/>
          <w:lang w:val="fr-FR"/>
        </w:rPr>
        <w:t>场地工作前，须调查清楚所</w:t>
      </w:r>
      <w:r>
        <w:rPr>
          <w:rFonts w:hint="eastAsia" w:ascii="宋体" w:hAnsi="宋体" w:cs="宋体"/>
          <w:sz w:val="24"/>
          <w:lang w:val="en-US" w:eastAsia="zh-CN"/>
        </w:rPr>
        <w:t>外包</w:t>
      </w:r>
      <w:r>
        <w:rPr>
          <w:rFonts w:hint="eastAsia" w:ascii="宋体" w:hAnsi="宋体" w:cs="宋体"/>
          <w:sz w:val="24"/>
          <w:lang w:val="fr-FR"/>
        </w:rPr>
        <w:t>的劳务人员身份，确保无在案的不法分子混入。</w:t>
      </w:r>
    </w:p>
    <w:p>
      <w:pPr>
        <w:pStyle w:val="2"/>
        <w:ind w:firstLine="480" w:firstLineChars="200"/>
        <w:rPr>
          <w:rFonts w:hint="eastAsia" w:ascii="宋体" w:hAnsi="宋体" w:cs="宋体"/>
          <w:sz w:val="24"/>
          <w:szCs w:val="24"/>
        </w:rPr>
      </w:pPr>
      <w:r>
        <w:rPr>
          <w:rFonts w:hint="eastAsia" w:ascii="宋体" w:hAnsi="宋体" w:cs="宋体"/>
          <w:sz w:val="24"/>
          <w:szCs w:val="24"/>
        </w:rPr>
        <w:t>3、岗位职责：</w:t>
      </w:r>
    </w:p>
    <w:p>
      <w:pPr>
        <w:pStyle w:val="2"/>
        <w:ind w:firstLine="480" w:firstLineChars="200"/>
      </w:pPr>
      <w:r>
        <w:rPr>
          <w:rFonts w:hint="eastAsia" w:ascii="宋体" w:hAnsi="宋体" w:cs="宋体"/>
          <w:sz w:val="24"/>
          <w:szCs w:val="24"/>
        </w:rPr>
        <w:t>标段1、标段2：负责报刊发行分发和优品业务的分拣、装卸、搬运等各项工作。</w:t>
      </w:r>
    </w:p>
    <w:p>
      <w:pPr>
        <w:pStyle w:val="3"/>
        <w:ind w:firstLine="480" w:firstLineChars="200"/>
        <w:rPr>
          <w:rFonts w:hint="eastAsia" w:ascii="宋体" w:hAnsi="宋体" w:cs="宋体"/>
          <w:sz w:val="24"/>
          <w:szCs w:val="24"/>
        </w:rPr>
      </w:pPr>
      <w:r>
        <w:rPr>
          <w:rFonts w:hint="eastAsia" w:ascii="宋体" w:hAnsi="宋体" w:cs="宋体"/>
          <w:sz w:val="24"/>
          <w:szCs w:val="24"/>
        </w:rPr>
        <w:t>标段</w:t>
      </w:r>
      <w:r>
        <w:rPr>
          <w:rFonts w:hint="eastAsia" w:ascii="宋体" w:hAnsi="宋体" w:cs="宋体"/>
          <w:sz w:val="24"/>
          <w:szCs w:val="24"/>
          <w:lang w:val="en-US" w:eastAsia="zh-CN"/>
        </w:rPr>
        <w:t>3</w:t>
      </w:r>
      <w:r>
        <w:rPr>
          <w:rFonts w:hint="eastAsia" w:ascii="宋体" w:hAnsi="宋体" w:cs="宋体"/>
          <w:sz w:val="24"/>
          <w:szCs w:val="24"/>
        </w:rPr>
        <w:t>：负责食材项目分拣、装卸、搬运、配送（部分人员需带车配送）等各项工作。</w:t>
      </w:r>
    </w:p>
    <w:p>
      <w:pPr>
        <w:pStyle w:val="75"/>
        <w:spacing w:line="360" w:lineRule="auto"/>
        <w:ind w:right="315" w:rightChars="150" w:firstLine="480"/>
        <w:rPr>
          <w:rFonts w:hint="eastAsia" w:ascii="宋体" w:hAnsi="宋体" w:cs="宋体"/>
          <w:sz w:val="24"/>
        </w:rPr>
      </w:pPr>
      <w:r>
        <w:rPr>
          <w:rFonts w:hint="eastAsia" w:ascii="宋体" w:hAnsi="宋体" w:cs="宋体"/>
          <w:sz w:val="24"/>
        </w:rPr>
        <w:t>任职要求：</w:t>
      </w:r>
    </w:p>
    <w:p>
      <w:pPr>
        <w:pStyle w:val="75"/>
        <w:spacing w:line="360" w:lineRule="auto"/>
        <w:ind w:right="315" w:rightChars="150" w:firstLine="480"/>
        <w:rPr>
          <w:rFonts w:hint="eastAsia" w:ascii="宋体" w:hAnsi="宋体" w:cs="宋体"/>
          <w:sz w:val="24"/>
        </w:rPr>
      </w:pPr>
      <w:r>
        <w:rPr>
          <w:rFonts w:hint="eastAsia" w:ascii="宋体" w:hAnsi="宋体" w:cs="宋体"/>
          <w:sz w:val="24"/>
        </w:rPr>
        <w:t>（1）年龄18岁-50岁，身体健康。</w:t>
      </w:r>
    </w:p>
    <w:p>
      <w:pPr>
        <w:pStyle w:val="75"/>
        <w:spacing w:line="360" w:lineRule="auto"/>
        <w:ind w:right="315" w:rightChars="150" w:firstLine="480"/>
        <w:rPr>
          <w:rFonts w:hint="eastAsia" w:ascii="宋体" w:hAnsi="宋体" w:cs="宋体"/>
          <w:sz w:val="24"/>
        </w:rPr>
      </w:pPr>
      <w:r>
        <w:rPr>
          <w:rFonts w:hint="eastAsia" w:ascii="宋体" w:hAnsi="宋体" w:cs="宋体"/>
          <w:sz w:val="24"/>
        </w:rPr>
        <w:t>（2）道德品行较好、无吸食毒及传染性疾病，自残性病史及违法记录等。</w:t>
      </w:r>
    </w:p>
    <w:p>
      <w:pPr>
        <w:pStyle w:val="75"/>
        <w:spacing w:line="360" w:lineRule="auto"/>
        <w:ind w:right="315" w:rightChars="150" w:firstLine="480"/>
        <w:rPr>
          <w:rFonts w:hint="eastAsia" w:ascii="宋体" w:hAnsi="宋体" w:cs="宋体"/>
          <w:sz w:val="24"/>
        </w:rPr>
      </w:pPr>
      <w:r>
        <w:rPr>
          <w:rFonts w:hint="eastAsia" w:ascii="宋体" w:hAnsi="宋体" w:cs="宋体"/>
          <w:sz w:val="24"/>
        </w:rPr>
        <w:t>（3）有下列情形之一者，不得参加本项目：曾因犯罪受过刑事处罚的，受处分期间或正在接受审计、纪律审查、司法侦查的。</w:t>
      </w:r>
    </w:p>
    <w:p>
      <w:pPr>
        <w:tabs>
          <w:tab w:val="left" w:pos="0"/>
        </w:tabs>
        <w:spacing w:line="360" w:lineRule="auto"/>
        <w:ind w:firstLine="480" w:firstLineChars="200"/>
        <w:rPr>
          <w:rFonts w:hint="eastAsia" w:ascii="宋体" w:hAnsi="宋体" w:cs="宋体"/>
          <w:sz w:val="24"/>
        </w:rPr>
      </w:pPr>
      <w:r>
        <w:rPr>
          <w:rFonts w:hint="eastAsia" w:ascii="宋体" w:hAnsi="宋体" w:cs="宋体"/>
          <w:sz w:val="24"/>
        </w:rPr>
        <w:t>4、保存好所有劳务人员的单据和资料，随时接受招标人的检查。</w:t>
      </w:r>
    </w:p>
    <w:p>
      <w:pPr>
        <w:tabs>
          <w:tab w:val="left" w:pos="0"/>
        </w:tabs>
        <w:spacing w:line="360" w:lineRule="auto"/>
        <w:ind w:firstLine="480" w:firstLineChars="200"/>
        <w:rPr>
          <w:rFonts w:hint="default" w:ascii="宋体" w:hAnsi="宋体" w:eastAsia="宋体" w:cs="宋体"/>
          <w:sz w:val="24"/>
          <w:lang w:val="en-US" w:eastAsia="zh-CN"/>
        </w:rPr>
      </w:pPr>
      <w:r>
        <w:rPr>
          <w:rFonts w:hint="eastAsia" w:ascii="宋体" w:hAnsi="宋体" w:cs="宋体"/>
          <w:sz w:val="24"/>
        </w:rPr>
        <w:t>★5、</w:t>
      </w:r>
      <w:r>
        <w:rPr>
          <w:rFonts w:hint="eastAsia" w:ascii="宋体" w:hAnsi="宋体" w:cs="宋体"/>
          <w:sz w:val="24"/>
          <w:lang w:val="en-US" w:eastAsia="zh-CN"/>
        </w:rPr>
        <w:t>投标人须开具全额增值税专用发票。</w:t>
      </w:r>
    </w:p>
    <w:p>
      <w:pPr>
        <w:tabs>
          <w:tab w:val="left" w:pos="0"/>
        </w:tabs>
        <w:spacing w:line="360" w:lineRule="auto"/>
        <w:ind w:firstLine="480" w:firstLineChars="200"/>
        <w:rPr>
          <w:rFonts w:hint="eastAsia" w:ascii="宋体" w:hAnsi="宋体" w:cs="宋体"/>
          <w:sz w:val="24"/>
        </w:rPr>
      </w:pPr>
      <w:r>
        <w:rPr>
          <w:rFonts w:hint="eastAsia" w:ascii="宋体" w:hAnsi="宋体" w:cs="宋体"/>
          <w:sz w:val="24"/>
          <w:lang w:val="en-US" w:eastAsia="zh-CN"/>
        </w:rPr>
        <w:t>6、</w:t>
      </w:r>
      <w:r>
        <w:rPr>
          <w:rFonts w:hint="eastAsia" w:ascii="宋体" w:hAnsi="宋体" w:cs="宋体"/>
          <w:sz w:val="24"/>
        </w:rPr>
        <w:t>履行投标服务承诺。</w:t>
      </w:r>
    </w:p>
    <w:p>
      <w:pPr>
        <w:pStyle w:val="4"/>
        <w:spacing w:line="360" w:lineRule="auto"/>
        <w:ind w:firstLine="1767" w:firstLineChars="400"/>
      </w:pPr>
      <w:bookmarkStart w:id="2170" w:name="_Toc6870"/>
    </w:p>
    <w:p/>
    <w:p>
      <w:pPr>
        <w:pStyle w:val="40"/>
        <w:ind w:firstLine="280"/>
      </w:pPr>
    </w:p>
    <w:p>
      <w:pPr>
        <w:pStyle w:val="40"/>
        <w:ind w:firstLine="280"/>
      </w:pPr>
    </w:p>
    <w:p>
      <w:pPr>
        <w:pStyle w:val="40"/>
        <w:ind w:firstLine="280"/>
      </w:pPr>
    </w:p>
    <w:p>
      <w:pPr>
        <w:pStyle w:val="40"/>
        <w:ind w:firstLine="280"/>
      </w:pPr>
    </w:p>
    <w:p/>
    <w:p>
      <w:pPr>
        <w:pStyle w:val="40"/>
        <w:ind w:firstLine="280"/>
      </w:pPr>
    </w:p>
    <w:p>
      <w:pPr>
        <w:pStyle w:val="4"/>
        <w:spacing w:line="360" w:lineRule="auto"/>
        <w:ind w:firstLine="1767" w:firstLineChars="400"/>
      </w:pPr>
      <w:bookmarkStart w:id="2171" w:name="_Toc644"/>
      <w:bookmarkStart w:id="2172" w:name="_Toc28634"/>
      <w:bookmarkStart w:id="2173" w:name="_Toc17966"/>
      <w:bookmarkStart w:id="2174" w:name="_Toc24025"/>
      <w:bookmarkStart w:id="2175" w:name="_Toc25545"/>
      <w:bookmarkStart w:id="2176" w:name="_Toc32016"/>
      <w:bookmarkStart w:id="2177" w:name="_Toc27111"/>
      <w:bookmarkStart w:id="2178" w:name="_Toc4060"/>
      <w:bookmarkStart w:id="2179" w:name="_Toc12142"/>
      <w:bookmarkStart w:id="2180" w:name="_Toc25472"/>
      <w:bookmarkStart w:id="2181" w:name="_Toc19877"/>
      <w:bookmarkStart w:id="2182" w:name="_Toc16756"/>
      <w:bookmarkStart w:id="2183" w:name="_Toc2563"/>
      <w:bookmarkStart w:id="2184" w:name="_Toc17591"/>
      <w:bookmarkStart w:id="2185" w:name="_Toc13008"/>
      <w:bookmarkStart w:id="2186" w:name="_Toc7890"/>
      <w:bookmarkStart w:id="2187" w:name="_Toc14380"/>
      <w:r>
        <w:rPr>
          <w:rFonts w:hint="eastAsia"/>
        </w:rPr>
        <w:t>第七章  投标文件格式</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spacing w:line="360" w:lineRule="auto"/>
      </w:pPr>
    </w:p>
    <w:p>
      <w:pPr>
        <w:spacing w:line="360" w:lineRule="auto"/>
        <w:rPr>
          <w:rFonts w:eastAsia="黑体"/>
          <w:sz w:val="20"/>
          <w:szCs w:val="20"/>
        </w:rPr>
      </w:pPr>
    </w:p>
    <w:p>
      <w:pPr>
        <w:spacing w:line="360" w:lineRule="auto"/>
        <w:jc w:val="center"/>
        <w:rPr>
          <w:rFonts w:eastAsia="黑体"/>
          <w:sz w:val="20"/>
          <w:szCs w:val="20"/>
        </w:rPr>
      </w:pPr>
      <w:r>
        <w:rPr>
          <w:rFonts w:hint="eastAsia" w:eastAsia="黑体"/>
          <w:sz w:val="28"/>
          <w:szCs w:val="28"/>
          <w:u w:val="single"/>
        </w:rPr>
        <w:t xml:space="preserve">                </w:t>
      </w:r>
      <w:r>
        <w:rPr>
          <w:rFonts w:eastAsia="黑体"/>
          <w:sz w:val="28"/>
          <w:szCs w:val="28"/>
        </w:rPr>
        <w:t>（项目名称）</w:t>
      </w:r>
    </w:p>
    <w:p>
      <w:pPr>
        <w:spacing w:line="360" w:lineRule="auto"/>
        <w:jc w:val="center"/>
        <w:rPr>
          <w:rFonts w:eastAsia="黑体"/>
          <w:sz w:val="20"/>
          <w:szCs w:val="20"/>
        </w:rPr>
      </w:pPr>
    </w:p>
    <w:p>
      <w:pPr>
        <w:spacing w:line="360" w:lineRule="auto"/>
        <w:rPr>
          <w:rFonts w:eastAsia="黑体"/>
          <w:sz w:val="20"/>
          <w:szCs w:val="20"/>
        </w:rPr>
      </w:pPr>
    </w:p>
    <w:p>
      <w:pPr>
        <w:spacing w:line="360" w:lineRule="auto"/>
        <w:jc w:val="center"/>
        <w:rPr>
          <w:rFonts w:eastAsia="黑体"/>
          <w:sz w:val="44"/>
          <w:szCs w:val="44"/>
        </w:rPr>
      </w:pPr>
      <w:r>
        <w:rPr>
          <w:rFonts w:hint="eastAsia" w:eastAsia="黑体"/>
          <w:sz w:val="44"/>
          <w:szCs w:val="44"/>
        </w:rPr>
        <w:t>投</w:t>
      </w:r>
      <w:r>
        <w:rPr>
          <w:rFonts w:eastAsia="黑体"/>
          <w:sz w:val="44"/>
          <w:szCs w:val="44"/>
        </w:rPr>
        <w:t xml:space="preserve">  </w:t>
      </w:r>
      <w:r>
        <w:rPr>
          <w:rFonts w:hint="eastAsia" w:eastAsia="黑体"/>
          <w:sz w:val="44"/>
          <w:szCs w:val="44"/>
        </w:rPr>
        <w:t>标</w:t>
      </w:r>
      <w:r>
        <w:rPr>
          <w:rFonts w:eastAsia="黑体"/>
          <w:sz w:val="44"/>
          <w:szCs w:val="44"/>
        </w:rPr>
        <w:t xml:space="preserve">  文  件</w:t>
      </w:r>
    </w:p>
    <w:p>
      <w:pPr>
        <w:spacing w:line="360" w:lineRule="auto"/>
        <w:rPr>
          <w:rFonts w:eastAsia="黑体"/>
          <w:sz w:val="28"/>
          <w:szCs w:val="28"/>
        </w:rPr>
      </w:pPr>
    </w:p>
    <w:p>
      <w:pPr>
        <w:spacing w:line="360" w:lineRule="auto"/>
        <w:rPr>
          <w:rFonts w:eastAsia="黑体"/>
          <w:sz w:val="28"/>
          <w:szCs w:val="28"/>
        </w:rPr>
      </w:pPr>
    </w:p>
    <w:p>
      <w:pPr>
        <w:spacing w:line="360" w:lineRule="auto"/>
        <w:rPr>
          <w:rFonts w:eastAsia="黑体"/>
          <w:sz w:val="28"/>
          <w:szCs w:val="28"/>
        </w:rPr>
      </w:pPr>
    </w:p>
    <w:p>
      <w:pPr>
        <w:spacing w:line="360" w:lineRule="auto"/>
        <w:rPr>
          <w:rFonts w:eastAsia="黑体"/>
          <w:sz w:val="28"/>
          <w:szCs w:val="28"/>
        </w:rPr>
      </w:pPr>
    </w:p>
    <w:p>
      <w:pPr>
        <w:spacing w:line="360" w:lineRule="auto"/>
        <w:rPr>
          <w:rFonts w:eastAsia="黑体"/>
          <w:sz w:val="28"/>
          <w:szCs w:val="28"/>
        </w:rPr>
      </w:pPr>
    </w:p>
    <w:p>
      <w:pPr>
        <w:spacing w:line="360" w:lineRule="auto"/>
        <w:jc w:val="center"/>
        <w:rPr>
          <w:rFonts w:eastAsia="黑体"/>
          <w:sz w:val="28"/>
          <w:szCs w:val="28"/>
          <w:u w:val="single"/>
        </w:rPr>
      </w:pPr>
      <w:r>
        <w:rPr>
          <w:rFonts w:hint="eastAsia" w:eastAsia="黑体"/>
          <w:sz w:val="28"/>
          <w:szCs w:val="28"/>
        </w:rPr>
        <w:t>投标</w:t>
      </w:r>
      <w:r>
        <w:rPr>
          <w:rFonts w:eastAsia="黑体"/>
          <w:sz w:val="28"/>
          <w:szCs w:val="28"/>
        </w:rPr>
        <w:t>人：</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（盖单位章）</w:t>
      </w:r>
    </w:p>
    <w:p>
      <w:pPr>
        <w:spacing w:line="360" w:lineRule="auto"/>
        <w:jc w:val="center"/>
        <w:rPr>
          <w:rFonts w:eastAsia="黑体"/>
          <w:sz w:val="28"/>
          <w:szCs w:val="28"/>
        </w:rPr>
      </w:pPr>
      <w:r>
        <w:rPr>
          <w:rFonts w:eastAsia="黑体"/>
          <w:sz w:val="28"/>
          <w:szCs w:val="28"/>
        </w:rPr>
        <w:t>法定代表人或其委托代理人：</w:t>
      </w:r>
      <w:r>
        <w:rPr>
          <w:rFonts w:eastAsia="黑体"/>
          <w:sz w:val="28"/>
          <w:szCs w:val="28"/>
          <w:u w:val="single"/>
        </w:rPr>
        <w:t xml:space="preserve">                </w:t>
      </w:r>
      <w:r>
        <w:rPr>
          <w:rFonts w:eastAsia="黑体"/>
          <w:sz w:val="28"/>
          <w:szCs w:val="28"/>
        </w:rPr>
        <w:t>（签字）</w:t>
      </w:r>
    </w:p>
    <w:p>
      <w:pPr>
        <w:spacing w:line="360" w:lineRule="auto"/>
        <w:jc w:val="center"/>
        <w:rPr>
          <w:rFonts w:eastAsia="黑体"/>
          <w:sz w:val="28"/>
          <w:szCs w:val="28"/>
        </w:rPr>
      </w:pPr>
      <w:r>
        <w:rPr>
          <w:rFonts w:eastAsia="黑体"/>
          <w:sz w:val="28"/>
          <w:szCs w:val="28"/>
          <w:u w:val="single"/>
        </w:rPr>
        <w:t xml:space="preserve">        </w:t>
      </w:r>
      <w:r>
        <w:rPr>
          <w:rFonts w:eastAsia="黑体"/>
          <w:sz w:val="28"/>
          <w:szCs w:val="28"/>
        </w:rPr>
        <w:t>年</w:t>
      </w:r>
      <w:r>
        <w:rPr>
          <w:rFonts w:eastAsia="黑体"/>
          <w:sz w:val="28"/>
          <w:szCs w:val="28"/>
          <w:u w:val="single"/>
        </w:rPr>
        <w:t xml:space="preserve">        </w:t>
      </w:r>
      <w:r>
        <w:rPr>
          <w:rFonts w:eastAsia="黑体"/>
          <w:sz w:val="28"/>
          <w:szCs w:val="28"/>
        </w:rPr>
        <w:t>月</w:t>
      </w:r>
      <w:r>
        <w:rPr>
          <w:rFonts w:eastAsia="黑体"/>
          <w:sz w:val="28"/>
          <w:szCs w:val="28"/>
          <w:u w:val="single"/>
        </w:rPr>
        <w:t xml:space="preserve">        </w:t>
      </w:r>
      <w:r>
        <w:rPr>
          <w:rFonts w:eastAsia="黑体"/>
          <w:sz w:val="28"/>
          <w:szCs w:val="28"/>
        </w:rPr>
        <w:t>日</w:t>
      </w:r>
    </w:p>
    <w:p>
      <w:pPr>
        <w:pStyle w:val="5"/>
        <w:spacing w:line="360" w:lineRule="auto"/>
        <w:jc w:val="center"/>
        <w:sectPr>
          <w:headerReference r:id="rId4" w:type="default"/>
          <w:footerReference r:id="rId5" w:type="default"/>
          <w:pgSz w:w="11906" w:h="16838"/>
          <w:pgMar w:top="1100" w:right="1797" w:bottom="703" w:left="1797" w:header="851" w:footer="992" w:gutter="0"/>
          <w:cols w:space="720" w:num="1"/>
          <w:docGrid w:type="lines" w:linePitch="312" w:charSpace="0"/>
        </w:sectPr>
      </w:pPr>
      <w:bookmarkStart w:id="2188" w:name="_Toc436215781"/>
      <w:bookmarkStart w:id="2189" w:name="_Toc246997098"/>
      <w:bookmarkStart w:id="2190" w:name="_Toc246996355"/>
      <w:bookmarkStart w:id="2191" w:name="_Toc435178423"/>
      <w:bookmarkStart w:id="2192" w:name="_Toc152042576"/>
      <w:bookmarkStart w:id="2193" w:name="_Toc152045787"/>
      <w:bookmarkStart w:id="2194" w:name="_Toc144974856"/>
      <w:bookmarkStart w:id="2195" w:name="_Toc422925649"/>
      <w:bookmarkStart w:id="2196" w:name="_Toc247085873"/>
      <w:bookmarkStart w:id="2197" w:name="_Toc179632807"/>
    </w:p>
    <w:p>
      <w:pPr>
        <w:pStyle w:val="5"/>
        <w:spacing w:line="360" w:lineRule="auto"/>
        <w:jc w:val="center"/>
      </w:pPr>
      <w:bookmarkStart w:id="2198" w:name="_Toc18400"/>
      <w:bookmarkStart w:id="2199" w:name="_Toc30705"/>
      <w:bookmarkStart w:id="2200" w:name="_Toc11017"/>
      <w:bookmarkStart w:id="2201" w:name="_Toc3264"/>
      <w:bookmarkStart w:id="2202" w:name="_Toc2082"/>
      <w:bookmarkStart w:id="2203" w:name="_Toc22604"/>
      <w:bookmarkStart w:id="2204" w:name="_Toc23496"/>
      <w:bookmarkStart w:id="2205" w:name="_Toc20042"/>
      <w:bookmarkStart w:id="2206" w:name="_Toc27744"/>
      <w:bookmarkStart w:id="2207" w:name="_Toc28508"/>
      <w:bookmarkStart w:id="2208" w:name="_Toc11024"/>
      <w:bookmarkStart w:id="2209" w:name="_Toc18278"/>
      <w:bookmarkStart w:id="2210" w:name="_Toc18683"/>
      <w:bookmarkStart w:id="2211" w:name="_Toc23680"/>
      <w:bookmarkStart w:id="2212" w:name="_Toc15125"/>
      <w:bookmarkStart w:id="2213" w:name="_Toc496601991"/>
      <w:bookmarkStart w:id="2214" w:name="_Toc5145"/>
    </w:p>
    <w:p>
      <w:pPr>
        <w:pStyle w:val="5"/>
        <w:spacing w:line="360" w:lineRule="auto"/>
        <w:jc w:val="center"/>
      </w:pPr>
      <w:bookmarkStart w:id="2215" w:name="_Toc28317"/>
      <w:bookmarkStart w:id="2216" w:name="_Toc10231"/>
      <w:bookmarkStart w:id="2217" w:name="_Toc4644"/>
      <w:bookmarkStart w:id="2218" w:name="_Toc21588"/>
      <w:bookmarkStart w:id="2219" w:name="_Toc27982"/>
      <w:bookmarkStart w:id="2220" w:name="_Toc27945"/>
      <w:bookmarkStart w:id="2221" w:name="_Toc9938"/>
      <w:bookmarkStart w:id="2222" w:name="_Toc26562"/>
      <w:bookmarkStart w:id="2223" w:name="_Toc10647"/>
      <w:bookmarkStart w:id="2224" w:name="_Toc18197"/>
      <w:bookmarkStart w:id="2225" w:name="_Toc31232"/>
      <w:bookmarkStart w:id="2226" w:name="_Toc30194"/>
      <w:bookmarkStart w:id="2227" w:name="_Toc15794"/>
      <w:bookmarkStart w:id="2228" w:name="_Toc26969"/>
      <w:bookmarkStart w:id="2229" w:name="_Toc25408"/>
      <w:bookmarkStart w:id="2230" w:name="_Toc29832"/>
      <w:bookmarkStart w:id="2231" w:name="_Toc3208"/>
      <w:bookmarkStart w:id="2232" w:name="_Toc30953"/>
      <w:bookmarkStart w:id="2233" w:name="_Toc13238"/>
      <w:bookmarkStart w:id="2234" w:name="_Toc10034"/>
      <w:bookmarkStart w:id="2235" w:name="_Toc5236"/>
      <w:bookmarkStart w:id="2236" w:name="_Toc7456"/>
      <w:bookmarkStart w:id="2237" w:name="_Toc8179"/>
      <w:bookmarkStart w:id="2238" w:name="_Toc476"/>
      <w:r>
        <w:rPr>
          <w:rFonts w:hint="eastAsia"/>
        </w:rPr>
        <w:t>投标文件目录</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numPr>
          <w:ilvl w:val="0"/>
          <w:numId w:val="11"/>
        </w:numPr>
        <w:spacing w:line="360" w:lineRule="auto"/>
        <w:rPr>
          <w:rFonts w:hint="eastAsia" w:ascii="宋体" w:hAnsi="宋体" w:cs="宋体"/>
        </w:rPr>
      </w:pPr>
      <w:r>
        <w:rPr>
          <w:rFonts w:hint="eastAsia" w:ascii="宋体" w:hAnsi="宋体" w:cs="宋体"/>
          <w:b/>
          <w:szCs w:val="21"/>
        </w:rPr>
        <w:t>资格审查文件</w:t>
      </w:r>
    </w:p>
    <w:p>
      <w:pPr>
        <w:spacing w:line="360" w:lineRule="auto"/>
        <w:rPr>
          <w:rFonts w:hint="eastAsia" w:ascii="宋体" w:hAnsi="宋体" w:cs="宋体"/>
          <w:szCs w:val="21"/>
        </w:rPr>
      </w:pPr>
      <w:r>
        <w:rPr>
          <w:rFonts w:hint="eastAsia" w:ascii="宋体" w:hAnsi="宋体" w:cs="宋体"/>
          <w:szCs w:val="21"/>
        </w:rPr>
        <w:t>1.投标函（格式附后）；</w:t>
      </w:r>
    </w:p>
    <w:p>
      <w:pPr>
        <w:spacing w:line="360" w:lineRule="auto"/>
        <w:rPr>
          <w:rFonts w:hint="eastAsia" w:ascii="宋体" w:hAnsi="宋体" w:cs="宋体"/>
          <w:szCs w:val="21"/>
        </w:rPr>
      </w:pPr>
      <w:r>
        <w:rPr>
          <w:rFonts w:hint="eastAsia" w:ascii="宋体" w:hAnsi="宋体" w:cs="宋体"/>
          <w:szCs w:val="21"/>
        </w:rPr>
        <w:t>2.法定代表人证明书（格式附后）；</w:t>
      </w:r>
    </w:p>
    <w:p>
      <w:pPr>
        <w:spacing w:line="360" w:lineRule="auto"/>
        <w:rPr>
          <w:rFonts w:hint="eastAsia" w:ascii="宋体" w:hAnsi="宋体" w:cs="宋体"/>
          <w:szCs w:val="21"/>
        </w:rPr>
      </w:pPr>
      <w:r>
        <w:rPr>
          <w:rFonts w:hint="eastAsia" w:ascii="宋体" w:hAnsi="宋体" w:cs="宋体"/>
          <w:szCs w:val="21"/>
        </w:rPr>
        <w:t>3.授权委托书（格式附后）；</w:t>
      </w:r>
    </w:p>
    <w:p>
      <w:pPr>
        <w:spacing w:line="360" w:lineRule="auto"/>
        <w:rPr>
          <w:rFonts w:hint="eastAsia" w:ascii="宋体" w:hAnsi="宋体" w:cs="宋体"/>
          <w:szCs w:val="21"/>
        </w:rPr>
      </w:pPr>
      <w:r>
        <w:rPr>
          <w:rFonts w:hint="eastAsia" w:ascii="宋体" w:hAnsi="宋体" w:cs="宋体"/>
        </w:rPr>
        <w:t>4.法定代表人授权书</w:t>
      </w:r>
      <w:r>
        <w:rPr>
          <w:rFonts w:hint="eastAsia" w:ascii="宋体" w:hAnsi="宋体" w:cs="宋体"/>
          <w:szCs w:val="21"/>
        </w:rPr>
        <w:t>（格式附后，总公司授权分公司投标时使用）；</w:t>
      </w:r>
    </w:p>
    <w:p>
      <w:pPr>
        <w:spacing w:line="360" w:lineRule="auto"/>
        <w:rPr>
          <w:rFonts w:hint="eastAsia" w:ascii="宋体" w:hAnsi="宋体" w:cs="宋体"/>
          <w:szCs w:val="21"/>
        </w:rPr>
      </w:pPr>
      <w:r>
        <w:rPr>
          <w:rFonts w:hint="eastAsia" w:ascii="宋体" w:hAnsi="宋体" w:cs="宋体"/>
          <w:szCs w:val="21"/>
        </w:rPr>
        <w:t>5.分公司负责人授权书（格式附后，总公司授权分公司投标时使用）；</w:t>
      </w:r>
    </w:p>
    <w:p>
      <w:pPr>
        <w:spacing w:line="360" w:lineRule="auto"/>
      </w:pPr>
      <w:r>
        <w:rPr>
          <w:rFonts w:hint="eastAsia" w:ascii="宋体" w:hAnsi="宋体" w:cs="宋体"/>
          <w:szCs w:val="21"/>
        </w:rPr>
        <w:t>6.信用记录承诺函（格式附后）；</w:t>
      </w:r>
    </w:p>
    <w:p>
      <w:pPr>
        <w:spacing w:line="360" w:lineRule="auto"/>
        <w:rPr>
          <w:rFonts w:hint="eastAsia" w:ascii="宋体" w:hAnsi="宋体" w:cs="宋体"/>
          <w:b/>
          <w:bCs/>
          <w:szCs w:val="21"/>
        </w:rPr>
      </w:pPr>
      <w:r>
        <w:rPr>
          <w:rFonts w:hint="eastAsia"/>
        </w:rPr>
        <w:t>★</w:t>
      </w:r>
      <w:r>
        <w:rPr>
          <w:rFonts w:hint="eastAsia" w:ascii="宋体" w:hAnsi="宋体" w:cs="宋体"/>
          <w:b/>
          <w:bCs/>
          <w:szCs w:val="21"/>
        </w:rPr>
        <w:t>7.投标人资格要求文件（如下文件须复印件加盖公章）：</w:t>
      </w:r>
    </w:p>
    <w:p>
      <w:pPr>
        <w:spacing w:line="360" w:lineRule="auto"/>
        <w:rPr>
          <w:rFonts w:hint="eastAsia" w:ascii="宋体" w:hAnsi="宋体" w:cs="宋体"/>
          <w:szCs w:val="21"/>
        </w:rPr>
      </w:pPr>
      <w:r>
        <w:rPr>
          <w:rFonts w:hint="eastAsia" w:ascii="宋体" w:hAnsi="宋体" w:cs="宋体"/>
          <w:szCs w:val="21"/>
        </w:rPr>
        <w:t>(1) 在中华人民共和国境内注册的具有独立承担民事责任能力的法人营业执照（提供营业执照复印件加盖公章；分公司投标须总公司授权，同时提供总公司营业执照及盖章授权函）；</w:t>
      </w:r>
    </w:p>
    <w:p>
      <w:pPr>
        <w:spacing w:line="360" w:lineRule="auto"/>
        <w:rPr>
          <w:rFonts w:hint="eastAsia" w:ascii="宋体" w:hAnsi="宋体" w:cs="宋体"/>
          <w:szCs w:val="21"/>
        </w:rPr>
      </w:pPr>
      <w:r>
        <w:rPr>
          <w:rFonts w:hint="eastAsia" w:ascii="宋体" w:hAnsi="宋体" w:cs="宋体"/>
          <w:szCs w:val="21"/>
        </w:rPr>
        <w:t>(2)投标人具备劳务外包及劳务派遣资质（须提供人力资源和社会保障部门颁发的《人力资源服务许可证》及《劳务派遣经营许可证》复印件并加盖公章）；</w:t>
      </w:r>
    </w:p>
    <w:p>
      <w:pPr>
        <w:spacing w:line="360" w:lineRule="auto"/>
        <w:rPr>
          <w:rFonts w:hint="eastAsia" w:ascii="宋体" w:hAnsi="宋体" w:cs="宋体"/>
          <w:szCs w:val="21"/>
        </w:rPr>
      </w:pPr>
      <w:r>
        <w:rPr>
          <w:rFonts w:hint="eastAsia" w:ascii="宋体" w:hAnsi="宋体" w:cs="宋体"/>
          <w:szCs w:val="21"/>
        </w:rPr>
        <w:t>(3)投标人在“信用中国”网站（www.creditchina.gov.cn）、中国政府采购网（www.ccgp.gov.cn）没有被列入失信被执行人、重大税收违法失信主体、政府采购严重违法失信行为记录名单（以开标时在“信用中国”网站（www.creditchina.gov.cn）及中国政府采购网（www.ccgp.gov.cn）查询结果为准，如相关失信记录已失效，投标人需提供相关证明资料并加盖公章）；格式见《信用记录承诺函》。</w:t>
      </w:r>
    </w:p>
    <w:p>
      <w:pPr>
        <w:spacing w:line="360" w:lineRule="auto"/>
      </w:pPr>
      <w:r>
        <w:t>（</w:t>
      </w:r>
      <w:r>
        <w:rPr>
          <w:rFonts w:hint="eastAsia"/>
        </w:rPr>
        <w:t>4</w:t>
      </w:r>
      <w:r>
        <w:t>）非联合体投标承诺书</w:t>
      </w:r>
      <w:r>
        <w:rPr>
          <w:rFonts w:hint="eastAsia"/>
        </w:rPr>
        <w:t>（提供承诺函）</w:t>
      </w:r>
      <w:r>
        <w:t>；</w:t>
      </w:r>
    </w:p>
    <w:p>
      <w:pPr>
        <w:spacing w:line="360" w:lineRule="auto"/>
      </w:pPr>
      <w:r>
        <w:t>（</w:t>
      </w:r>
      <w:r>
        <w:rPr>
          <w:rFonts w:hint="eastAsia"/>
        </w:rPr>
        <w:t>5</w:t>
      </w:r>
      <w:r>
        <w:t>）不违法分包和不转包承诺书</w:t>
      </w:r>
      <w:r>
        <w:rPr>
          <w:rFonts w:hint="eastAsia"/>
        </w:rPr>
        <w:t>（提供承诺函）。</w:t>
      </w:r>
    </w:p>
    <w:p>
      <w:pPr>
        <w:numPr>
          <w:ilvl w:val="0"/>
          <w:numId w:val="11"/>
        </w:numPr>
        <w:spacing w:line="360" w:lineRule="auto"/>
        <w:rPr>
          <w:b/>
          <w:szCs w:val="21"/>
        </w:rPr>
      </w:pPr>
      <w:r>
        <w:rPr>
          <w:rFonts w:hint="eastAsia"/>
          <w:b/>
          <w:szCs w:val="21"/>
        </w:rPr>
        <w:t>投标文件正文</w:t>
      </w:r>
    </w:p>
    <w:p>
      <w:pPr>
        <w:spacing w:line="360" w:lineRule="auto"/>
        <w:rPr>
          <w:rFonts w:hint="eastAsia" w:ascii="宋体" w:hAnsi="宋体" w:cs="宋体"/>
        </w:rPr>
      </w:pPr>
      <w:r>
        <w:rPr>
          <w:rFonts w:hint="eastAsia" w:ascii="宋体" w:hAnsi="宋体" w:cs="宋体"/>
          <w:szCs w:val="21"/>
        </w:rPr>
        <w:t>1.评审索引表（格式附后）；</w:t>
      </w:r>
    </w:p>
    <w:p>
      <w:pPr>
        <w:spacing w:line="360" w:lineRule="auto"/>
        <w:rPr>
          <w:rFonts w:hint="eastAsia" w:ascii="宋体" w:hAnsi="宋体" w:cs="宋体"/>
          <w:bCs/>
          <w:szCs w:val="21"/>
        </w:rPr>
      </w:pPr>
      <w:r>
        <w:rPr>
          <w:rFonts w:hint="eastAsia" w:ascii="宋体" w:hAnsi="宋体" w:cs="宋体"/>
          <w:bCs/>
          <w:szCs w:val="21"/>
        </w:rPr>
        <w:t>2.投标保证金公对公转账证明；</w:t>
      </w:r>
    </w:p>
    <w:p>
      <w:pPr>
        <w:spacing w:line="360" w:lineRule="auto"/>
        <w:rPr>
          <w:rFonts w:hint="eastAsia" w:ascii="宋体" w:hAnsi="宋体" w:cs="宋体"/>
          <w:szCs w:val="21"/>
        </w:rPr>
      </w:pPr>
      <w:r>
        <w:rPr>
          <w:rFonts w:hint="eastAsia" w:ascii="宋体" w:hAnsi="宋体" w:cs="宋体"/>
          <w:szCs w:val="21"/>
        </w:rPr>
        <w:t>3.投标报价表（格式见第五章投标报价表）；</w:t>
      </w:r>
    </w:p>
    <w:p>
      <w:pPr>
        <w:spacing w:line="360" w:lineRule="auto"/>
        <w:rPr>
          <w:rFonts w:hint="eastAsia" w:ascii="宋体" w:hAnsi="宋体" w:cs="宋体"/>
          <w:szCs w:val="21"/>
        </w:rPr>
      </w:pPr>
      <w:r>
        <w:rPr>
          <w:rFonts w:hint="eastAsia" w:ascii="宋体" w:hAnsi="宋体" w:cs="宋体"/>
          <w:szCs w:val="21"/>
        </w:rPr>
        <w:t>4.企业简介表（简要介绍企业规模、财务状况情况及第三章评审办法附表二等资料）；</w:t>
      </w:r>
    </w:p>
    <w:p>
      <w:pPr>
        <w:spacing w:line="360" w:lineRule="auto"/>
        <w:rPr>
          <w:rFonts w:hint="eastAsia" w:ascii="宋体" w:hAnsi="宋体" w:cs="宋体"/>
          <w:szCs w:val="21"/>
        </w:rPr>
      </w:pPr>
      <w:r>
        <w:rPr>
          <w:rFonts w:hint="eastAsia" w:ascii="宋体" w:hAnsi="宋体" w:cs="宋体"/>
          <w:szCs w:val="21"/>
        </w:rPr>
        <w:t>5.同类业绩表；</w:t>
      </w:r>
    </w:p>
    <w:p>
      <w:pPr>
        <w:rPr>
          <w:rFonts w:hint="eastAsia" w:ascii="宋体" w:hAnsi="宋体" w:cs="宋体"/>
          <w:szCs w:val="21"/>
        </w:rPr>
      </w:pPr>
      <w:r>
        <w:rPr>
          <w:rFonts w:hint="eastAsia" w:ascii="宋体" w:hAnsi="宋体"/>
          <w:szCs w:val="32"/>
        </w:rPr>
        <w:t>6.公司服务团队素质及</w:t>
      </w:r>
      <w:r>
        <w:rPr>
          <w:rFonts w:hint="eastAsia" w:ascii="宋体" w:hAnsi="宋体"/>
        </w:rPr>
        <w:t>本项目负责人情况表；</w:t>
      </w:r>
      <w:r>
        <w:rPr>
          <w:rFonts w:hint="eastAsia" w:ascii="宋体" w:hAnsi="宋体" w:cs="宋体"/>
          <w:szCs w:val="21"/>
        </w:rPr>
        <w:br w:type="page"/>
      </w:r>
    </w:p>
    <w:p>
      <w:pPr>
        <w:pStyle w:val="2"/>
      </w:pPr>
    </w:p>
    <w:p>
      <w:pPr>
        <w:spacing w:line="360" w:lineRule="auto"/>
        <w:rPr>
          <w:rFonts w:hint="eastAsia" w:ascii="宋体" w:hAnsi="宋体" w:cs="宋体"/>
          <w:szCs w:val="21"/>
        </w:rPr>
      </w:pPr>
      <w:r>
        <w:rPr>
          <w:rFonts w:hint="eastAsia" w:ascii="宋体" w:hAnsi="宋体" w:cs="宋体"/>
          <w:szCs w:val="21"/>
        </w:rPr>
        <w:t>7.外包服务方案；</w:t>
      </w:r>
    </w:p>
    <w:p>
      <w:pPr>
        <w:spacing w:line="360" w:lineRule="auto"/>
        <w:rPr>
          <w:rFonts w:hint="eastAsia" w:ascii="宋体" w:hAnsi="宋体" w:cs="宋体"/>
          <w:szCs w:val="21"/>
        </w:rPr>
      </w:pPr>
      <w:r>
        <w:rPr>
          <w:rFonts w:hint="eastAsia" w:ascii="宋体" w:hAnsi="宋体" w:cs="宋体"/>
          <w:szCs w:val="21"/>
        </w:rPr>
        <w:t>8.企业荣誉情况；</w:t>
      </w:r>
    </w:p>
    <w:p>
      <w:pPr>
        <w:spacing w:line="360" w:lineRule="auto"/>
        <w:rPr>
          <w:rFonts w:hint="eastAsia" w:ascii="宋体" w:hAnsi="宋体" w:cs="宋体"/>
          <w:szCs w:val="21"/>
          <w:lang w:bidi="ar"/>
        </w:rPr>
      </w:pPr>
      <w:r>
        <w:rPr>
          <w:rFonts w:hint="eastAsia" w:ascii="宋体" w:hAnsi="宋体" w:cs="宋体"/>
          <w:szCs w:val="21"/>
          <w:lang w:bidi="ar"/>
        </w:rPr>
        <w:t>9.投标人认为需要补充的其他资料（由投标人自行补充）。</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w:t>
      </w:r>
      <w:r>
        <w:rPr>
          <w:rFonts w:hint="eastAsia" w:ascii="宋体" w:hAnsi="宋体" w:cs="宋体"/>
          <w:kern w:val="0"/>
          <w:szCs w:val="21"/>
        </w:rPr>
        <w:t>投标人在投标文件中不得提供虚假材料，若经招标人发现查实有虚假材料的，将没收投标人的投标保证金，</w:t>
      </w:r>
      <w:r>
        <w:rPr>
          <w:rFonts w:hint="eastAsia" w:ascii="宋体" w:hAnsi="宋体" w:cs="宋体"/>
          <w:kern w:val="0"/>
          <w:szCs w:val="21"/>
          <w:lang w:val="en-US" w:eastAsia="zh-CN"/>
        </w:rPr>
        <w:t>中标</w:t>
      </w:r>
      <w:r>
        <w:rPr>
          <w:rFonts w:hint="eastAsia" w:ascii="宋体" w:hAnsi="宋体" w:cs="宋体"/>
          <w:kern w:val="0"/>
          <w:szCs w:val="21"/>
        </w:rPr>
        <w:t>的，还将取消其</w:t>
      </w:r>
      <w:r>
        <w:rPr>
          <w:rFonts w:hint="eastAsia" w:ascii="宋体" w:hAnsi="宋体" w:cs="宋体"/>
          <w:kern w:val="0"/>
          <w:szCs w:val="21"/>
          <w:lang w:eastAsia="zh-CN"/>
        </w:rPr>
        <w:t>中标</w:t>
      </w:r>
      <w:r>
        <w:rPr>
          <w:rFonts w:hint="eastAsia" w:ascii="宋体" w:hAnsi="宋体" w:cs="宋体"/>
          <w:kern w:val="0"/>
          <w:szCs w:val="21"/>
        </w:rPr>
        <w:t>资格。</w:t>
      </w:r>
    </w:p>
    <w:p>
      <w:pPr>
        <w:rPr>
          <w:rFonts w:hint="eastAsia" w:ascii="宋体" w:hAnsi="宋体"/>
          <w:b/>
          <w:bCs/>
        </w:rPr>
      </w:pPr>
    </w:p>
    <w:p>
      <w:pPr>
        <w:rPr>
          <w:rFonts w:hint="eastAsia" w:ascii="宋体" w:hAnsi="宋体"/>
          <w:b/>
          <w:bCs/>
        </w:rPr>
      </w:pPr>
    </w:p>
    <w:p>
      <w:pPr>
        <w:spacing w:line="400" w:lineRule="exact"/>
      </w:pPr>
      <w:r>
        <w:rPr>
          <w:rFonts w:hint="eastAsia" w:ascii="宋体" w:hAnsi="宋体"/>
          <w:b/>
          <w:bCs/>
        </w:rPr>
        <w:t>以下文本为本投标文件要求的格式：</w:t>
      </w:r>
    </w:p>
    <w:p>
      <w:pPr>
        <w:spacing w:line="400" w:lineRule="exact"/>
      </w:pPr>
    </w:p>
    <w:p>
      <w:pPr>
        <w:spacing w:line="400" w:lineRule="exact"/>
        <w:rPr>
          <w:rFonts w:ascii="Arial" w:hAnsi="Arial" w:eastAsia="黑体"/>
          <w:b/>
          <w:bCs/>
          <w:sz w:val="32"/>
          <w:szCs w:val="21"/>
        </w:rPr>
      </w:pPr>
      <w:bookmarkStart w:id="2239" w:name="_Toc3662"/>
      <w:bookmarkStart w:id="2240" w:name="_Toc17100"/>
      <w:bookmarkStart w:id="2241" w:name="_Toc20920"/>
      <w:bookmarkStart w:id="2242" w:name="_Toc28261"/>
      <w:bookmarkStart w:id="2243" w:name="_Toc14859"/>
      <w:bookmarkStart w:id="2244" w:name="_Toc29975"/>
      <w:bookmarkStart w:id="2245" w:name="_Toc19747"/>
      <w:bookmarkStart w:id="2246" w:name="_Toc7218"/>
      <w:r>
        <w:rPr>
          <w:rFonts w:hint="eastAsia" w:ascii="Arial" w:hAnsi="Arial" w:eastAsia="黑体"/>
          <w:b/>
          <w:bCs/>
          <w:sz w:val="32"/>
          <w:szCs w:val="21"/>
        </w:rPr>
        <w:t>一、资格审查文件</w:t>
      </w:r>
      <w:bookmarkEnd w:id="2239"/>
      <w:bookmarkEnd w:id="2240"/>
      <w:bookmarkEnd w:id="2241"/>
      <w:bookmarkEnd w:id="2242"/>
      <w:bookmarkEnd w:id="2243"/>
      <w:bookmarkEnd w:id="2244"/>
      <w:bookmarkEnd w:id="2245"/>
      <w:bookmarkEnd w:id="2246"/>
    </w:p>
    <w:p>
      <w:pPr>
        <w:pStyle w:val="6"/>
        <w:spacing w:line="400" w:lineRule="exact"/>
        <w:jc w:val="center"/>
      </w:pPr>
      <w:bookmarkStart w:id="2247" w:name="_Toc29969"/>
      <w:bookmarkStart w:id="2248" w:name="_Toc30571"/>
      <w:bookmarkStart w:id="2249" w:name="_Toc23816"/>
      <w:bookmarkStart w:id="2250" w:name="_Toc22377"/>
      <w:bookmarkStart w:id="2251" w:name="_Toc29554"/>
      <w:bookmarkStart w:id="2252" w:name="_Toc19885"/>
      <w:bookmarkStart w:id="2253" w:name="_Toc4659"/>
      <w:bookmarkStart w:id="2254" w:name="_Toc27952"/>
      <w:bookmarkStart w:id="2255" w:name="_Toc23443"/>
      <w:bookmarkStart w:id="2256" w:name="_Toc1763"/>
      <w:bookmarkStart w:id="2257" w:name="_Toc27567"/>
      <w:bookmarkStart w:id="2258" w:name="_Toc4701"/>
      <w:bookmarkStart w:id="2259" w:name="_Toc6037"/>
      <w:bookmarkStart w:id="2260" w:name="_Toc18947"/>
      <w:bookmarkStart w:id="2261" w:name="_Toc5555"/>
      <w:bookmarkStart w:id="2262" w:name="_Toc19272"/>
      <w:bookmarkStart w:id="2263" w:name="_Toc31521"/>
      <w:bookmarkStart w:id="2264" w:name="_Toc11395"/>
      <w:bookmarkStart w:id="2265" w:name="_Toc14776"/>
      <w:bookmarkStart w:id="2266" w:name="_Toc26811"/>
      <w:bookmarkStart w:id="2267" w:name="_Toc25803"/>
      <w:bookmarkStart w:id="2268" w:name="_Toc4327"/>
      <w:bookmarkStart w:id="2269" w:name="_Toc10862"/>
      <w:bookmarkStart w:id="2270" w:name="_Toc28052"/>
      <w:bookmarkStart w:id="2271" w:name="_Toc21188"/>
      <w:bookmarkStart w:id="2272" w:name="_Toc7728"/>
      <w:bookmarkStart w:id="2273" w:name="_Toc14820"/>
      <w:bookmarkStart w:id="2274" w:name="_Toc30095"/>
      <w:bookmarkStart w:id="2275" w:name="_Toc30901"/>
      <w:bookmarkStart w:id="2276" w:name="_Toc20451"/>
      <w:bookmarkStart w:id="2277" w:name="_Toc14011"/>
      <w:bookmarkStart w:id="2278" w:name="_Toc5131"/>
      <w:bookmarkStart w:id="2279" w:name="_Toc9891"/>
      <w:bookmarkStart w:id="2280" w:name="_Toc8778"/>
      <w:bookmarkStart w:id="2281" w:name="_Toc9346"/>
      <w:bookmarkStart w:id="2282" w:name="_Toc17672"/>
      <w:bookmarkStart w:id="2283" w:name="_Toc17436"/>
      <w:bookmarkStart w:id="2284" w:name="_Toc19011"/>
      <w:bookmarkStart w:id="2285" w:name="_Toc26583"/>
      <w:bookmarkStart w:id="2286" w:name="_Toc23793"/>
      <w:bookmarkStart w:id="2287" w:name="_Toc2665"/>
      <w:r>
        <w:rPr>
          <w:rFonts w:hint="eastAsia"/>
        </w:rPr>
        <w:t>1、投标函</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spacing w:line="400" w:lineRule="exact"/>
        <w:rPr>
          <w:szCs w:val="21"/>
        </w:rPr>
      </w:pPr>
      <w:r>
        <w:rPr>
          <w:szCs w:val="21"/>
          <w:u w:val="single"/>
        </w:rPr>
        <w:t xml:space="preserve">                        </w:t>
      </w:r>
      <w:r>
        <w:rPr>
          <w:szCs w:val="21"/>
        </w:rPr>
        <w:t>（</w:t>
      </w:r>
      <w:r>
        <w:rPr>
          <w:rFonts w:hint="eastAsia"/>
          <w:szCs w:val="21"/>
        </w:rPr>
        <w:t>投标</w:t>
      </w:r>
      <w:r>
        <w:rPr>
          <w:szCs w:val="21"/>
        </w:rPr>
        <w:t>人名称）：</w:t>
      </w:r>
    </w:p>
    <w:p>
      <w:pPr>
        <w:spacing w:line="400" w:lineRule="exact"/>
        <w:ind w:firstLine="420" w:firstLineChars="200"/>
        <w:rPr>
          <w:szCs w:val="21"/>
        </w:rPr>
      </w:pPr>
      <w:r>
        <w:rPr>
          <w:szCs w:val="21"/>
        </w:rPr>
        <w:t>1．我方已仔细研究了</w:t>
      </w:r>
      <w:r>
        <w:rPr>
          <w:szCs w:val="21"/>
          <w:u w:val="single"/>
        </w:rPr>
        <w:t xml:space="preserve">          </w:t>
      </w:r>
      <w:r>
        <w:rPr>
          <w:szCs w:val="21"/>
        </w:rPr>
        <w:t>（项目名称）</w:t>
      </w:r>
      <w:r>
        <w:rPr>
          <w:rFonts w:hint="eastAsia"/>
          <w:szCs w:val="21"/>
        </w:rPr>
        <w:t>投标</w:t>
      </w:r>
      <w:r>
        <w:rPr>
          <w:szCs w:val="21"/>
        </w:rPr>
        <w:t>文件的全部内容，愿意以</w:t>
      </w:r>
      <w:r>
        <w:rPr>
          <w:rFonts w:hint="eastAsia"/>
          <w:szCs w:val="21"/>
        </w:rPr>
        <w:t>投标文件规定的内容进行投标</w:t>
      </w:r>
      <w:r>
        <w:rPr>
          <w:szCs w:val="21"/>
        </w:rPr>
        <w:t>，按合同约定实施和完成</w:t>
      </w:r>
      <w:r>
        <w:rPr>
          <w:rFonts w:hint="eastAsia"/>
          <w:szCs w:val="21"/>
        </w:rPr>
        <w:t>项目内容</w:t>
      </w:r>
      <w:r>
        <w:rPr>
          <w:szCs w:val="21"/>
        </w:rPr>
        <w:t>，质量达到</w:t>
      </w:r>
      <w:r>
        <w:rPr>
          <w:szCs w:val="21"/>
          <w:u w:val="single"/>
        </w:rPr>
        <w:t xml:space="preserve">           </w:t>
      </w:r>
      <w:r>
        <w:rPr>
          <w:szCs w:val="21"/>
        </w:rPr>
        <w:t>。</w:t>
      </w:r>
    </w:p>
    <w:p>
      <w:pPr>
        <w:spacing w:line="400" w:lineRule="exact"/>
        <w:ind w:firstLine="420" w:firstLineChars="200"/>
        <w:rPr>
          <w:szCs w:val="21"/>
        </w:rPr>
      </w:pPr>
      <w:r>
        <w:rPr>
          <w:szCs w:val="21"/>
        </w:rPr>
        <w:t>2．我方承诺</w:t>
      </w:r>
      <w:r>
        <w:rPr>
          <w:rFonts w:hint="eastAsia"/>
          <w:szCs w:val="21"/>
        </w:rPr>
        <w:t>同意并按照招标文件的约定进行投标事宜，</w:t>
      </w:r>
      <w:r>
        <w:rPr>
          <w:szCs w:val="21"/>
        </w:rPr>
        <w:t>在</w:t>
      </w:r>
      <w:r>
        <w:rPr>
          <w:rFonts w:hint="eastAsia"/>
          <w:szCs w:val="21"/>
        </w:rPr>
        <w:t>招标文件规定的投标</w:t>
      </w:r>
      <w:r>
        <w:rPr>
          <w:szCs w:val="21"/>
        </w:rPr>
        <w:t>有效期内不修改、撤销</w:t>
      </w:r>
      <w:r>
        <w:rPr>
          <w:rFonts w:hint="eastAsia"/>
          <w:szCs w:val="21"/>
        </w:rPr>
        <w:t>投标</w:t>
      </w:r>
      <w:r>
        <w:rPr>
          <w:szCs w:val="21"/>
        </w:rPr>
        <w:t>文件。</w:t>
      </w:r>
      <w:r>
        <w:rPr>
          <w:rFonts w:hint="eastAsia"/>
          <w:szCs w:val="21"/>
        </w:rPr>
        <w:t>本投标文件的有效期为招标</w:t>
      </w:r>
      <w:r>
        <w:rPr>
          <w:rFonts w:hint="eastAsia" w:ascii="宋体" w:hAnsi="宋体" w:cs="宋体"/>
          <w:szCs w:val="21"/>
        </w:rPr>
        <w:t>文件递交截止时间起90天。</w:t>
      </w:r>
    </w:p>
    <w:p>
      <w:pPr>
        <w:spacing w:line="400" w:lineRule="exact"/>
        <w:ind w:firstLine="420" w:firstLineChars="200"/>
        <w:rPr>
          <w:szCs w:val="21"/>
        </w:rPr>
      </w:pPr>
      <w:r>
        <w:rPr>
          <w:rFonts w:hint="eastAsia"/>
          <w:szCs w:val="21"/>
        </w:rPr>
        <w:t>3．</w:t>
      </w:r>
      <w:r>
        <w:rPr>
          <w:szCs w:val="21"/>
        </w:rPr>
        <w:t>我方</w:t>
      </w:r>
      <w:r>
        <w:rPr>
          <w:rFonts w:hint="eastAsia"/>
          <w:szCs w:val="21"/>
        </w:rPr>
        <w:t>保证在本项目投标中不与其他单位围标、串标，不出让投标资格，不向招标人或评标委员会成员行贿。</w:t>
      </w:r>
    </w:p>
    <w:p>
      <w:pPr>
        <w:spacing w:line="400" w:lineRule="exact"/>
        <w:ind w:firstLine="420" w:firstLineChars="200"/>
        <w:rPr>
          <w:szCs w:val="21"/>
        </w:rPr>
      </w:pPr>
      <w:r>
        <w:rPr>
          <w:rFonts w:hint="eastAsia"/>
          <w:szCs w:val="21"/>
        </w:rPr>
        <w:t>4．近三年内投标人在与招标人人的合作过程当中不存在骗取中标或者不履行合约的行为，且近三年内在经营活动中没有重大违法记录。</w:t>
      </w:r>
    </w:p>
    <w:p>
      <w:pPr>
        <w:spacing w:line="400" w:lineRule="exact"/>
        <w:ind w:firstLine="420" w:firstLineChars="200"/>
        <w:rPr>
          <w:szCs w:val="21"/>
        </w:rPr>
      </w:pPr>
      <w:r>
        <w:rPr>
          <w:rFonts w:hint="eastAsia"/>
          <w:szCs w:val="21"/>
        </w:rPr>
        <w:t>5．我方没有处于被责令停业的状态；没有处于被行政主管部门取消投标资格的处罚期内；没有处于财产被接管、冻结、破产的状态；在投标资格审查截止日期前两年内没有行政主管部门已书面认定的重大质量问题；在人民检察院行贿犯罪档案查询结果中，我方没有在投标资格审查截止时间前两年内被人民法院判决犯有行贿罪的记录。</w:t>
      </w:r>
    </w:p>
    <w:p>
      <w:pPr>
        <w:spacing w:line="400" w:lineRule="exact"/>
        <w:ind w:firstLine="420" w:firstLineChars="200"/>
        <w:rPr>
          <w:szCs w:val="21"/>
        </w:rPr>
      </w:pPr>
      <w:r>
        <w:rPr>
          <w:rFonts w:hint="eastAsia"/>
          <w:szCs w:val="21"/>
        </w:rPr>
        <w:t>6．</w:t>
      </w:r>
      <w:r>
        <w:rPr>
          <w:szCs w:val="21"/>
        </w:rPr>
        <w:t>随同本</w:t>
      </w:r>
      <w:r>
        <w:rPr>
          <w:rFonts w:hint="eastAsia"/>
          <w:szCs w:val="21"/>
        </w:rPr>
        <w:t>投标</w:t>
      </w:r>
      <w:r>
        <w:rPr>
          <w:szCs w:val="21"/>
        </w:rPr>
        <w:t>函提交</w:t>
      </w:r>
      <w:r>
        <w:rPr>
          <w:rFonts w:hint="eastAsia"/>
          <w:szCs w:val="21"/>
        </w:rPr>
        <w:t>投标</w:t>
      </w:r>
      <w:r>
        <w:rPr>
          <w:szCs w:val="21"/>
        </w:rPr>
        <w:t>保证金一份，金额为人民币（大写）</w:t>
      </w:r>
      <w:r>
        <w:rPr>
          <w:szCs w:val="21"/>
          <w:u w:val="single"/>
        </w:rPr>
        <w:t xml:space="preserve">        </w:t>
      </w:r>
      <w:r>
        <w:rPr>
          <w:szCs w:val="21"/>
        </w:rPr>
        <w:t>（¥</w:t>
      </w:r>
      <w:r>
        <w:rPr>
          <w:szCs w:val="21"/>
          <w:u w:val="single"/>
        </w:rPr>
        <w:t xml:space="preserve">  </w:t>
      </w:r>
      <w:r>
        <w:rPr>
          <w:rFonts w:hint="eastAsia"/>
          <w:szCs w:val="21"/>
          <w:u w:val="single"/>
        </w:rPr>
        <w:t xml:space="preserve">   </w:t>
      </w:r>
      <w:r>
        <w:rPr>
          <w:szCs w:val="21"/>
          <w:u w:val="single"/>
        </w:rPr>
        <w:t xml:space="preserve">  </w:t>
      </w:r>
      <w:r>
        <w:rPr>
          <w:szCs w:val="21"/>
        </w:rPr>
        <w:t>）。</w:t>
      </w:r>
    </w:p>
    <w:p>
      <w:pPr>
        <w:spacing w:line="400" w:lineRule="exact"/>
        <w:ind w:firstLine="420" w:firstLineChars="200"/>
        <w:rPr>
          <w:szCs w:val="21"/>
        </w:rPr>
      </w:pPr>
      <w:r>
        <w:rPr>
          <w:rFonts w:hint="eastAsia"/>
          <w:szCs w:val="21"/>
        </w:rPr>
        <w:t>7．</w:t>
      </w:r>
      <w:r>
        <w:rPr>
          <w:szCs w:val="21"/>
        </w:rPr>
        <w:t>如我方</w:t>
      </w:r>
      <w:r>
        <w:rPr>
          <w:rFonts w:hint="eastAsia"/>
          <w:szCs w:val="21"/>
          <w:lang w:val="en-US" w:eastAsia="zh-CN"/>
        </w:rPr>
        <w:t>中标</w:t>
      </w:r>
      <w:r>
        <w:rPr>
          <w:szCs w:val="21"/>
        </w:rPr>
        <w:t>：</w:t>
      </w:r>
    </w:p>
    <w:p>
      <w:pPr>
        <w:spacing w:line="400" w:lineRule="exact"/>
        <w:ind w:firstLine="718" w:firstLineChars="342"/>
        <w:rPr>
          <w:szCs w:val="21"/>
        </w:rPr>
      </w:pPr>
      <w:r>
        <w:rPr>
          <w:szCs w:val="21"/>
        </w:rPr>
        <w:t>（1）我方承诺在收到</w:t>
      </w:r>
      <w:r>
        <w:rPr>
          <w:rFonts w:hint="eastAsia"/>
          <w:szCs w:val="21"/>
          <w:lang w:eastAsia="zh-CN"/>
        </w:rPr>
        <w:t>中标</w:t>
      </w:r>
      <w:r>
        <w:rPr>
          <w:szCs w:val="21"/>
        </w:rPr>
        <w:t>通知书后，在</w:t>
      </w:r>
      <w:r>
        <w:rPr>
          <w:rFonts w:hint="eastAsia"/>
          <w:szCs w:val="21"/>
          <w:lang w:eastAsia="zh-CN"/>
        </w:rPr>
        <w:t>中标</w:t>
      </w:r>
      <w:r>
        <w:rPr>
          <w:szCs w:val="21"/>
        </w:rPr>
        <w:t>通知书规定的期限内与你方签订合同。</w:t>
      </w:r>
    </w:p>
    <w:p>
      <w:pPr>
        <w:spacing w:line="400" w:lineRule="exact"/>
        <w:ind w:firstLine="718" w:firstLineChars="342"/>
        <w:rPr>
          <w:szCs w:val="21"/>
        </w:rPr>
      </w:pPr>
      <w:r>
        <w:rPr>
          <w:szCs w:val="21"/>
        </w:rPr>
        <w:t>（</w:t>
      </w:r>
      <w:r>
        <w:rPr>
          <w:rFonts w:hint="eastAsia"/>
          <w:szCs w:val="21"/>
        </w:rPr>
        <w:t>2</w:t>
      </w:r>
      <w:r>
        <w:rPr>
          <w:szCs w:val="21"/>
        </w:rPr>
        <w:t>）我方承诺在合同约定的期限内完成并移交全部合同</w:t>
      </w:r>
      <w:r>
        <w:rPr>
          <w:rFonts w:hint="eastAsia"/>
          <w:szCs w:val="21"/>
        </w:rPr>
        <w:t>内容</w:t>
      </w:r>
      <w:r>
        <w:rPr>
          <w:szCs w:val="21"/>
        </w:rPr>
        <w:t>。</w:t>
      </w:r>
    </w:p>
    <w:p>
      <w:pPr>
        <w:spacing w:line="400" w:lineRule="exact"/>
        <w:ind w:firstLine="420" w:firstLineChars="200"/>
        <w:rPr>
          <w:szCs w:val="21"/>
        </w:rPr>
      </w:pPr>
      <w:r>
        <w:rPr>
          <w:rFonts w:hint="eastAsia"/>
          <w:szCs w:val="21"/>
        </w:rPr>
        <w:t>8</w:t>
      </w:r>
      <w:r>
        <w:rPr>
          <w:szCs w:val="21"/>
        </w:rPr>
        <w:t>．</w:t>
      </w:r>
      <w:r>
        <w:rPr>
          <w:rFonts w:hint="eastAsia"/>
        </w:rPr>
        <w:t>我方在此声明，所递交的投标文件及有关资料内容完整、真实和准确，且不存在第二章“投标人须知”第1.4.2项和第1.4.3项规定的任何一种情形。</w:t>
      </w:r>
    </w:p>
    <w:p>
      <w:pPr>
        <w:spacing w:line="400" w:lineRule="exact"/>
        <w:ind w:firstLine="420" w:firstLineChars="200"/>
        <w:rPr>
          <w:szCs w:val="21"/>
        </w:rPr>
      </w:pPr>
      <w:r>
        <w:rPr>
          <w:rFonts w:hint="eastAsia"/>
          <w:szCs w:val="21"/>
        </w:rPr>
        <w:t>9．</w:t>
      </w:r>
      <w:r>
        <w:rPr>
          <w:szCs w:val="21"/>
          <w:u w:val="single"/>
        </w:rPr>
        <w:t xml:space="preserve">                                       </w:t>
      </w:r>
      <w:r>
        <w:rPr>
          <w:szCs w:val="21"/>
        </w:rPr>
        <w:t>（</w:t>
      </w:r>
      <w:r>
        <w:rPr>
          <w:rFonts w:hint="eastAsia"/>
          <w:szCs w:val="21"/>
        </w:rPr>
        <w:t>其他</w:t>
      </w:r>
      <w:r>
        <w:rPr>
          <w:szCs w:val="21"/>
        </w:rPr>
        <w:t>补充说明）。</w:t>
      </w:r>
    </w:p>
    <w:p>
      <w:pPr>
        <w:spacing w:line="400" w:lineRule="exact"/>
        <w:ind w:firstLine="3675" w:firstLineChars="1750"/>
        <w:rPr>
          <w:szCs w:val="21"/>
        </w:rPr>
      </w:pPr>
      <w:r>
        <w:rPr>
          <w:rFonts w:hint="eastAsia"/>
          <w:szCs w:val="21"/>
        </w:rPr>
        <w:t>参</w:t>
      </w:r>
      <w:r>
        <w:rPr>
          <w:szCs w:val="21"/>
        </w:rPr>
        <w:t xml:space="preserve"> </w:t>
      </w:r>
      <w:r>
        <w:rPr>
          <w:rFonts w:hint="eastAsia"/>
          <w:szCs w:val="21"/>
        </w:rPr>
        <w:t>选</w:t>
      </w:r>
      <w:r>
        <w:rPr>
          <w:szCs w:val="21"/>
        </w:rPr>
        <w:t xml:space="preserve"> 人：</w:t>
      </w:r>
      <w:r>
        <w:rPr>
          <w:szCs w:val="21"/>
          <w:u w:val="single"/>
        </w:rPr>
        <w:t xml:space="preserve">                      </w:t>
      </w:r>
      <w:r>
        <w:rPr>
          <w:szCs w:val="21"/>
        </w:rPr>
        <w:t>（盖单位章）</w:t>
      </w:r>
    </w:p>
    <w:p>
      <w:pPr>
        <w:spacing w:line="400" w:lineRule="exact"/>
        <w:ind w:firstLine="3675" w:firstLineChars="1750"/>
        <w:rPr>
          <w:szCs w:val="21"/>
        </w:rPr>
      </w:pPr>
      <w:r>
        <w:rPr>
          <w:szCs w:val="21"/>
        </w:rPr>
        <w:t>法定代表人或其委托代理人：</w:t>
      </w:r>
      <w:r>
        <w:rPr>
          <w:szCs w:val="21"/>
          <w:u w:val="single"/>
        </w:rPr>
        <w:t xml:space="preserve">      </w:t>
      </w:r>
      <w:r>
        <w:rPr>
          <w:rFonts w:hint="eastAsia"/>
          <w:szCs w:val="21"/>
          <w:u w:val="single"/>
        </w:rPr>
        <w:t xml:space="preserve">   </w:t>
      </w:r>
      <w:r>
        <w:rPr>
          <w:szCs w:val="21"/>
          <w:u w:val="single"/>
        </w:rPr>
        <w:t xml:space="preserve"> </w:t>
      </w:r>
      <w:r>
        <w:rPr>
          <w:szCs w:val="21"/>
        </w:rPr>
        <w:t>（签字）</w:t>
      </w:r>
    </w:p>
    <w:p>
      <w:pPr>
        <w:spacing w:line="400" w:lineRule="exact"/>
        <w:ind w:firstLine="3675" w:firstLineChars="1750"/>
        <w:rPr>
          <w:szCs w:val="21"/>
        </w:rPr>
      </w:pPr>
      <w:r>
        <w:rPr>
          <w:szCs w:val="21"/>
        </w:rPr>
        <w:t>地址：</w:t>
      </w:r>
      <w:r>
        <w:rPr>
          <w:szCs w:val="21"/>
          <w:u w:val="single"/>
        </w:rPr>
        <w:t xml:space="preserve">                                     </w:t>
      </w:r>
    </w:p>
    <w:p>
      <w:pPr>
        <w:spacing w:line="400" w:lineRule="exact"/>
        <w:ind w:firstLine="3675" w:firstLineChars="1750"/>
        <w:rPr>
          <w:szCs w:val="21"/>
        </w:rPr>
      </w:pPr>
      <w:r>
        <w:rPr>
          <w:szCs w:val="21"/>
        </w:rPr>
        <w:t>网址：</w:t>
      </w:r>
      <w:r>
        <w:rPr>
          <w:szCs w:val="21"/>
          <w:u w:val="single"/>
        </w:rPr>
        <w:t xml:space="preserve">                                     </w:t>
      </w:r>
    </w:p>
    <w:p>
      <w:pPr>
        <w:spacing w:line="400" w:lineRule="exact"/>
        <w:ind w:firstLine="3675" w:firstLineChars="1750"/>
        <w:rPr>
          <w:szCs w:val="21"/>
        </w:rPr>
      </w:pPr>
      <w:r>
        <w:rPr>
          <w:szCs w:val="21"/>
        </w:rPr>
        <w:t>电话：</w:t>
      </w:r>
      <w:r>
        <w:rPr>
          <w:szCs w:val="21"/>
          <w:u w:val="single"/>
        </w:rPr>
        <w:t xml:space="preserve">                                     </w:t>
      </w:r>
    </w:p>
    <w:p>
      <w:pPr>
        <w:spacing w:line="400" w:lineRule="exact"/>
        <w:ind w:firstLine="3675" w:firstLineChars="1750"/>
        <w:rPr>
          <w:szCs w:val="21"/>
        </w:rPr>
      </w:pPr>
      <w:r>
        <w:rPr>
          <w:szCs w:val="21"/>
        </w:rPr>
        <w:t>传真：</w:t>
      </w:r>
      <w:r>
        <w:rPr>
          <w:szCs w:val="21"/>
          <w:u w:val="single"/>
        </w:rPr>
        <w:t xml:space="preserve">                                     </w:t>
      </w:r>
    </w:p>
    <w:p>
      <w:pPr>
        <w:spacing w:line="400" w:lineRule="exact"/>
        <w:ind w:firstLine="3675" w:firstLineChars="1750"/>
        <w:rPr>
          <w:szCs w:val="21"/>
        </w:rPr>
      </w:pPr>
      <w:r>
        <w:rPr>
          <w:szCs w:val="21"/>
        </w:rPr>
        <w:t>邮政编码：</w:t>
      </w:r>
      <w:r>
        <w:rPr>
          <w:szCs w:val="21"/>
          <w:u w:val="single"/>
        </w:rPr>
        <w:t xml:space="preserve">                                 </w:t>
      </w:r>
    </w:p>
    <w:p>
      <w:pPr>
        <w:spacing w:line="400" w:lineRule="exact"/>
        <w:ind w:firstLine="5040" w:firstLineChars="2400"/>
        <w:rPr>
          <w:szCs w:val="21"/>
        </w:rPr>
      </w:pPr>
      <w:r>
        <w:rPr>
          <w:rFonts w:hint="eastAsia"/>
          <w:szCs w:val="21"/>
          <w:u w:val="single"/>
        </w:rPr>
        <w:t xml:space="preserve">        </w:t>
      </w:r>
      <w:r>
        <w:rPr>
          <w:szCs w:val="21"/>
        </w:rPr>
        <w:t>年</w:t>
      </w:r>
      <w:r>
        <w:rPr>
          <w:rFonts w:hint="eastAsia"/>
          <w:szCs w:val="21"/>
          <w:u w:val="single"/>
        </w:rPr>
        <w:t xml:space="preserve">        </w:t>
      </w:r>
      <w:r>
        <w:rPr>
          <w:szCs w:val="21"/>
        </w:rPr>
        <w:t>月</w:t>
      </w:r>
      <w:r>
        <w:rPr>
          <w:rFonts w:hint="eastAsia"/>
          <w:szCs w:val="21"/>
          <w:u w:val="single"/>
        </w:rPr>
        <w:t xml:space="preserve">        </w:t>
      </w:r>
      <w:r>
        <w:rPr>
          <w:szCs w:val="21"/>
        </w:rPr>
        <w:t>日</w:t>
      </w:r>
    </w:p>
    <w:p>
      <w:pPr>
        <w:spacing w:line="276" w:lineRule="auto"/>
        <w:ind w:firstLine="2249" w:firstLineChars="700"/>
        <w:rPr>
          <w:rFonts w:hint="eastAsia" w:ascii="宋体" w:hAnsi="宋体"/>
          <w:b/>
          <w:bCs/>
          <w:sz w:val="32"/>
          <w:szCs w:val="32"/>
        </w:rPr>
      </w:pPr>
      <w:bookmarkStart w:id="2288" w:name="_Toc8938"/>
      <w:bookmarkStart w:id="2289" w:name="_Toc6251"/>
      <w:bookmarkStart w:id="2290" w:name="_Toc25357"/>
      <w:bookmarkStart w:id="2291" w:name="_Toc6188"/>
      <w:bookmarkStart w:id="2292" w:name="_Toc3545"/>
      <w:bookmarkStart w:id="2293" w:name="_Toc27831"/>
      <w:bookmarkStart w:id="2294" w:name="_Toc1789"/>
      <w:bookmarkStart w:id="2295" w:name="_Toc10448"/>
      <w:bookmarkStart w:id="2296" w:name="_Toc3870"/>
      <w:bookmarkStart w:id="2297" w:name="_Toc13418"/>
      <w:bookmarkStart w:id="2298" w:name="_Toc17824"/>
      <w:bookmarkStart w:id="2299" w:name="_Toc24830"/>
      <w:bookmarkStart w:id="2300" w:name="_Toc7642"/>
      <w:bookmarkStart w:id="2301" w:name="_Toc30446"/>
      <w:bookmarkStart w:id="2302" w:name="_Toc1595"/>
      <w:bookmarkStart w:id="2303" w:name="_Toc12148"/>
      <w:bookmarkStart w:id="2304" w:name="_Toc29480"/>
      <w:bookmarkStart w:id="2305" w:name="_Toc17328"/>
      <w:bookmarkStart w:id="2306" w:name="_Toc29580"/>
      <w:bookmarkStart w:id="2307" w:name="_Toc12051"/>
      <w:bookmarkStart w:id="2308" w:name="_Toc29318"/>
      <w:bookmarkStart w:id="2309" w:name="_Toc14732"/>
      <w:bookmarkStart w:id="2310" w:name="_Toc3718"/>
      <w:bookmarkStart w:id="2311" w:name="_Toc19178"/>
      <w:bookmarkStart w:id="2312" w:name="_Toc27850"/>
      <w:bookmarkStart w:id="2313" w:name="_Toc17089"/>
      <w:bookmarkStart w:id="2314" w:name="_Toc13553"/>
      <w:bookmarkStart w:id="2315" w:name="_Toc31885"/>
      <w:bookmarkStart w:id="2316" w:name="_Toc21069"/>
      <w:bookmarkStart w:id="2317" w:name="_Toc16317"/>
      <w:bookmarkStart w:id="2318" w:name="_Toc6158"/>
      <w:bookmarkStart w:id="2319" w:name="_Toc15120"/>
      <w:bookmarkStart w:id="2320" w:name="_Toc8533"/>
      <w:bookmarkStart w:id="2321" w:name="_Toc12629"/>
      <w:bookmarkStart w:id="2322" w:name="_Toc18323"/>
      <w:bookmarkStart w:id="2323" w:name="_Toc29457"/>
      <w:bookmarkStart w:id="2324" w:name="_Toc32090"/>
      <w:bookmarkStart w:id="2325" w:name="_Toc7230"/>
      <w:bookmarkStart w:id="2326" w:name="_Toc8769"/>
      <w:bookmarkStart w:id="2327" w:name="_Toc26751"/>
    </w:p>
    <w:p>
      <w:pPr>
        <w:spacing w:line="276" w:lineRule="auto"/>
        <w:ind w:firstLine="2249" w:firstLineChars="700"/>
        <w:rPr>
          <w:rFonts w:hint="eastAsia" w:ascii="宋体" w:hAnsi="宋体"/>
          <w:b/>
          <w:bCs/>
          <w:sz w:val="32"/>
          <w:szCs w:val="32"/>
        </w:rPr>
      </w:pPr>
      <w:r>
        <w:rPr>
          <w:rFonts w:hint="eastAsia" w:ascii="宋体" w:hAnsi="宋体"/>
          <w:b/>
          <w:bCs/>
          <w:sz w:val="32"/>
          <w:szCs w:val="32"/>
        </w:rPr>
        <w:t>2、法定代表人证明书</w:t>
      </w:r>
    </w:p>
    <w:p>
      <w:pPr>
        <w:spacing w:line="360" w:lineRule="auto"/>
        <w:rPr>
          <w:szCs w:val="21"/>
        </w:rPr>
      </w:pPr>
      <w:r>
        <w:rPr>
          <w:rFonts w:hint="eastAsia"/>
          <w:szCs w:val="21"/>
        </w:rPr>
        <w:t>投标</w:t>
      </w:r>
      <w:r>
        <w:rPr>
          <w:szCs w:val="21"/>
        </w:rPr>
        <w:t>人名称：</w:t>
      </w:r>
      <w:r>
        <w:rPr>
          <w:szCs w:val="21"/>
          <w:u w:val="single"/>
        </w:rPr>
        <w:t xml:space="preserve">                            </w:t>
      </w:r>
      <w:r>
        <w:rPr>
          <w:szCs w:val="21"/>
        </w:rPr>
        <w:t xml:space="preserve"> </w:t>
      </w:r>
    </w:p>
    <w:p>
      <w:pPr>
        <w:spacing w:line="360" w:lineRule="auto"/>
        <w:rPr>
          <w:szCs w:val="21"/>
        </w:rPr>
      </w:pPr>
      <w:r>
        <w:rPr>
          <w:szCs w:val="21"/>
        </w:rPr>
        <w:t>单位性质：</w:t>
      </w:r>
      <w:r>
        <w:rPr>
          <w:szCs w:val="21"/>
          <w:u w:val="single"/>
        </w:rPr>
        <w:t xml:space="preserve">                               </w:t>
      </w:r>
      <w:r>
        <w:rPr>
          <w:szCs w:val="21"/>
        </w:rPr>
        <w:t xml:space="preserve"> </w:t>
      </w:r>
    </w:p>
    <w:p>
      <w:pPr>
        <w:spacing w:line="360" w:lineRule="auto"/>
        <w:rPr>
          <w:szCs w:val="21"/>
        </w:rPr>
      </w:pPr>
      <w:r>
        <w:rPr>
          <w:szCs w:val="21"/>
        </w:rPr>
        <w:t>地址：</w:t>
      </w:r>
      <w:r>
        <w:rPr>
          <w:szCs w:val="21"/>
          <w:u w:val="single"/>
        </w:rPr>
        <w:t xml:space="preserve">                                   </w:t>
      </w:r>
    </w:p>
    <w:p>
      <w:pPr>
        <w:spacing w:line="360" w:lineRule="auto"/>
        <w:rPr>
          <w:szCs w:val="21"/>
        </w:rPr>
      </w:pPr>
      <w:r>
        <w:rPr>
          <w:szCs w:val="21"/>
        </w:rPr>
        <w:t>成立时间：</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pPr>
        <w:spacing w:line="360" w:lineRule="auto"/>
        <w:rPr>
          <w:szCs w:val="21"/>
        </w:rPr>
      </w:pPr>
      <w:r>
        <w:rPr>
          <w:szCs w:val="21"/>
        </w:rPr>
        <w:t>经营期限：</w:t>
      </w:r>
      <w:r>
        <w:rPr>
          <w:szCs w:val="21"/>
          <w:u w:val="single"/>
        </w:rPr>
        <w:t xml:space="preserve">                               </w:t>
      </w:r>
    </w:p>
    <w:p>
      <w:pPr>
        <w:spacing w:line="360" w:lineRule="auto"/>
        <w:rPr>
          <w:szCs w:val="21"/>
        </w:rPr>
      </w:pPr>
    </w:p>
    <w:p>
      <w:pPr>
        <w:spacing w:line="360" w:lineRule="auto"/>
        <w:rPr>
          <w:szCs w:val="21"/>
        </w:rPr>
      </w:pPr>
      <w:r>
        <w:rPr>
          <w:szCs w:val="21"/>
        </w:rPr>
        <w:t>姓名：</w:t>
      </w:r>
      <w:r>
        <w:rPr>
          <w:szCs w:val="21"/>
          <w:u w:val="single"/>
        </w:rPr>
        <w:t xml:space="preserve">        </w:t>
      </w:r>
      <w:r>
        <w:rPr>
          <w:rFonts w:hint="eastAsia"/>
          <w:szCs w:val="21"/>
          <w:u w:val="single"/>
        </w:rPr>
        <w:t xml:space="preserve"> </w:t>
      </w:r>
      <w:r>
        <w:rPr>
          <w:szCs w:val="21"/>
        </w:rPr>
        <w:t xml:space="preserve"> 性别：</w:t>
      </w:r>
      <w:r>
        <w:rPr>
          <w:szCs w:val="21"/>
          <w:u w:val="single"/>
        </w:rPr>
        <w:t xml:space="preserve">         </w:t>
      </w:r>
      <w:r>
        <w:rPr>
          <w:szCs w:val="21"/>
        </w:rPr>
        <w:t>年龄：</w:t>
      </w:r>
      <w:r>
        <w:rPr>
          <w:szCs w:val="21"/>
          <w:u w:val="single"/>
        </w:rPr>
        <w:t xml:space="preserve">        </w:t>
      </w:r>
      <w:r>
        <w:rPr>
          <w:szCs w:val="21"/>
        </w:rPr>
        <w:t>职务：</w:t>
      </w:r>
      <w:r>
        <w:rPr>
          <w:szCs w:val="21"/>
          <w:u w:val="single"/>
        </w:rPr>
        <w:t xml:space="preserve">        </w:t>
      </w:r>
    </w:p>
    <w:p>
      <w:pPr>
        <w:spacing w:line="360" w:lineRule="auto"/>
        <w:rPr>
          <w:szCs w:val="21"/>
        </w:rPr>
      </w:pPr>
      <w:r>
        <w:rPr>
          <w:szCs w:val="21"/>
        </w:rPr>
        <w:t>系</w:t>
      </w:r>
      <w:r>
        <w:rPr>
          <w:szCs w:val="21"/>
          <w:u w:val="single"/>
        </w:rPr>
        <w:t xml:space="preserve">                             </w:t>
      </w:r>
      <w:r>
        <w:rPr>
          <w:szCs w:val="21"/>
        </w:rPr>
        <w:t xml:space="preserve"> </w:t>
      </w:r>
      <w:r>
        <w:rPr>
          <w:rFonts w:hint="eastAsia"/>
          <w:szCs w:val="21"/>
        </w:rPr>
        <w:t>（投标</w:t>
      </w:r>
      <w:r>
        <w:rPr>
          <w:szCs w:val="21"/>
        </w:rPr>
        <w:t>人名称</w:t>
      </w:r>
      <w:r>
        <w:rPr>
          <w:rFonts w:hint="eastAsia"/>
          <w:szCs w:val="21"/>
        </w:rPr>
        <w:t>）</w:t>
      </w:r>
      <w:r>
        <w:rPr>
          <w:szCs w:val="21"/>
        </w:rPr>
        <w:t>的法定代表人。</w:t>
      </w:r>
    </w:p>
    <w:p>
      <w:pPr>
        <w:spacing w:line="360" w:lineRule="auto"/>
        <w:ind w:firstLine="420" w:firstLineChars="200"/>
        <w:rPr>
          <w:szCs w:val="21"/>
        </w:rPr>
      </w:pPr>
      <w:r>
        <w:rPr>
          <w:szCs w:val="21"/>
        </w:rPr>
        <w:t>特此证明。</w:t>
      </w:r>
    </w:p>
    <w:p>
      <w:pPr>
        <w:spacing w:line="360" w:lineRule="auto"/>
        <w:jc w:val="right"/>
      </w:pPr>
      <w:r>
        <w:t xml:space="preserve">                       </w:t>
      </w:r>
      <w:r>
        <w:rPr>
          <w:rFonts w:hint="eastAsia"/>
        </w:rPr>
        <w:t xml:space="preserve">              </w:t>
      </w:r>
      <w:r>
        <w:t xml:space="preserve"> </w:t>
      </w:r>
      <w:r>
        <w:rPr>
          <w:rFonts w:hint="eastAsia"/>
        </w:rPr>
        <w:t>投标</w:t>
      </w:r>
      <w:r>
        <w:t>人：</w:t>
      </w:r>
      <w:r>
        <w:rPr>
          <w:u w:val="single"/>
        </w:rPr>
        <w:t xml:space="preserve">                 </w:t>
      </w:r>
      <w:r>
        <w:t>（盖单位章）</w:t>
      </w:r>
    </w:p>
    <w:p>
      <w:pPr>
        <w:spacing w:line="360" w:lineRule="auto"/>
        <w:jc w:val="right"/>
      </w:pPr>
    </w:p>
    <w:p>
      <w:pPr>
        <w:spacing w:line="360" w:lineRule="auto"/>
        <w:jc w:val="right"/>
      </w:pPr>
      <w:r>
        <w:t xml:space="preserve">      </w:t>
      </w:r>
      <w:r>
        <w:rPr>
          <w:u w:val="single"/>
        </w:rPr>
        <w:t xml:space="preserve">       </w:t>
      </w:r>
      <w:r>
        <w:rPr>
          <w:rFonts w:hint="eastAsia"/>
          <w:u w:val="single"/>
        </w:rPr>
        <w:t xml:space="preserve">  </w:t>
      </w:r>
      <w:r>
        <w:t>年</w:t>
      </w:r>
      <w:r>
        <w:rPr>
          <w:u w:val="single"/>
        </w:rPr>
        <w:t xml:space="preserve">       </w:t>
      </w:r>
      <w:r>
        <w:t>月</w:t>
      </w:r>
      <w:r>
        <w:rPr>
          <w:u w:val="single"/>
        </w:rPr>
        <w:t xml:space="preserve">       </w:t>
      </w:r>
      <w:r>
        <w:t>日</w:t>
      </w:r>
    </w:p>
    <w:p>
      <w:pPr>
        <w:pStyle w:val="5"/>
        <w:spacing w:line="360" w:lineRule="auto"/>
        <w:ind w:firstLine="3961" w:firstLineChars="1233"/>
        <w:jc w:val="center"/>
        <w:sectPr>
          <w:pgSz w:w="11906" w:h="16838"/>
          <w:pgMar w:top="1100" w:right="1797" w:bottom="703" w:left="1797" w:header="851" w:footer="992" w:gutter="0"/>
          <w:cols w:space="720" w:num="1"/>
          <w:docGrid w:type="lines" w:linePitch="312" w:charSpace="0"/>
        </w:sectPr>
      </w:pPr>
    </w:p>
    <w:p>
      <w:pPr>
        <w:spacing w:line="276" w:lineRule="auto"/>
        <w:ind w:firstLine="2891" w:firstLineChars="900"/>
        <w:rPr>
          <w:rFonts w:hint="eastAsia" w:ascii="宋体" w:hAnsi="宋体"/>
          <w:b/>
          <w:bCs/>
          <w:sz w:val="32"/>
          <w:szCs w:val="32"/>
        </w:rPr>
      </w:pPr>
      <w:r>
        <w:rPr>
          <w:rFonts w:hint="eastAsia" w:ascii="宋体" w:hAnsi="宋体"/>
          <w:b/>
          <w:bCs/>
          <w:sz w:val="32"/>
          <w:szCs w:val="32"/>
        </w:rPr>
        <w:t>3、授权委托书</w:t>
      </w:r>
    </w:p>
    <w:p>
      <w:pPr>
        <w:topLinePunct/>
        <w:spacing w:line="500" w:lineRule="exact"/>
        <w:ind w:firstLine="420" w:firstLineChars="200"/>
        <w:jc w:val="left"/>
        <w:rPr>
          <w:szCs w:val="21"/>
        </w:rPr>
      </w:pPr>
      <w:r>
        <w:rPr>
          <w:szCs w:val="21"/>
        </w:rPr>
        <w:t>本人</w:t>
      </w:r>
      <w:r>
        <w:rPr>
          <w:szCs w:val="21"/>
          <w:u w:val="single"/>
        </w:rPr>
        <w:t xml:space="preserve">       </w:t>
      </w:r>
      <w:r>
        <w:rPr>
          <w:szCs w:val="21"/>
        </w:rPr>
        <w:t>（姓名）系</w:t>
      </w:r>
      <w:r>
        <w:rPr>
          <w:szCs w:val="21"/>
          <w:u w:val="single"/>
        </w:rPr>
        <w:t xml:space="preserve">        </w:t>
      </w:r>
      <w:r>
        <w:rPr>
          <w:szCs w:val="21"/>
        </w:rPr>
        <w:t>（</w:t>
      </w:r>
      <w:r>
        <w:rPr>
          <w:rFonts w:hint="eastAsia"/>
          <w:szCs w:val="21"/>
        </w:rPr>
        <w:t>投标</w:t>
      </w:r>
      <w:r>
        <w:rPr>
          <w:szCs w:val="21"/>
        </w:rPr>
        <w:t>人名称）的法定代表人，现委托</w:t>
      </w:r>
      <w:r>
        <w:rPr>
          <w:szCs w:val="21"/>
          <w:u w:val="single"/>
        </w:rPr>
        <w:t xml:space="preserve">        </w:t>
      </w:r>
      <w:r>
        <w:rPr>
          <w:szCs w:val="21"/>
        </w:rPr>
        <w:t>（姓名）为我方代理人。代理人根据授权，以我方名义签署、澄清</w:t>
      </w:r>
      <w:r>
        <w:rPr>
          <w:rFonts w:hint="eastAsia"/>
          <w:szCs w:val="21"/>
        </w:rPr>
        <w:t>、说明、补正</w:t>
      </w:r>
      <w:r>
        <w:rPr>
          <w:szCs w:val="21"/>
        </w:rPr>
        <w:t>、递交、撤回、修改</w:t>
      </w:r>
      <w:r>
        <w:rPr>
          <w:szCs w:val="21"/>
          <w:u w:val="single"/>
        </w:rPr>
        <w:t xml:space="preserve">           </w:t>
      </w:r>
      <w:r>
        <w:rPr>
          <w:szCs w:val="21"/>
        </w:rPr>
        <w:t>（项目名称）</w:t>
      </w:r>
      <w:r>
        <w:rPr>
          <w:rFonts w:hint="eastAsia"/>
          <w:szCs w:val="21"/>
        </w:rPr>
        <w:t>投标</w:t>
      </w:r>
      <w:r>
        <w:rPr>
          <w:szCs w:val="21"/>
        </w:rPr>
        <w:t>文件、签订合同和处理有关事宜，其法律后果由我方承担。</w:t>
      </w:r>
    </w:p>
    <w:p>
      <w:pPr>
        <w:spacing w:line="500" w:lineRule="exact"/>
        <w:jc w:val="left"/>
        <w:rPr>
          <w:szCs w:val="21"/>
        </w:rPr>
      </w:pPr>
      <w:r>
        <w:rPr>
          <w:szCs w:val="21"/>
        </w:rPr>
        <w:t xml:space="preserve">    委托期限：</w:t>
      </w:r>
      <w:r>
        <w:rPr>
          <w:szCs w:val="21"/>
          <w:u w:val="single"/>
        </w:rPr>
        <w:t xml:space="preserve">             </w:t>
      </w:r>
      <w:r>
        <w:rPr>
          <w:rFonts w:hint="eastAsia"/>
          <w:szCs w:val="21"/>
        </w:rPr>
        <w:t>。</w:t>
      </w:r>
    </w:p>
    <w:p>
      <w:pPr>
        <w:spacing w:line="500" w:lineRule="exact"/>
        <w:ind w:firstLine="420" w:firstLineChars="200"/>
        <w:jc w:val="left"/>
        <w:rPr>
          <w:szCs w:val="21"/>
        </w:rPr>
      </w:pPr>
      <w:r>
        <w:rPr>
          <w:szCs w:val="21"/>
        </w:rPr>
        <w:t>代理人无转委托权。</w:t>
      </w:r>
    </w:p>
    <w:p>
      <w:pPr>
        <w:pStyle w:val="2"/>
        <w:spacing w:line="500" w:lineRule="exact"/>
        <w:jc w:val="left"/>
      </w:pPr>
    </w:p>
    <w:p>
      <w:pPr>
        <w:spacing w:line="500" w:lineRule="exact"/>
        <w:ind w:firstLine="422" w:firstLineChars="200"/>
        <w:jc w:val="left"/>
        <w:rPr>
          <w:szCs w:val="21"/>
        </w:rPr>
      </w:pPr>
      <w:r>
        <w:rPr>
          <w:rFonts w:hint="eastAsia"/>
          <w:b/>
          <w:bCs/>
          <w:szCs w:val="21"/>
        </w:rPr>
        <w:t>附：法定代表人身份证明复印件、</w:t>
      </w:r>
      <w:r>
        <w:rPr>
          <w:b/>
          <w:bCs/>
          <w:szCs w:val="21"/>
        </w:rPr>
        <w:t>委托代理人</w:t>
      </w:r>
      <w:r>
        <w:rPr>
          <w:rFonts w:hint="eastAsia"/>
          <w:b/>
          <w:bCs/>
          <w:szCs w:val="21"/>
        </w:rPr>
        <w:t>身份证明复印件</w:t>
      </w:r>
    </w:p>
    <w:p>
      <w:pPr>
        <w:pStyle w:val="2"/>
        <w:spacing w:line="500" w:lineRule="exact"/>
        <w:jc w:val="left"/>
      </w:pPr>
    </w:p>
    <w:p>
      <w:pPr>
        <w:spacing w:line="500" w:lineRule="exact"/>
        <w:jc w:val="left"/>
        <w:rPr>
          <w:szCs w:val="21"/>
        </w:rPr>
      </w:pPr>
      <w:r>
        <w:rPr>
          <w:rFonts w:hint="eastAsia"/>
          <w:szCs w:val="21"/>
        </w:rPr>
        <w:t>投标</w:t>
      </w:r>
      <w:r>
        <w:rPr>
          <w:szCs w:val="21"/>
        </w:rPr>
        <w:t>人：</w:t>
      </w:r>
      <w:r>
        <w:rPr>
          <w:szCs w:val="21"/>
          <w:u w:val="single"/>
        </w:rPr>
        <w:t xml:space="preserve">                               </w:t>
      </w:r>
      <w:r>
        <w:rPr>
          <w:szCs w:val="21"/>
        </w:rPr>
        <w:t>（盖单位章）</w:t>
      </w:r>
    </w:p>
    <w:p>
      <w:pPr>
        <w:spacing w:line="500" w:lineRule="exact"/>
        <w:jc w:val="left"/>
        <w:rPr>
          <w:szCs w:val="21"/>
        </w:rPr>
      </w:pPr>
    </w:p>
    <w:p>
      <w:pPr>
        <w:spacing w:line="500" w:lineRule="exact"/>
        <w:jc w:val="left"/>
        <w:rPr>
          <w:szCs w:val="21"/>
        </w:rPr>
      </w:pPr>
      <w:r>
        <w:rPr>
          <w:szCs w:val="21"/>
        </w:rPr>
        <w:t>法定代表人：</w:t>
      </w:r>
      <w:r>
        <w:rPr>
          <w:szCs w:val="21"/>
          <w:u w:val="single"/>
        </w:rPr>
        <w:t xml:space="preserve">                               </w:t>
      </w:r>
      <w:r>
        <w:rPr>
          <w:szCs w:val="21"/>
        </w:rPr>
        <w:t>（签字）</w:t>
      </w:r>
    </w:p>
    <w:p>
      <w:pPr>
        <w:spacing w:line="500" w:lineRule="exact"/>
        <w:jc w:val="left"/>
        <w:rPr>
          <w:szCs w:val="21"/>
        </w:rPr>
      </w:pPr>
    </w:p>
    <w:p>
      <w:pPr>
        <w:spacing w:line="500" w:lineRule="exact"/>
        <w:jc w:val="left"/>
        <w:rPr>
          <w:szCs w:val="21"/>
        </w:rPr>
      </w:pPr>
      <w:r>
        <w:rPr>
          <w:szCs w:val="21"/>
        </w:rPr>
        <w:t>身份证号码：</w:t>
      </w:r>
      <w:r>
        <w:rPr>
          <w:szCs w:val="21"/>
          <w:u w:val="single"/>
        </w:rPr>
        <w:t xml:space="preserve">                                     </w:t>
      </w:r>
    </w:p>
    <w:p>
      <w:pPr>
        <w:spacing w:line="500" w:lineRule="exact"/>
        <w:jc w:val="left"/>
        <w:rPr>
          <w:szCs w:val="21"/>
        </w:rPr>
      </w:pPr>
    </w:p>
    <w:p>
      <w:pPr>
        <w:spacing w:line="500" w:lineRule="exact"/>
        <w:jc w:val="left"/>
        <w:rPr>
          <w:szCs w:val="21"/>
        </w:rPr>
      </w:pPr>
      <w:r>
        <w:rPr>
          <w:szCs w:val="21"/>
        </w:rPr>
        <w:t>委托代理人：</w:t>
      </w:r>
      <w:r>
        <w:rPr>
          <w:szCs w:val="21"/>
          <w:u w:val="single"/>
        </w:rPr>
        <w:t xml:space="preserve">                                   </w:t>
      </w:r>
      <w:r>
        <w:rPr>
          <w:szCs w:val="21"/>
        </w:rPr>
        <w:t xml:space="preserve">（签字） </w:t>
      </w:r>
    </w:p>
    <w:p>
      <w:pPr>
        <w:spacing w:line="500" w:lineRule="exact"/>
        <w:jc w:val="left"/>
        <w:rPr>
          <w:szCs w:val="21"/>
        </w:rPr>
      </w:pPr>
    </w:p>
    <w:p>
      <w:pPr>
        <w:spacing w:line="500" w:lineRule="exact"/>
        <w:jc w:val="left"/>
        <w:rPr>
          <w:szCs w:val="21"/>
        </w:rPr>
      </w:pPr>
      <w:r>
        <w:rPr>
          <w:szCs w:val="21"/>
        </w:rPr>
        <w:t>身份证号码：</w:t>
      </w:r>
      <w:r>
        <w:rPr>
          <w:szCs w:val="21"/>
          <w:u w:val="single"/>
        </w:rPr>
        <w:t xml:space="preserve">                                      </w:t>
      </w:r>
    </w:p>
    <w:p>
      <w:pPr>
        <w:spacing w:line="500" w:lineRule="exact"/>
        <w:jc w:val="left"/>
        <w:rPr>
          <w:szCs w:val="21"/>
        </w:rPr>
      </w:pPr>
    </w:p>
    <w:p>
      <w:pPr>
        <w:spacing w:line="500" w:lineRule="exact"/>
        <w:ind w:firstLine="4620" w:firstLineChars="2200"/>
        <w:jc w:val="left"/>
      </w:pP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tbl>
      <w:tblPr>
        <w:tblStyle w:val="4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9" w:hRule="atLeast"/>
        </w:trPr>
        <w:tc>
          <w:tcPr>
            <w:tcW w:w="8522" w:type="dxa"/>
          </w:tcPr>
          <w:p>
            <w:pPr>
              <w:spacing w:line="360" w:lineRule="auto"/>
              <w:rPr>
                <w:szCs w:val="21"/>
              </w:rPr>
            </w:pPr>
            <w:r>
              <w:rPr>
                <w:rFonts w:hint="eastAsia"/>
              </w:rPr>
              <w:t>此处附</w:t>
            </w:r>
            <w:r>
              <w:rPr>
                <w:rFonts w:hint="eastAsia"/>
                <w:b/>
                <w:bCs/>
                <w:szCs w:val="21"/>
              </w:rPr>
              <w:t>法定代表人身份证明复印件、</w:t>
            </w:r>
            <w:r>
              <w:rPr>
                <w:b/>
                <w:bCs/>
                <w:szCs w:val="21"/>
              </w:rPr>
              <w:t>委托代理人</w:t>
            </w:r>
            <w:r>
              <w:rPr>
                <w:rFonts w:hint="eastAsia"/>
                <w:b/>
                <w:bCs/>
                <w:szCs w:val="21"/>
              </w:rPr>
              <w:t>身份证明复印件</w:t>
            </w:r>
          </w:p>
          <w:p>
            <w:pPr>
              <w:pStyle w:val="162"/>
              <w:spacing w:line="360" w:lineRule="auto"/>
            </w:pPr>
          </w:p>
        </w:tc>
      </w:tr>
    </w:tbl>
    <w:p>
      <w:pPr>
        <w:pStyle w:val="6"/>
        <w:jc w:val="center"/>
      </w:pPr>
      <w:bookmarkStart w:id="2328" w:name="_Toc21296"/>
      <w:r>
        <w:rPr>
          <w:rFonts w:hint="eastAsia"/>
        </w:rPr>
        <w:t>4、法定代表人授权书</w:t>
      </w:r>
      <w:bookmarkEnd w:id="2328"/>
    </w:p>
    <w:p>
      <w:pPr>
        <w:pStyle w:val="5"/>
        <w:jc w:val="center"/>
        <w:rPr>
          <w:b w:val="0"/>
          <w:bCs w:val="0"/>
        </w:rPr>
      </w:pPr>
      <w:bookmarkStart w:id="2329" w:name="_Toc27064"/>
      <w:r>
        <w:rPr>
          <w:b w:val="0"/>
          <w:bCs w:val="0"/>
          <w:sz w:val="28"/>
          <w:szCs w:val="28"/>
        </w:rPr>
        <w:t>（总公司授权分公司</w:t>
      </w:r>
      <w:r>
        <w:rPr>
          <w:rFonts w:hint="eastAsia"/>
          <w:b w:val="0"/>
          <w:bCs w:val="0"/>
          <w:sz w:val="28"/>
          <w:szCs w:val="28"/>
        </w:rPr>
        <w:t>投标</w:t>
      </w:r>
      <w:r>
        <w:rPr>
          <w:b w:val="0"/>
          <w:bCs w:val="0"/>
          <w:sz w:val="28"/>
          <w:szCs w:val="28"/>
        </w:rPr>
        <w:t>时使用）</w:t>
      </w:r>
      <w:bookmarkEnd w:id="2329"/>
    </w:p>
    <w:p>
      <w:pPr>
        <w:spacing w:line="360" w:lineRule="auto"/>
      </w:pPr>
      <w:r>
        <w:rPr>
          <w:rFonts w:hint="eastAsia"/>
        </w:rPr>
        <w:t>XXXXXXXXX：</w:t>
      </w:r>
    </w:p>
    <w:p>
      <w:pPr>
        <w:spacing w:line="360" w:lineRule="auto"/>
        <w:ind w:firstLine="420" w:firstLineChars="200"/>
      </w:pPr>
      <w:r>
        <w:rPr>
          <w:rFonts w:hint="eastAsia"/>
        </w:rPr>
        <w:t>本人</w:t>
      </w:r>
      <w:r>
        <w:rPr>
          <w:rFonts w:hint="eastAsia"/>
          <w:u w:val="single"/>
        </w:rPr>
        <w:t>        （姓名）</w:t>
      </w:r>
      <w:r>
        <w:rPr>
          <w:rFonts w:hint="eastAsia"/>
        </w:rPr>
        <w:t>系</w:t>
      </w:r>
      <w:r>
        <w:rPr>
          <w:rFonts w:hint="eastAsia"/>
          <w:u w:val="single"/>
        </w:rPr>
        <w:t>             （投标人全称）</w:t>
      </w:r>
      <w:r>
        <w:rPr>
          <w:rFonts w:hint="eastAsia"/>
        </w:rPr>
        <w:t>法定代表人，现授权委托我方分公司</w:t>
      </w:r>
      <w:r>
        <w:rPr>
          <w:rFonts w:hint="eastAsia"/>
          <w:u w:val="single"/>
        </w:rPr>
        <w:t>                       （ 分公司名称）</w:t>
      </w:r>
      <w:r>
        <w:rPr>
          <w:rFonts w:hint="eastAsia"/>
        </w:rPr>
        <w:t>参加贵司组织的</w:t>
      </w:r>
      <w:r>
        <w:rPr>
          <w:rFonts w:hint="eastAsia"/>
          <w:u w:val="single"/>
        </w:rPr>
        <w:t>               项目（括号内填写投标编号及项目）投标</w:t>
      </w:r>
      <w:r>
        <w:rPr>
          <w:rFonts w:hint="eastAsia"/>
        </w:rPr>
        <w:t>活动，代表我公司全权办理针对上述项目的投标全程各事项、投标文件及合同中的签署及允许加盖分公司印章、项目实施等涉及的一切事宜。以上行为，与我公司享有同等效力，我公司均予以承认，由此所产生的一切法律后果和法律责任，均由本公司承担。 同时宣布承诺如下：</w:t>
      </w:r>
    </w:p>
    <w:p>
      <w:pPr>
        <w:spacing w:line="360" w:lineRule="auto"/>
      </w:pPr>
      <w:r>
        <w:rPr>
          <w:rFonts w:hint="eastAsia"/>
        </w:rPr>
        <w:t>（1）我公司已详细阅读全部投标文件（含补充修改文件），并理解其实质</w:t>
      </w:r>
    </w:p>
    <w:p>
      <w:pPr>
        <w:spacing w:line="360" w:lineRule="auto"/>
      </w:pPr>
      <w:r>
        <w:rPr>
          <w:rFonts w:hint="eastAsia"/>
        </w:rPr>
        <w:t>性内容，同意承担投标文件规定的全部义务和相关责任。</w:t>
      </w:r>
    </w:p>
    <w:p>
      <w:pPr>
        <w:spacing w:line="360" w:lineRule="auto"/>
      </w:pPr>
      <w:r>
        <w:rPr>
          <w:rFonts w:hint="eastAsia"/>
        </w:rPr>
        <w:t>（2）我公司同意提供招标人可能要求的与其投标有关的一切数据或资料。</w:t>
      </w:r>
    </w:p>
    <w:p>
      <w:pPr>
        <w:spacing w:line="360" w:lineRule="auto"/>
      </w:pPr>
      <w:r>
        <w:rPr>
          <w:rFonts w:hint="eastAsia"/>
        </w:rPr>
        <w:t>（3）我公司所提交的一切投标资料均为合法且真实有效。</w:t>
      </w:r>
    </w:p>
    <w:p>
      <w:pPr>
        <w:spacing w:line="360" w:lineRule="auto"/>
      </w:pPr>
      <w:r>
        <w:rPr>
          <w:rFonts w:hint="eastAsia"/>
        </w:rPr>
        <w:t>法定代表人签字： </w:t>
      </w:r>
    </w:p>
    <w:p>
      <w:pPr>
        <w:spacing w:line="360" w:lineRule="auto"/>
      </w:pPr>
      <w:r>
        <w:rPr>
          <w:rFonts w:hint="eastAsia"/>
        </w:rPr>
        <w:t>投标人全称（公章）：                   </w:t>
      </w:r>
    </w:p>
    <w:p>
      <w:pPr>
        <w:spacing w:line="360" w:lineRule="auto"/>
      </w:pPr>
      <w:r>
        <w:rPr>
          <w:rFonts w:hint="eastAsia"/>
        </w:rPr>
        <w:t>日期：</w:t>
      </w:r>
    </w:p>
    <w:p>
      <w:pPr>
        <w:spacing w:line="360" w:lineRule="auto"/>
      </w:pPr>
      <w:r>
        <w:rPr>
          <w:rFonts w:hint="eastAsia"/>
        </w:rPr>
        <w:t> </w:t>
      </w:r>
    </w:p>
    <w:p>
      <w:pPr>
        <w:spacing w:line="360" w:lineRule="auto"/>
      </w:pPr>
      <w:r>
        <w:rPr>
          <w:rFonts w:hint="eastAsia"/>
        </w:rPr>
        <w:t>附：</w:t>
      </w:r>
    </w:p>
    <w:p>
      <w:pPr>
        <w:spacing w:line="360" w:lineRule="auto"/>
      </w:pPr>
      <w:r>
        <w:rPr>
          <w:rFonts w:hint="eastAsia"/>
        </w:rPr>
        <w:t>分公司营业执照</w:t>
      </w:r>
    </w:p>
    <w:p>
      <w:pPr>
        <w:spacing w:line="360" w:lineRule="auto"/>
      </w:pPr>
      <w:r>
        <w:rPr>
          <w:rFonts w:hint="eastAsia"/>
        </w:rPr>
        <w:t>传真：</w:t>
      </w:r>
    </w:p>
    <w:p>
      <w:pPr>
        <w:spacing w:line="360" w:lineRule="auto"/>
      </w:pPr>
      <w:r>
        <w:rPr>
          <w:rFonts w:hint="eastAsia"/>
        </w:rPr>
        <w:t>电话：</w:t>
      </w:r>
    </w:p>
    <w:p>
      <w:pPr>
        <w:spacing w:line="360" w:lineRule="auto"/>
      </w:pPr>
      <w:r>
        <w:rPr>
          <w:rFonts w:hint="eastAsia"/>
        </w:rPr>
        <w:t>详细通讯地址：</w:t>
      </w:r>
    </w:p>
    <w:p>
      <w:pPr>
        <w:spacing w:line="360" w:lineRule="auto"/>
      </w:pPr>
      <w:r>
        <w:rPr>
          <w:rFonts w:hint="eastAsia"/>
        </w:rPr>
        <w:t>邮政编码：</w:t>
      </w:r>
    </w:p>
    <w:p>
      <w:r>
        <w:rPr>
          <w:rFonts w:hint="eastAsia"/>
        </w:rPr>
        <w:t> </w:t>
      </w:r>
    </w:p>
    <w:p>
      <w:pPr>
        <w:pStyle w:val="5"/>
        <w:jc w:val="center"/>
      </w:pPr>
    </w:p>
    <w:p/>
    <w:p>
      <w:pPr>
        <w:pStyle w:val="6"/>
        <w:ind w:firstLine="2240" w:firstLineChars="800"/>
      </w:pPr>
      <w:bookmarkStart w:id="2330" w:name="_Toc10953"/>
      <w:r>
        <w:rPr>
          <w:rFonts w:hint="eastAsia"/>
        </w:rPr>
        <w:t>5、分公司负责人授权书</w:t>
      </w:r>
      <w:bookmarkEnd w:id="2330"/>
    </w:p>
    <w:p>
      <w:pPr>
        <w:pStyle w:val="5"/>
        <w:jc w:val="center"/>
        <w:rPr>
          <w:b w:val="0"/>
          <w:bCs w:val="0"/>
          <w:sz w:val="28"/>
          <w:szCs w:val="28"/>
        </w:rPr>
      </w:pPr>
      <w:bookmarkStart w:id="2331" w:name="_Toc4563"/>
      <w:r>
        <w:rPr>
          <w:rFonts w:hint="eastAsia"/>
          <w:b w:val="0"/>
          <w:bCs w:val="0"/>
          <w:sz w:val="28"/>
          <w:szCs w:val="28"/>
        </w:rPr>
        <w:t>（总公司授权分公司投标时使用）</w:t>
      </w:r>
      <w:bookmarkEnd w:id="2331"/>
    </w:p>
    <w:p>
      <w:pPr>
        <w:spacing w:line="360" w:lineRule="auto"/>
      </w:pPr>
      <w:r>
        <w:rPr>
          <w:rFonts w:hint="eastAsia"/>
        </w:rPr>
        <w:t>XXXXXXXXX：</w:t>
      </w:r>
    </w:p>
    <w:p>
      <w:pPr>
        <w:spacing w:line="360" w:lineRule="auto"/>
      </w:pPr>
      <w:r>
        <w:rPr>
          <w:rFonts w:hint="eastAsia"/>
        </w:rPr>
        <w:t> </w:t>
      </w:r>
    </w:p>
    <w:p>
      <w:pPr>
        <w:spacing w:line="360" w:lineRule="auto"/>
      </w:pPr>
      <w:r>
        <w:rPr>
          <w:rFonts w:hint="eastAsia"/>
        </w:rPr>
        <w:t>本人 </w:t>
      </w:r>
      <w:r>
        <w:rPr>
          <w:rFonts w:hint="eastAsia"/>
          <w:u w:val="single"/>
        </w:rPr>
        <w:t>       （姓名）</w:t>
      </w:r>
      <w:r>
        <w:rPr>
          <w:rFonts w:hint="eastAsia"/>
        </w:rPr>
        <w:t>系</w:t>
      </w:r>
      <w:r>
        <w:rPr>
          <w:rFonts w:hint="eastAsia"/>
          <w:u w:val="single"/>
        </w:rPr>
        <w:t>       （分公司全称）</w:t>
      </w:r>
      <w:r>
        <w:rPr>
          <w:rFonts w:hint="eastAsia"/>
        </w:rPr>
        <w:t>负责人，现授权委托</w:t>
      </w:r>
      <w:r>
        <w:rPr>
          <w:rFonts w:hint="eastAsia"/>
          <w:u w:val="single"/>
        </w:rPr>
        <w:t>            （ 投标人代表名称）</w:t>
      </w:r>
      <w:r>
        <w:rPr>
          <w:rFonts w:hint="eastAsia"/>
        </w:rPr>
        <w:t>为全权代表，参加贵司组织的 </w:t>
      </w:r>
      <w:r>
        <w:rPr>
          <w:rFonts w:hint="eastAsia"/>
          <w:u w:val="single"/>
        </w:rPr>
        <w:t>      项目（括号内填写投标编号及项目）</w:t>
      </w:r>
      <w:r>
        <w:rPr>
          <w:rFonts w:hint="eastAsia"/>
        </w:rPr>
        <w:t>投标活动，并代表我公司全权办理针对上述项目的投标全程各事项、投标文件签署、合同签订及项目实施等涉及的一切事宜，我公司对被授权人的签名等行为均予以承认，由此所产生的一切法律后果和法律责任，均由我公司承担。</w:t>
      </w:r>
    </w:p>
    <w:p>
      <w:pPr>
        <w:spacing w:line="360" w:lineRule="auto"/>
      </w:pPr>
      <w:r>
        <w:rPr>
          <w:rFonts w:hint="eastAsia"/>
        </w:rPr>
        <w:t> </w:t>
      </w:r>
    </w:p>
    <w:p>
      <w:pPr>
        <w:spacing w:line="360" w:lineRule="auto"/>
      </w:pPr>
      <w:r>
        <w:rPr>
          <w:rFonts w:hint="eastAsia"/>
        </w:rPr>
        <w:t>负责人签字：</w:t>
      </w:r>
    </w:p>
    <w:p>
      <w:pPr>
        <w:spacing w:line="360" w:lineRule="auto"/>
      </w:pPr>
      <w:r>
        <w:rPr>
          <w:rFonts w:hint="eastAsia"/>
        </w:rPr>
        <w:t> </w:t>
      </w:r>
    </w:p>
    <w:p>
      <w:pPr>
        <w:spacing w:line="360" w:lineRule="auto"/>
      </w:pPr>
      <w:r>
        <w:rPr>
          <w:rFonts w:hint="eastAsia"/>
        </w:rPr>
        <w:t>分公司全称（公章）：</w:t>
      </w:r>
    </w:p>
    <w:p>
      <w:pPr>
        <w:spacing w:line="360" w:lineRule="auto"/>
      </w:pPr>
      <w:r>
        <w:rPr>
          <w:rFonts w:hint="eastAsia"/>
        </w:rPr>
        <w:t>日期：</w:t>
      </w:r>
    </w:p>
    <w:p>
      <w:pPr>
        <w:spacing w:line="360" w:lineRule="auto"/>
      </w:pPr>
    </w:p>
    <w:p>
      <w:pPr>
        <w:spacing w:line="360" w:lineRule="auto"/>
      </w:pPr>
      <w:r>
        <w:rPr>
          <w:rFonts w:hint="eastAsia"/>
        </w:rPr>
        <w:t>附：</w:t>
      </w:r>
    </w:p>
    <w:tbl>
      <w:tblPr>
        <w:tblStyle w:val="41"/>
        <w:tblW w:w="7440" w:type="dxa"/>
        <w:tblInd w:w="243" w:type="dxa"/>
        <w:shd w:val="clear" w:color="auto" w:fill="FEFEFE"/>
        <w:tblLayout w:type="fixed"/>
        <w:tblCellMar>
          <w:top w:w="0" w:type="dxa"/>
          <w:left w:w="0" w:type="dxa"/>
          <w:bottom w:w="0" w:type="dxa"/>
          <w:right w:w="0" w:type="dxa"/>
        </w:tblCellMar>
      </w:tblPr>
      <w:tblGrid>
        <w:gridCol w:w="7440"/>
      </w:tblGrid>
      <w:tr>
        <w:tblPrEx>
          <w:tblCellMar>
            <w:top w:w="0" w:type="dxa"/>
            <w:left w:w="0" w:type="dxa"/>
            <w:bottom w:w="0" w:type="dxa"/>
            <w:right w:w="0" w:type="dxa"/>
          </w:tblCellMar>
        </w:tblPrEx>
        <w:trPr>
          <w:trHeight w:val="2350" w:hRule="atLeast"/>
        </w:trPr>
        <w:tc>
          <w:tcPr>
            <w:tcW w:w="7440" w:type="dxa"/>
            <w:tcBorders>
              <w:top w:val="single" w:color="000000" w:sz="8" w:space="0"/>
              <w:left w:val="single" w:color="000000" w:sz="8" w:space="0"/>
              <w:bottom w:val="single" w:color="000000" w:sz="8" w:space="0"/>
              <w:right w:val="single" w:color="000000" w:sz="8" w:space="0"/>
            </w:tcBorders>
            <w:shd w:val="clear" w:color="auto" w:fill="FEFEFE"/>
            <w:tcMar>
              <w:left w:w="108" w:type="dxa"/>
              <w:right w:w="108" w:type="dxa"/>
            </w:tcMar>
          </w:tcPr>
          <w:p>
            <w:pPr>
              <w:spacing w:line="360" w:lineRule="auto"/>
            </w:pPr>
            <w:r>
              <w:rPr>
                <w:rFonts w:hint="eastAsia"/>
              </w:rPr>
              <w:t> </w:t>
            </w:r>
          </w:p>
          <w:p>
            <w:pPr>
              <w:spacing w:line="360" w:lineRule="auto"/>
            </w:pPr>
            <w:r>
              <w:rPr>
                <w:rFonts w:hint="eastAsia"/>
              </w:rPr>
              <w:t>全权代表身份证复印件粘帖处</w:t>
            </w:r>
          </w:p>
        </w:tc>
      </w:tr>
    </w:tbl>
    <w:p>
      <w:pPr>
        <w:spacing w:line="360" w:lineRule="auto"/>
      </w:pPr>
      <w:r>
        <w:rPr>
          <w:rFonts w:hint="eastAsia"/>
        </w:rPr>
        <w:t>全权代表姓名：    </w:t>
      </w:r>
    </w:p>
    <w:p>
      <w:pPr>
        <w:spacing w:line="360" w:lineRule="auto"/>
      </w:pPr>
      <w:r>
        <w:rPr>
          <w:rFonts w:hint="eastAsia"/>
        </w:rPr>
        <w:t>职务：                          </w:t>
      </w:r>
    </w:p>
    <w:p>
      <w:pPr>
        <w:spacing w:line="360" w:lineRule="auto"/>
      </w:pPr>
      <w:r>
        <w:rPr>
          <w:rFonts w:hint="eastAsia"/>
        </w:rPr>
        <w:t>传真：</w:t>
      </w:r>
    </w:p>
    <w:p>
      <w:pPr>
        <w:spacing w:line="360" w:lineRule="auto"/>
      </w:pPr>
      <w:r>
        <w:rPr>
          <w:rFonts w:hint="eastAsia"/>
        </w:rPr>
        <w:t>电话：</w:t>
      </w:r>
    </w:p>
    <w:p>
      <w:pPr>
        <w:spacing w:line="360" w:lineRule="auto"/>
      </w:pPr>
      <w:r>
        <w:rPr>
          <w:rFonts w:hint="eastAsia"/>
        </w:rPr>
        <w:t>详细通讯地址：</w:t>
      </w:r>
    </w:p>
    <w:p>
      <w:pPr>
        <w:spacing w:line="360" w:lineRule="auto"/>
      </w:pPr>
      <w:r>
        <w:rPr>
          <w:rFonts w:hint="eastAsia"/>
        </w:rPr>
        <w:t>邮政编码：</w:t>
      </w:r>
    </w:p>
    <w:p>
      <w:pPr>
        <w:spacing w:line="360" w:lineRule="auto"/>
        <w:rPr>
          <w:sz w:val="24"/>
        </w:rPr>
      </w:pPr>
    </w:p>
    <w:p>
      <w:pPr>
        <w:pStyle w:val="5"/>
        <w:spacing w:line="360" w:lineRule="auto"/>
        <w:jc w:val="left"/>
        <w:rPr>
          <w:szCs w:val="21"/>
        </w:rPr>
      </w:pPr>
      <w:r>
        <w:rPr>
          <w:szCs w:val="21"/>
        </w:rPr>
        <w:br w:type="page"/>
      </w:r>
    </w:p>
    <w:p>
      <w:pPr>
        <w:pStyle w:val="6"/>
        <w:ind w:firstLine="2240" w:firstLineChars="800"/>
      </w:pPr>
      <w:bookmarkStart w:id="2332" w:name="_Toc21940"/>
      <w:r>
        <w:rPr>
          <w:rFonts w:hint="eastAsia"/>
          <w:lang w:bidi="ar"/>
        </w:rPr>
        <w:t>6、信用记录承诺函</w:t>
      </w:r>
      <w:bookmarkEnd w:id="2332"/>
      <w:r>
        <w:rPr>
          <w:rFonts w:hint="eastAsia"/>
          <w:lang w:bidi="ar"/>
        </w:rPr>
        <w:t xml:space="preserve"> </w:t>
      </w:r>
    </w:p>
    <w:p>
      <w:pPr>
        <w:widowControl/>
        <w:spacing w:line="560" w:lineRule="exact"/>
        <w:ind w:firstLine="420" w:firstLineChars="200"/>
        <w:rPr>
          <w:u w:val="single"/>
          <w:lang w:bidi="ar"/>
        </w:rPr>
      </w:pPr>
      <w:r>
        <w:rPr>
          <w:rFonts w:hint="eastAsia"/>
          <w:u w:val="single"/>
          <w:lang w:bidi="ar"/>
        </w:rPr>
        <w:t xml:space="preserve">                        （招标人名称）：</w:t>
      </w:r>
    </w:p>
    <w:p>
      <w:pPr>
        <w:widowControl/>
        <w:spacing w:line="560" w:lineRule="exact"/>
      </w:pPr>
      <w:r>
        <w:rPr>
          <w:rFonts w:hint="eastAsia" w:ascii="宋体" w:hAnsi="宋体" w:cs="宋体"/>
          <w:kern w:val="0"/>
          <w:sz w:val="28"/>
          <w:szCs w:val="28"/>
          <w:lang w:bidi="ar"/>
        </w:rPr>
        <w:t xml:space="preserve"> </w:t>
      </w:r>
    </w:p>
    <w:p>
      <w:pPr>
        <w:widowControl/>
        <w:spacing w:line="560" w:lineRule="exact"/>
        <w:ind w:firstLine="630" w:firstLineChars="300"/>
      </w:pPr>
      <w:r>
        <w:rPr>
          <w:rFonts w:hint="eastAsia"/>
          <w:lang w:bidi="ar"/>
        </w:rPr>
        <w:t>我方郑重承诺，在参与</w:t>
      </w:r>
      <w:r>
        <w:rPr>
          <w:rFonts w:hint="eastAsia"/>
          <w:u w:val="single"/>
          <w:lang w:bidi="ar"/>
        </w:rPr>
        <w:t xml:space="preserve">             </w:t>
      </w:r>
      <w:r>
        <w:rPr>
          <w:rFonts w:hint="eastAsia"/>
          <w:lang w:bidi="ar"/>
        </w:rPr>
        <w:t xml:space="preserve">(项目编号： ）期间， 未被《信用中国》网站（www.creditchina.gov.cn）公示存在不良信用记录（附我方在上述网站查询结果截图）。 </w:t>
      </w:r>
    </w:p>
    <w:p>
      <w:pPr>
        <w:widowControl/>
        <w:spacing w:line="560" w:lineRule="exact"/>
        <w:ind w:firstLine="3990" w:firstLineChars="1900"/>
      </w:pPr>
      <w:r>
        <w:rPr>
          <w:rFonts w:hint="eastAsia"/>
          <w:lang w:bidi="ar"/>
        </w:rPr>
        <w:t xml:space="preserve">供应商名称（加盖公章）： </w:t>
      </w:r>
    </w:p>
    <w:p>
      <w:pPr>
        <w:widowControl/>
        <w:spacing w:line="560" w:lineRule="exact"/>
        <w:ind w:firstLine="4830" w:firstLineChars="2300"/>
      </w:pPr>
      <w:r>
        <w:rPr>
          <w:rFonts w:hint="eastAsia"/>
          <w:lang w:bidi="ar"/>
        </w:rPr>
        <w:t xml:space="preserve">年   月    日 </w:t>
      </w:r>
    </w:p>
    <w:p>
      <w:pPr>
        <w:widowControl/>
        <w:spacing w:line="560" w:lineRule="exact"/>
        <w:ind w:firstLine="420" w:firstLineChars="200"/>
        <w:rPr>
          <w:lang w:bidi="ar"/>
        </w:rPr>
      </w:pPr>
      <w:r>
        <w:rPr>
          <w:rFonts w:hint="eastAsia"/>
          <w:lang w:bidi="ar"/>
        </w:rPr>
        <w:t xml:space="preserve">注： 1.网站截图为“信用中国”网站（www.creditchina.gov.cn）首页“信用信息”搜索一栏输入企业全称后得出的查询结果页面。信用记录承诺必须附网站截图。 </w:t>
      </w:r>
    </w:p>
    <w:p>
      <w:pPr>
        <w:widowControl/>
        <w:spacing w:line="560" w:lineRule="exact"/>
        <w:ind w:firstLine="840" w:firstLineChars="400"/>
        <w:rPr>
          <w:lang w:bidi="ar"/>
        </w:rPr>
      </w:pPr>
      <w:r>
        <w:rPr>
          <w:rFonts w:hint="eastAsia"/>
          <w:lang w:bidi="ar"/>
        </w:rPr>
        <w:t xml:space="preserve">2.截图中可显示网站域名，页面信息必须明确显示参与本项目的企业全称 </w:t>
      </w:r>
    </w:p>
    <w:p>
      <w:pPr>
        <w:widowControl/>
        <w:spacing w:line="560" w:lineRule="exact"/>
        <w:ind w:firstLine="840" w:firstLineChars="400"/>
        <w:rPr>
          <w:lang w:bidi="ar"/>
        </w:rPr>
      </w:pPr>
      <w:r>
        <w:rPr>
          <w:rFonts w:hint="eastAsia"/>
          <w:lang w:bidi="ar"/>
        </w:rPr>
        <w:t xml:space="preserve">3.供应商如为事业单位或不能在信用中国查询的组织应须提供说明函。 </w:t>
      </w:r>
    </w:p>
    <w:p>
      <w:pPr>
        <w:widowControl/>
        <w:spacing w:line="560" w:lineRule="exact"/>
        <w:ind w:firstLine="840" w:firstLineChars="400"/>
      </w:pPr>
      <w:r>
        <w:rPr>
          <w:rFonts w:hint="eastAsia"/>
          <w:lang w:bidi="ar"/>
        </w:rPr>
        <w:t>附件： “信用中国”网页截图（供应商请将“严重失信主体名单”一栏、“经营异常”一栏和“司法判决”一栏分别截图，共截图 3 张，截图时请将网页域名链接也一并截图。）</w:t>
      </w:r>
    </w:p>
    <w:p>
      <w:pPr>
        <w:spacing w:line="276" w:lineRule="auto"/>
        <w:jc w:val="center"/>
        <w:rPr>
          <w:rFonts w:hint="eastAsia" w:ascii="宋体" w:hAnsi="宋体"/>
          <w:b/>
          <w:bCs/>
          <w:sz w:val="32"/>
          <w:szCs w:val="32"/>
        </w:rPr>
      </w:pPr>
    </w:p>
    <w:p>
      <w:pPr>
        <w:spacing w:line="276" w:lineRule="auto"/>
        <w:jc w:val="center"/>
        <w:rPr>
          <w:rFonts w:hint="eastAsia" w:ascii="宋体" w:hAnsi="宋体"/>
          <w:b/>
          <w:bCs/>
          <w:sz w:val="32"/>
          <w:szCs w:val="32"/>
        </w:rPr>
      </w:pPr>
      <w:r>
        <w:rPr>
          <w:rFonts w:hint="eastAsia" w:ascii="宋体" w:hAnsi="宋体"/>
          <w:b/>
          <w:bCs/>
          <w:sz w:val="32"/>
          <w:szCs w:val="32"/>
        </w:rPr>
        <w:t>7、</w:t>
      </w:r>
      <w:r>
        <w:rPr>
          <w:rFonts w:ascii="宋体" w:hAnsi="宋体"/>
          <w:b/>
          <w:bCs/>
          <w:sz w:val="32"/>
          <w:szCs w:val="32"/>
        </w:rPr>
        <w:t>非联合体投标承诺书</w:t>
      </w:r>
    </w:p>
    <w:p>
      <w:pPr>
        <w:spacing w:line="360" w:lineRule="auto"/>
        <w:rPr>
          <w:rFonts w:hint="eastAsia" w:ascii="宋体" w:hAnsi="宋体"/>
          <w:sz w:val="24"/>
          <w:szCs w:val="28"/>
        </w:rPr>
      </w:pPr>
      <w:r>
        <w:rPr>
          <w:rFonts w:hint="eastAsia" w:ascii="宋体" w:hAnsi="宋体"/>
          <w:sz w:val="24"/>
          <w:szCs w:val="28"/>
        </w:rPr>
        <w:t>致：广东省南方传媒发行物流有限公司</w:t>
      </w:r>
    </w:p>
    <w:p>
      <w:pPr>
        <w:spacing w:line="360" w:lineRule="auto"/>
        <w:ind w:firstLine="480" w:firstLineChars="200"/>
        <w:rPr>
          <w:rFonts w:hint="eastAsia" w:ascii="宋体" w:hAnsi="宋体"/>
          <w:sz w:val="24"/>
          <w:szCs w:val="28"/>
        </w:rPr>
      </w:pPr>
      <w:r>
        <w:rPr>
          <w:rFonts w:hint="eastAsia" w:ascii="宋体" w:hAnsi="宋体"/>
          <w:sz w:val="24"/>
          <w:szCs w:val="28"/>
        </w:rPr>
        <w:t>就我公司在贵公司组织的广东省南方传媒发行物流有限公司2026-2028年度劳务用工服务采购项目（项目编号：ZB202614），我公司承诺如下：</w:t>
      </w:r>
    </w:p>
    <w:p>
      <w:pPr>
        <w:pStyle w:val="153"/>
        <w:spacing w:line="360" w:lineRule="auto"/>
        <w:ind w:firstLine="480"/>
        <w:rPr>
          <w:rFonts w:hint="eastAsia" w:ascii="宋体" w:hAnsi="宋体"/>
          <w:sz w:val="24"/>
          <w:szCs w:val="28"/>
        </w:rPr>
      </w:pPr>
      <w:r>
        <w:rPr>
          <w:rFonts w:hint="eastAsia" w:ascii="宋体" w:hAnsi="宋体"/>
          <w:sz w:val="24"/>
          <w:szCs w:val="28"/>
        </w:rPr>
        <w:t>如我公司在本次投标中成功中标，我公司郑重承诺非联合体投标，如发现不实或隐瞒、虚假的、虚报的，经评标委员会确认后，招标人有权向上级主管部门通报处理，取消我司的中标资格。</w:t>
      </w:r>
    </w:p>
    <w:p>
      <w:pPr>
        <w:pStyle w:val="153"/>
        <w:spacing w:line="360" w:lineRule="auto"/>
        <w:ind w:left="360" w:firstLine="480"/>
        <w:rPr>
          <w:rFonts w:hint="eastAsia" w:ascii="宋体" w:hAnsi="宋体"/>
          <w:sz w:val="24"/>
          <w:szCs w:val="28"/>
        </w:rPr>
      </w:pPr>
      <w:r>
        <w:rPr>
          <w:rFonts w:hint="eastAsia" w:ascii="宋体" w:hAnsi="宋体"/>
          <w:sz w:val="24"/>
          <w:szCs w:val="28"/>
        </w:rPr>
        <w:t>特此承诺！</w:t>
      </w:r>
    </w:p>
    <w:p>
      <w:pPr>
        <w:pStyle w:val="153"/>
        <w:spacing w:line="360" w:lineRule="auto"/>
        <w:ind w:left="360" w:firstLine="0" w:firstLineChars="0"/>
        <w:rPr>
          <w:rFonts w:hint="eastAsia" w:ascii="宋体" w:hAnsi="宋体"/>
          <w:sz w:val="24"/>
          <w:szCs w:val="28"/>
        </w:rPr>
      </w:pPr>
    </w:p>
    <w:p>
      <w:pPr>
        <w:jc w:val="right"/>
        <w:rPr>
          <w:rFonts w:hint="eastAsia" w:ascii="宋体" w:hAnsi="宋体"/>
          <w:sz w:val="22"/>
        </w:rPr>
      </w:pPr>
      <w:r>
        <w:rPr>
          <w:rFonts w:hint="eastAsia" w:ascii="宋体" w:hAnsi="宋体"/>
          <w:sz w:val="22"/>
        </w:rPr>
        <w:t>承诺方公司名称：</w:t>
      </w:r>
    </w:p>
    <w:p>
      <w:pPr>
        <w:jc w:val="right"/>
        <w:rPr>
          <w:rFonts w:hint="eastAsia" w:ascii="宋体" w:hAnsi="宋体"/>
          <w:sz w:val="22"/>
        </w:rPr>
      </w:pPr>
      <w:r>
        <w:rPr>
          <w:rFonts w:hint="eastAsia" w:ascii="宋体" w:hAnsi="宋体"/>
          <w:sz w:val="22"/>
        </w:rPr>
        <w:t>（盖章）</w:t>
      </w:r>
    </w:p>
    <w:p>
      <w:pPr>
        <w:tabs>
          <w:tab w:val="left" w:pos="432"/>
          <w:tab w:val="left" w:pos="576"/>
        </w:tabs>
        <w:jc w:val="right"/>
      </w:pPr>
      <w:r>
        <w:rPr>
          <w:rFonts w:hint="eastAsia" w:ascii="宋体" w:hAnsi="宋体"/>
          <w:sz w:val="22"/>
        </w:rPr>
        <w:t>承诺日期</w:t>
      </w:r>
      <w:r>
        <w:rPr>
          <w:rFonts w:hint="eastAsia" w:ascii="宋体" w:hAnsi="宋体"/>
          <w:sz w:val="24"/>
          <w:szCs w:val="28"/>
        </w:rPr>
        <w:t>：</w:t>
      </w:r>
    </w:p>
    <w:p>
      <w:pPr>
        <w:pStyle w:val="2"/>
        <w:rPr>
          <w:szCs w:val="21"/>
        </w:rPr>
      </w:pPr>
    </w:p>
    <w:p>
      <w:pPr>
        <w:spacing w:line="276" w:lineRule="auto"/>
        <w:jc w:val="center"/>
        <w:rPr>
          <w:rFonts w:hint="eastAsia" w:ascii="宋体" w:hAnsi="宋体"/>
          <w:b/>
          <w:bCs/>
          <w:sz w:val="32"/>
          <w:szCs w:val="32"/>
        </w:rPr>
      </w:pPr>
      <w:r>
        <w:rPr>
          <w:rFonts w:hint="eastAsia" w:ascii="宋体" w:hAnsi="宋体"/>
          <w:b/>
          <w:bCs/>
          <w:sz w:val="32"/>
          <w:szCs w:val="32"/>
        </w:rPr>
        <w:t>8、</w:t>
      </w:r>
      <w:r>
        <w:rPr>
          <w:rFonts w:ascii="宋体" w:hAnsi="宋体"/>
          <w:b/>
          <w:bCs/>
          <w:sz w:val="32"/>
          <w:szCs w:val="32"/>
        </w:rPr>
        <w:t>不违法分包和不转包承诺书</w:t>
      </w:r>
    </w:p>
    <w:p>
      <w:pPr>
        <w:spacing w:line="360" w:lineRule="auto"/>
        <w:rPr>
          <w:rFonts w:hint="eastAsia" w:ascii="宋体" w:hAnsi="宋体"/>
          <w:sz w:val="24"/>
          <w:szCs w:val="28"/>
        </w:rPr>
      </w:pPr>
      <w:r>
        <w:rPr>
          <w:rFonts w:hint="eastAsia" w:ascii="宋体" w:hAnsi="宋体"/>
          <w:sz w:val="24"/>
          <w:szCs w:val="28"/>
        </w:rPr>
        <w:t>致：广东省南方传媒发行物流有限公司</w:t>
      </w:r>
    </w:p>
    <w:p>
      <w:pPr>
        <w:spacing w:line="360" w:lineRule="auto"/>
        <w:ind w:firstLine="480" w:firstLineChars="200"/>
        <w:rPr>
          <w:rFonts w:hint="eastAsia" w:ascii="宋体" w:hAnsi="宋体"/>
          <w:sz w:val="24"/>
          <w:szCs w:val="28"/>
        </w:rPr>
      </w:pPr>
      <w:r>
        <w:rPr>
          <w:rFonts w:hint="eastAsia" w:ascii="宋体" w:hAnsi="宋体"/>
          <w:sz w:val="24"/>
          <w:szCs w:val="28"/>
        </w:rPr>
        <w:t>就我公司在贵公司组织的广东省南方传媒发行物流有限公司2026-2028年度劳务用工服务采购项目（项目编号：ZB202614），我公司承诺如下：</w:t>
      </w:r>
    </w:p>
    <w:p>
      <w:pPr>
        <w:pStyle w:val="153"/>
        <w:spacing w:line="360" w:lineRule="auto"/>
        <w:ind w:firstLine="480"/>
        <w:rPr>
          <w:rFonts w:hint="eastAsia" w:ascii="宋体" w:hAnsi="宋体"/>
          <w:sz w:val="24"/>
          <w:szCs w:val="28"/>
        </w:rPr>
      </w:pPr>
      <w:r>
        <w:rPr>
          <w:rFonts w:hint="eastAsia" w:ascii="宋体" w:hAnsi="宋体"/>
          <w:sz w:val="24"/>
          <w:szCs w:val="28"/>
        </w:rPr>
        <w:t>如我公司在本次投标中成功中标，我公司郑重承诺，将严格按照贵司要求，该项目绝不违法分包和不转包，如发现不实或隐瞒、虚假的、虚报的，经评标委员会确认后，招标人有权向上级主管部门通报处理，取消我司的中标资格。</w:t>
      </w:r>
    </w:p>
    <w:p>
      <w:pPr>
        <w:pStyle w:val="153"/>
        <w:spacing w:line="360" w:lineRule="auto"/>
        <w:ind w:left="360" w:firstLine="480"/>
        <w:rPr>
          <w:rFonts w:hint="eastAsia" w:ascii="宋体" w:hAnsi="宋体"/>
          <w:sz w:val="24"/>
          <w:szCs w:val="28"/>
        </w:rPr>
      </w:pPr>
      <w:r>
        <w:rPr>
          <w:rFonts w:hint="eastAsia" w:ascii="宋体" w:hAnsi="宋体"/>
          <w:sz w:val="24"/>
          <w:szCs w:val="28"/>
        </w:rPr>
        <w:t>特此承诺！</w:t>
      </w:r>
    </w:p>
    <w:p>
      <w:pPr>
        <w:pStyle w:val="153"/>
        <w:spacing w:line="360" w:lineRule="auto"/>
        <w:ind w:left="360" w:firstLine="0" w:firstLineChars="0"/>
        <w:rPr>
          <w:rFonts w:hint="eastAsia" w:ascii="宋体" w:hAnsi="宋体"/>
          <w:sz w:val="24"/>
          <w:szCs w:val="28"/>
        </w:rPr>
      </w:pPr>
    </w:p>
    <w:p>
      <w:pPr>
        <w:jc w:val="right"/>
        <w:rPr>
          <w:rFonts w:hint="eastAsia" w:ascii="宋体" w:hAnsi="宋体"/>
          <w:sz w:val="22"/>
        </w:rPr>
      </w:pPr>
      <w:r>
        <w:rPr>
          <w:rFonts w:hint="eastAsia" w:ascii="宋体" w:hAnsi="宋体"/>
          <w:sz w:val="22"/>
        </w:rPr>
        <w:t>承诺方公司名称：</w:t>
      </w:r>
    </w:p>
    <w:p>
      <w:pPr>
        <w:jc w:val="right"/>
        <w:rPr>
          <w:rFonts w:hint="eastAsia" w:ascii="宋体" w:hAnsi="宋体"/>
          <w:sz w:val="22"/>
        </w:rPr>
      </w:pPr>
      <w:r>
        <w:rPr>
          <w:rFonts w:hint="eastAsia" w:ascii="宋体" w:hAnsi="宋体"/>
          <w:sz w:val="22"/>
        </w:rPr>
        <w:t>（盖章）</w:t>
      </w:r>
    </w:p>
    <w:p>
      <w:pPr>
        <w:jc w:val="right"/>
        <w:rPr>
          <w:rFonts w:hint="eastAsia" w:ascii="宋体" w:hAnsi="宋体"/>
          <w:sz w:val="22"/>
        </w:rPr>
      </w:pPr>
      <w:r>
        <w:rPr>
          <w:rFonts w:hint="eastAsia" w:ascii="宋体" w:hAnsi="宋体"/>
          <w:sz w:val="22"/>
        </w:rPr>
        <w:t>承诺日期：</w:t>
      </w:r>
    </w:p>
    <w:p>
      <w:pPr>
        <w:pStyle w:val="6"/>
        <w:jc w:val="center"/>
      </w:pPr>
    </w:p>
    <w:p>
      <w:pPr>
        <w:pStyle w:val="6"/>
        <w:jc w:val="center"/>
      </w:pPr>
    </w:p>
    <w:p>
      <w:pPr>
        <w:pStyle w:val="6"/>
        <w:jc w:val="center"/>
      </w:pPr>
    </w:p>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Pr>
        <w:pStyle w:val="5"/>
        <w:spacing w:line="360" w:lineRule="auto"/>
        <w:jc w:val="left"/>
        <w:rPr>
          <w:szCs w:val="21"/>
        </w:rPr>
      </w:pPr>
      <w:bookmarkStart w:id="2333" w:name="_Toc9288"/>
      <w:bookmarkStart w:id="2334" w:name="_Toc22116"/>
      <w:bookmarkStart w:id="2335" w:name="_Toc27142"/>
      <w:bookmarkStart w:id="2336" w:name="_Toc20616"/>
      <w:bookmarkStart w:id="2337" w:name="_Toc1242"/>
      <w:bookmarkStart w:id="2338" w:name="_Toc23472"/>
      <w:bookmarkStart w:id="2339" w:name="_Toc15172"/>
      <w:bookmarkStart w:id="2340" w:name="_Toc9217"/>
      <w:bookmarkStart w:id="2341" w:name="_Toc32122"/>
      <w:bookmarkStart w:id="2342" w:name="_Toc10090"/>
      <w:bookmarkStart w:id="2343" w:name="_Toc25727"/>
      <w:bookmarkStart w:id="2344" w:name="_Toc539"/>
      <w:bookmarkStart w:id="2345" w:name="_Toc19502"/>
      <w:bookmarkStart w:id="2346" w:name="_Toc1570"/>
      <w:bookmarkStart w:id="2347" w:name="_Toc14572"/>
      <w:bookmarkStart w:id="2348" w:name="_Toc25199"/>
      <w:bookmarkStart w:id="2349" w:name="_Toc153"/>
      <w:bookmarkStart w:id="2350" w:name="_Toc18494"/>
      <w:bookmarkStart w:id="2351" w:name="_Toc27770"/>
      <w:bookmarkStart w:id="2352" w:name="_Toc6597"/>
      <w:bookmarkStart w:id="2353" w:name="_Toc27332"/>
      <w:bookmarkStart w:id="2354" w:name="_Toc23527"/>
      <w:bookmarkStart w:id="2355" w:name="_Toc10397"/>
      <w:bookmarkStart w:id="2356" w:name="_Toc13664"/>
      <w:bookmarkStart w:id="2357" w:name="_Toc15201"/>
      <w:bookmarkStart w:id="2358" w:name="_Toc10850"/>
      <w:bookmarkStart w:id="2359" w:name="_Toc21263"/>
      <w:bookmarkStart w:id="2360" w:name="_Toc3292"/>
      <w:bookmarkStart w:id="2361" w:name="_Toc188"/>
      <w:bookmarkStart w:id="2362" w:name="_Toc26948"/>
    </w:p>
    <w:p>
      <w:pPr>
        <w:pStyle w:val="5"/>
        <w:spacing w:line="360" w:lineRule="auto"/>
        <w:jc w:val="left"/>
        <w:rPr>
          <w:szCs w:val="21"/>
        </w:rPr>
      </w:pPr>
    </w:p>
    <w:p>
      <w:pPr>
        <w:pStyle w:val="5"/>
        <w:spacing w:line="360" w:lineRule="auto"/>
        <w:jc w:val="left"/>
        <w:rPr>
          <w:szCs w:val="21"/>
        </w:rPr>
      </w:pPr>
    </w:p>
    <w:p>
      <w:pPr>
        <w:rPr>
          <w:szCs w:val="21"/>
        </w:rPr>
      </w:pPr>
    </w:p>
    <w:p>
      <w:pPr>
        <w:pStyle w:val="40"/>
        <w:ind w:firstLine="280"/>
        <w:rPr>
          <w:szCs w:val="21"/>
        </w:rPr>
      </w:pPr>
    </w:p>
    <w:p>
      <w:pPr>
        <w:pStyle w:val="40"/>
        <w:ind w:firstLine="280"/>
        <w:rPr>
          <w:szCs w:val="21"/>
        </w:rPr>
      </w:pPr>
    </w:p>
    <w:p>
      <w:pPr>
        <w:pStyle w:val="40"/>
        <w:ind w:firstLine="280"/>
        <w:rPr>
          <w:szCs w:val="21"/>
        </w:rPr>
      </w:pPr>
    </w:p>
    <w:p>
      <w:pPr>
        <w:pStyle w:val="5"/>
        <w:spacing w:line="360" w:lineRule="auto"/>
        <w:jc w:val="left"/>
        <w:rPr>
          <w:szCs w:val="21"/>
        </w:rPr>
      </w:pPr>
      <w:bookmarkStart w:id="2363" w:name="_Toc7608"/>
      <w:bookmarkStart w:id="2364" w:name="_Toc12723"/>
      <w:bookmarkStart w:id="2365" w:name="_Toc16023"/>
      <w:bookmarkStart w:id="2366" w:name="_Toc3793"/>
      <w:bookmarkStart w:id="2367" w:name="_Toc5233"/>
      <w:bookmarkStart w:id="2368" w:name="_Toc4218"/>
      <w:bookmarkStart w:id="2369" w:name="_Toc16382"/>
      <w:bookmarkStart w:id="2370" w:name="_Toc92"/>
      <w:bookmarkStart w:id="2371" w:name="_Toc25578"/>
      <w:bookmarkStart w:id="2372" w:name="_Toc21812"/>
      <w:bookmarkStart w:id="2373" w:name="_Toc15998"/>
      <w:r>
        <w:rPr>
          <w:rFonts w:hint="eastAsia"/>
          <w:szCs w:val="21"/>
        </w:rPr>
        <w:t>二、投标文件</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r>
        <w:rPr>
          <w:rFonts w:hint="eastAsia"/>
          <w:szCs w:val="21"/>
        </w:rPr>
        <w:t>正文</w:t>
      </w:r>
      <w:bookmarkEnd w:id="2373"/>
    </w:p>
    <w:p>
      <w:pPr>
        <w:pStyle w:val="6"/>
        <w:tabs>
          <w:tab w:val="left" w:pos="567"/>
        </w:tabs>
      </w:pPr>
      <w:bookmarkStart w:id="2374" w:name="_Toc18571"/>
      <w:bookmarkStart w:id="2375" w:name="_Toc11260"/>
      <w:bookmarkStart w:id="2376" w:name="_Toc30496"/>
      <w:r>
        <w:rPr>
          <w:rFonts w:hint="eastAsia"/>
        </w:rPr>
        <w:t>1、评审索引表</w:t>
      </w:r>
      <w:bookmarkEnd w:id="2374"/>
      <w:bookmarkEnd w:id="2375"/>
      <w:bookmarkEnd w:id="2376"/>
    </w:p>
    <w:p>
      <w:pPr>
        <w:rPr>
          <w:rFonts w:hint="eastAsia" w:ascii="宋体" w:hAnsi="宋体" w:cs="宋体"/>
          <w:b/>
          <w:bCs/>
          <w:szCs w:val="21"/>
        </w:rPr>
      </w:pPr>
      <w:r>
        <w:rPr>
          <w:rFonts w:hint="eastAsia" w:ascii="宋体" w:hAnsi="宋体" w:cs="宋体"/>
          <w:szCs w:val="21"/>
        </w:rPr>
        <w:t>项目名称：2026-2028劳务用工服务               项目编号：</w:t>
      </w:r>
      <w:r>
        <w:rPr>
          <w:rFonts w:hint="eastAsia" w:ascii="宋体" w:hAnsi="宋体" w:cs="宋体"/>
          <w:szCs w:val="21"/>
          <w:u w:val="single"/>
        </w:rPr>
        <w:t>ZB202614</w:t>
      </w:r>
    </w:p>
    <w:tbl>
      <w:tblPr>
        <w:tblStyle w:val="41"/>
        <w:tblpPr w:leftFromText="180" w:rightFromText="180" w:vertAnchor="text" w:horzAnchor="page" w:tblpX="1892" w:tblpY="31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2955"/>
        <w:gridCol w:w="2640"/>
        <w:gridCol w:w="1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exact"/>
        </w:trPr>
        <w:tc>
          <w:tcPr>
            <w:tcW w:w="708" w:type="dxa"/>
            <w:vAlign w:val="center"/>
          </w:tcPr>
          <w:p>
            <w:pPr>
              <w:jc w:val="center"/>
              <w:rPr>
                <w:rFonts w:hint="eastAsia" w:ascii="宋体" w:hAnsi="宋体"/>
                <w:szCs w:val="21"/>
              </w:rPr>
            </w:pPr>
            <w:r>
              <w:rPr>
                <w:rFonts w:hint="eastAsia" w:ascii="宋体" w:hAnsi="宋体"/>
                <w:szCs w:val="21"/>
              </w:rPr>
              <w:t>序</w:t>
            </w:r>
            <w:r>
              <w:rPr>
                <w:rFonts w:ascii="宋体" w:hAnsi="宋体"/>
                <w:szCs w:val="21"/>
              </w:rPr>
              <w:t>号</w:t>
            </w:r>
          </w:p>
        </w:tc>
        <w:tc>
          <w:tcPr>
            <w:tcW w:w="2955" w:type="dxa"/>
            <w:vAlign w:val="center"/>
          </w:tcPr>
          <w:p>
            <w:pPr>
              <w:jc w:val="center"/>
              <w:rPr>
                <w:rFonts w:hint="eastAsia" w:ascii="宋体" w:hAnsi="宋体"/>
                <w:szCs w:val="21"/>
              </w:rPr>
            </w:pPr>
            <w:r>
              <w:rPr>
                <w:rFonts w:hint="eastAsia" w:ascii="宋体" w:hAnsi="宋体"/>
                <w:szCs w:val="21"/>
              </w:rPr>
              <w:t>评审内容</w:t>
            </w:r>
          </w:p>
        </w:tc>
        <w:tc>
          <w:tcPr>
            <w:tcW w:w="2640" w:type="dxa"/>
            <w:vAlign w:val="center"/>
          </w:tcPr>
          <w:p>
            <w:pPr>
              <w:pStyle w:val="2"/>
              <w:ind w:firstLine="420" w:firstLineChars="200"/>
              <w:rPr>
                <w:rFonts w:hint="eastAsia" w:ascii="宋体" w:hAnsi="宋体"/>
                <w:sz w:val="21"/>
                <w:szCs w:val="21"/>
              </w:rPr>
            </w:pPr>
            <w:r>
              <w:rPr>
                <w:rFonts w:hint="eastAsia" w:ascii="宋体" w:hAnsi="宋体"/>
                <w:sz w:val="21"/>
                <w:szCs w:val="21"/>
              </w:rPr>
              <w:t>证明文件</w:t>
            </w:r>
          </w:p>
        </w:tc>
        <w:tc>
          <w:tcPr>
            <w:tcW w:w="1591" w:type="dxa"/>
            <w:vAlign w:val="center"/>
          </w:tcPr>
          <w:p>
            <w:pPr>
              <w:jc w:val="center"/>
              <w:rPr>
                <w:rFonts w:hint="eastAsia" w:ascii="宋体" w:hAnsi="宋体"/>
                <w:szCs w:val="21"/>
              </w:rPr>
            </w:pPr>
            <w:r>
              <w:rPr>
                <w:rFonts w:hint="eastAsia" w:ascii="宋体" w:hAnsi="宋体"/>
                <w:szCs w:val="21"/>
              </w:rPr>
              <w:t>备注或者说明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8" w:type="dxa"/>
            <w:vAlign w:val="center"/>
          </w:tcPr>
          <w:p>
            <w:pPr>
              <w:pStyle w:val="153"/>
              <w:tabs>
                <w:tab w:val="left" w:pos="720"/>
              </w:tabs>
              <w:spacing w:line="360" w:lineRule="auto"/>
              <w:ind w:left="-1" w:firstLine="0" w:firstLineChars="0"/>
              <w:jc w:val="center"/>
              <w:rPr>
                <w:rFonts w:hint="eastAsia" w:ascii="宋体" w:hAnsi="宋体"/>
                <w:szCs w:val="21"/>
              </w:rPr>
            </w:pPr>
            <w:r>
              <w:rPr>
                <w:rFonts w:hint="eastAsia" w:ascii="宋体" w:hAnsi="宋体"/>
                <w:szCs w:val="21"/>
              </w:rPr>
              <w:t>1</w:t>
            </w:r>
          </w:p>
        </w:tc>
        <w:tc>
          <w:tcPr>
            <w:tcW w:w="2955" w:type="dxa"/>
            <w:vAlign w:val="center"/>
          </w:tcPr>
          <w:p>
            <w:pPr>
              <w:jc w:val="center"/>
              <w:rPr>
                <w:rFonts w:hint="eastAsia" w:ascii="宋体" w:hAnsi="宋体" w:cs="宋体"/>
                <w:bCs/>
                <w:kern w:val="0"/>
                <w:sz w:val="24"/>
                <w:lang w:bidi="ar"/>
              </w:rPr>
            </w:pPr>
            <w:r>
              <w:rPr>
                <w:rFonts w:hint="eastAsia" w:ascii="宋体" w:hAnsi="宋体" w:cs="宋体"/>
                <w:bCs/>
                <w:kern w:val="0"/>
                <w:sz w:val="24"/>
                <w:lang w:bidi="ar"/>
              </w:rPr>
              <w:t>外包服务方案</w:t>
            </w:r>
          </w:p>
        </w:tc>
        <w:tc>
          <w:tcPr>
            <w:tcW w:w="2640" w:type="dxa"/>
            <w:vAlign w:val="center"/>
          </w:tcPr>
          <w:p>
            <w:pPr>
              <w:pStyle w:val="30"/>
              <w:jc w:val="center"/>
              <w:rPr>
                <w:rFonts w:hint="eastAsia" w:ascii="宋体" w:hAnsi="宋体" w:cs="宋体"/>
                <w:szCs w:val="21"/>
              </w:rPr>
            </w:pPr>
            <w:r>
              <w:rPr>
                <w:rFonts w:hint="eastAsia" w:ascii="宋体" w:hAnsi="宋体" w:cs="宋体"/>
                <w:szCs w:val="21"/>
              </w:rPr>
              <w:t>见投标文件</w:t>
            </w:r>
          </w:p>
          <w:p>
            <w:pPr>
              <w:pStyle w:val="30"/>
              <w:jc w:val="center"/>
              <w:rPr>
                <w:rFonts w:hint="eastAsia" w:ascii="宋体" w:hAnsi="宋体" w:cs="宋体"/>
                <w:szCs w:val="21"/>
              </w:rPr>
            </w:pPr>
            <w:r>
              <w:rPr>
                <w:rFonts w:hint="eastAsia" w:ascii="宋体" w:hAnsi="宋体" w:cs="宋体"/>
                <w:szCs w:val="21"/>
              </w:rPr>
              <w:t>第（  ）页</w:t>
            </w:r>
          </w:p>
        </w:tc>
        <w:tc>
          <w:tcPr>
            <w:tcW w:w="1591" w:type="dxa"/>
            <w:vAlign w:val="center"/>
          </w:tcPr>
          <w:p>
            <w:pPr>
              <w:tabs>
                <w:tab w:val="left" w:pos="720"/>
              </w:tabs>
              <w:spacing w:line="360" w:lineRule="auto"/>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8" w:type="dxa"/>
            <w:vAlign w:val="center"/>
          </w:tcPr>
          <w:p>
            <w:pPr>
              <w:pStyle w:val="153"/>
              <w:tabs>
                <w:tab w:val="left" w:pos="720"/>
              </w:tabs>
              <w:spacing w:line="360" w:lineRule="auto"/>
              <w:ind w:left="-1" w:firstLine="0" w:firstLineChars="0"/>
              <w:jc w:val="center"/>
              <w:rPr>
                <w:rFonts w:hint="eastAsia" w:ascii="宋体" w:hAnsi="宋体"/>
                <w:szCs w:val="21"/>
              </w:rPr>
            </w:pPr>
            <w:r>
              <w:rPr>
                <w:rFonts w:hint="eastAsia" w:ascii="宋体" w:hAnsi="宋体"/>
                <w:szCs w:val="21"/>
              </w:rPr>
              <w:t>2</w:t>
            </w:r>
          </w:p>
        </w:tc>
        <w:tc>
          <w:tcPr>
            <w:tcW w:w="2955" w:type="dxa"/>
            <w:vAlign w:val="center"/>
          </w:tcPr>
          <w:p>
            <w:pPr>
              <w:jc w:val="center"/>
              <w:rPr>
                <w:rFonts w:hint="eastAsia" w:ascii="宋体" w:hAnsi="宋体" w:cs="宋体"/>
                <w:bCs/>
                <w:kern w:val="0"/>
                <w:sz w:val="24"/>
                <w:lang w:bidi="ar"/>
              </w:rPr>
            </w:pPr>
            <w:r>
              <w:rPr>
                <w:rFonts w:hint="eastAsia" w:ascii="宋体" w:hAnsi="宋体" w:cs="宋体"/>
                <w:bCs/>
                <w:kern w:val="0"/>
                <w:sz w:val="24"/>
                <w:lang w:bidi="ar"/>
              </w:rPr>
              <w:t>企业综合实力</w:t>
            </w:r>
          </w:p>
        </w:tc>
        <w:tc>
          <w:tcPr>
            <w:tcW w:w="2640" w:type="dxa"/>
            <w:vAlign w:val="center"/>
          </w:tcPr>
          <w:p>
            <w:pPr>
              <w:pStyle w:val="30"/>
              <w:jc w:val="center"/>
              <w:rPr>
                <w:rFonts w:hint="eastAsia" w:ascii="宋体" w:hAnsi="宋体" w:cs="宋体"/>
                <w:szCs w:val="21"/>
              </w:rPr>
            </w:pPr>
            <w:r>
              <w:rPr>
                <w:rFonts w:hint="eastAsia" w:ascii="宋体" w:hAnsi="宋体" w:cs="宋体"/>
                <w:szCs w:val="21"/>
              </w:rPr>
              <w:t>见投标文件</w:t>
            </w:r>
          </w:p>
          <w:p>
            <w:pPr>
              <w:pStyle w:val="30"/>
              <w:jc w:val="center"/>
              <w:rPr>
                <w:rFonts w:hint="eastAsia" w:ascii="宋体" w:hAnsi="宋体" w:cs="宋体"/>
                <w:szCs w:val="21"/>
              </w:rPr>
            </w:pPr>
            <w:r>
              <w:rPr>
                <w:rFonts w:hint="eastAsia" w:ascii="宋体" w:hAnsi="宋体" w:cs="宋体"/>
                <w:szCs w:val="21"/>
              </w:rPr>
              <w:t>第（  ）页</w:t>
            </w:r>
          </w:p>
        </w:tc>
        <w:tc>
          <w:tcPr>
            <w:tcW w:w="1591" w:type="dxa"/>
            <w:vAlign w:val="center"/>
          </w:tcPr>
          <w:p>
            <w:pPr>
              <w:tabs>
                <w:tab w:val="left" w:pos="720"/>
              </w:tabs>
              <w:spacing w:line="360" w:lineRule="auto"/>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8" w:type="dxa"/>
            <w:vAlign w:val="center"/>
          </w:tcPr>
          <w:p>
            <w:pPr>
              <w:pStyle w:val="153"/>
              <w:tabs>
                <w:tab w:val="left" w:pos="720"/>
              </w:tabs>
              <w:spacing w:line="360" w:lineRule="auto"/>
              <w:ind w:left="-1" w:firstLine="0" w:firstLineChars="0"/>
              <w:jc w:val="center"/>
              <w:rPr>
                <w:rFonts w:hint="eastAsia" w:ascii="宋体" w:hAnsi="宋体"/>
                <w:szCs w:val="21"/>
              </w:rPr>
            </w:pPr>
            <w:r>
              <w:rPr>
                <w:rFonts w:hint="eastAsia" w:ascii="宋体" w:hAnsi="宋体"/>
                <w:szCs w:val="21"/>
              </w:rPr>
              <w:t>3</w:t>
            </w:r>
          </w:p>
        </w:tc>
        <w:tc>
          <w:tcPr>
            <w:tcW w:w="2955" w:type="dxa"/>
            <w:vAlign w:val="center"/>
          </w:tcPr>
          <w:p>
            <w:pPr>
              <w:jc w:val="center"/>
              <w:rPr>
                <w:rFonts w:hint="eastAsia" w:ascii="宋体" w:hAnsi="宋体" w:cs="宋体"/>
                <w:bCs/>
                <w:kern w:val="0"/>
                <w:sz w:val="24"/>
                <w:lang w:bidi="ar"/>
              </w:rPr>
            </w:pPr>
            <w:r>
              <w:rPr>
                <w:rFonts w:hint="eastAsia" w:ascii="宋体" w:hAnsi="宋体" w:cs="宋体"/>
                <w:bCs/>
                <w:kern w:val="0"/>
                <w:sz w:val="24"/>
                <w:lang w:bidi="ar"/>
              </w:rPr>
              <w:t>同类项目业绩</w:t>
            </w:r>
          </w:p>
        </w:tc>
        <w:tc>
          <w:tcPr>
            <w:tcW w:w="2640" w:type="dxa"/>
            <w:vAlign w:val="center"/>
          </w:tcPr>
          <w:p>
            <w:pPr>
              <w:pStyle w:val="30"/>
              <w:jc w:val="center"/>
              <w:rPr>
                <w:rFonts w:hint="eastAsia" w:ascii="宋体" w:hAnsi="宋体" w:cs="宋体"/>
                <w:szCs w:val="21"/>
              </w:rPr>
            </w:pPr>
            <w:r>
              <w:rPr>
                <w:rFonts w:hint="eastAsia" w:ascii="宋体" w:hAnsi="宋体" w:cs="宋体"/>
                <w:szCs w:val="21"/>
              </w:rPr>
              <w:t>见投标文件</w:t>
            </w:r>
          </w:p>
          <w:p>
            <w:pPr>
              <w:pStyle w:val="30"/>
              <w:jc w:val="center"/>
              <w:rPr>
                <w:rFonts w:hint="eastAsia" w:ascii="宋体" w:hAnsi="宋体" w:cs="宋体"/>
                <w:szCs w:val="21"/>
              </w:rPr>
            </w:pPr>
            <w:r>
              <w:rPr>
                <w:rFonts w:hint="eastAsia" w:ascii="宋体" w:hAnsi="宋体" w:cs="宋体"/>
                <w:szCs w:val="21"/>
              </w:rPr>
              <w:t>第（  ）页</w:t>
            </w:r>
          </w:p>
        </w:tc>
        <w:tc>
          <w:tcPr>
            <w:tcW w:w="1591" w:type="dxa"/>
            <w:vAlign w:val="center"/>
          </w:tcPr>
          <w:p>
            <w:pPr>
              <w:tabs>
                <w:tab w:val="left" w:pos="720"/>
              </w:tabs>
              <w:spacing w:line="360" w:lineRule="auto"/>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exact"/>
        </w:trPr>
        <w:tc>
          <w:tcPr>
            <w:tcW w:w="708" w:type="dxa"/>
            <w:vAlign w:val="center"/>
          </w:tcPr>
          <w:p>
            <w:pPr>
              <w:pStyle w:val="153"/>
              <w:tabs>
                <w:tab w:val="left" w:pos="720"/>
              </w:tabs>
              <w:spacing w:line="360" w:lineRule="auto"/>
              <w:ind w:left="-1" w:firstLine="0" w:firstLineChars="0"/>
              <w:jc w:val="center"/>
              <w:rPr>
                <w:rFonts w:hint="eastAsia" w:ascii="宋体" w:hAnsi="宋体"/>
                <w:szCs w:val="21"/>
              </w:rPr>
            </w:pPr>
            <w:r>
              <w:rPr>
                <w:rFonts w:hint="eastAsia" w:ascii="宋体" w:hAnsi="宋体"/>
                <w:szCs w:val="21"/>
              </w:rPr>
              <w:t>4</w:t>
            </w:r>
          </w:p>
        </w:tc>
        <w:tc>
          <w:tcPr>
            <w:tcW w:w="2955" w:type="dxa"/>
            <w:vAlign w:val="center"/>
          </w:tcPr>
          <w:p>
            <w:pPr>
              <w:jc w:val="center"/>
              <w:rPr>
                <w:rFonts w:hint="eastAsia" w:ascii="宋体" w:hAnsi="宋体" w:cs="宋体"/>
                <w:bCs/>
                <w:kern w:val="0"/>
                <w:sz w:val="24"/>
                <w:lang w:bidi="ar"/>
              </w:rPr>
            </w:pPr>
            <w:r>
              <w:rPr>
                <w:rFonts w:hint="eastAsia" w:ascii="宋体" w:hAnsi="宋体" w:cs="宋体"/>
                <w:bCs/>
                <w:kern w:val="0"/>
                <w:sz w:val="24"/>
                <w:lang w:bidi="ar"/>
              </w:rPr>
              <w:t>企业荣誉情况</w:t>
            </w:r>
          </w:p>
        </w:tc>
        <w:tc>
          <w:tcPr>
            <w:tcW w:w="2640" w:type="dxa"/>
            <w:vAlign w:val="center"/>
          </w:tcPr>
          <w:p>
            <w:pPr>
              <w:pStyle w:val="30"/>
              <w:jc w:val="center"/>
              <w:rPr>
                <w:rFonts w:hint="eastAsia" w:ascii="宋体" w:hAnsi="宋体" w:cs="宋体"/>
                <w:szCs w:val="21"/>
              </w:rPr>
            </w:pPr>
            <w:r>
              <w:rPr>
                <w:rFonts w:hint="eastAsia" w:ascii="宋体" w:hAnsi="宋体" w:cs="宋体"/>
                <w:szCs w:val="21"/>
              </w:rPr>
              <w:t>见投标文件</w:t>
            </w:r>
          </w:p>
          <w:p>
            <w:pPr>
              <w:pStyle w:val="30"/>
              <w:jc w:val="center"/>
              <w:rPr>
                <w:rFonts w:hint="eastAsia" w:ascii="宋体" w:hAnsi="宋体" w:cs="宋体"/>
                <w:szCs w:val="21"/>
              </w:rPr>
            </w:pPr>
            <w:r>
              <w:rPr>
                <w:rFonts w:hint="eastAsia" w:ascii="宋体" w:hAnsi="宋体" w:cs="宋体"/>
                <w:szCs w:val="21"/>
              </w:rPr>
              <w:t>第（  ）页</w:t>
            </w:r>
          </w:p>
        </w:tc>
        <w:tc>
          <w:tcPr>
            <w:tcW w:w="1591" w:type="dxa"/>
            <w:vAlign w:val="center"/>
          </w:tcPr>
          <w:p>
            <w:pPr>
              <w:tabs>
                <w:tab w:val="left" w:pos="720"/>
              </w:tabs>
              <w:spacing w:line="360" w:lineRule="auto"/>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708" w:type="dxa"/>
            <w:vAlign w:val="center"/>
          </w:tcPr>
          <w:p>
            <w:pPr>
              <w:pStyle w:val="153"/>
              <w:tabs>
                <w:tab w:val="left" w:pos="720"/>
              </w:tabs>
              <w:spacing w:line="360" w:lineRule="auto"/>
              <w:ind w:left="-1" w:firstLine="0" w:firstLineChars="0"/>
              <w:jc w:val="center"/>
              <w:rPr>
                <w:rFonts w:hint="eastAsia" w:ascii="宋体" w:hAnsi="宋体"/>
                <w:szCs w:val="21"/>
              </w:rPr>
            </w:pPr>
            <w:r>
              <w:rPr>
                <w:rFonts w:hint="eastAsia" w:ascii="宋体" w:hAnsi="宋体"/>
                <w:szCs w:val="21"/>
              </w:rPr>
              <w:t>5</w:t>
            </w:r>
          </w:p>
        </w:tc>
        <w:tc>
          <w:tcPr>
            <w:tcW w:w="2955" w:type="dxa"/>
            <w:vAlign w:val="center"/>
          </w:tcPr>
          <w:p>
            <w:pPr>
              <w:jc w:val="center"/>
              <w:rPr>
                <w:rFonts w:hint="eastAsia" w:ascii="宋体" w:hAnsi="宋体" w:cs="宋体"/>
                <w:bCs/>
                <w:kern w:val="0"/>
                <w:sz w:val="24"/>
                <w:lang w:bidi="ar"/>
              </w:rPr>
            </w:pPr>
            <w:r>
              <w:rPr>
                <w:rFonts w:hint="eastAsia" w:ascii="宋体" w:hAnsi="宋体" w:cs="宋体"/>
                <w:bCs/>
                <w:kern w:val="0"/>
                <w:sz w:val="24"/>
                <w:lang w:bidi="ar"/>
              </w:rPr>
              <w:t>公司服务团队素质</w:t>
            </w:r>
          </w:p>
        </w:tc>
        <w:tc>
          <w:tcPr>
            <w:tcW w:w="2640" w:type="dxa"/>
            <w:vAlign w:val="center"/>
          </w:tcPr>
          <w:p>
            <w:pPr>
              <w:pStyle w:val="30"/>
              <w:jc w:val="center"/>
              <w:rPr>
                <w:rFonts w:hint="eastAsia" w:ascii="宋体" w:hAnsi="宋体" w:cs="宋体"/>
                <w:szCs w:val="21"/>
              </w:rPr>
            </w:pPr>
            <w:r>
              <w:rPr>
                <w:rFonts w:hint="eastAsia" w:ascii="宋体" w:hAnsi="宋体" w:cs="宋体"/>
                <w:szCs w:val="21"/>
              </w:rPr>
              <w:t>见投标文件</w:t>
            </w:r>
          </w:p>
          <w:p>
            <w:pPr>
              <w:pStyle w:val="30"/>
              <w:jc w:val="center"/>
              <w:rPr>
                <w:rFonts w:hint="eastAsia" w:ascii="宋体" w:hAnsi="宋体" w:cs="宋体"/>
                <w:szCs w:val="21"/>
              </w:rPr>
            </w:pPr>
            <w:r>
              <w:rPr>
                <w:rFonts w:hint="eastAsia" w:ascii="宋体" w:hAnsi="宋体" w:cs="宋体"/>
                <w:szCs w:val="21"/>
              </w:rPr>
              <w:t>第（  ）页</w:t>
            </w:r>
          </w:p>
        </w:tc>
        <w:tc>
          <w:tcPr>
            <w:tcW w:w="1591" w:type="dxa"/>
            <w:vAlign w:val="center"/>
          </w:tcPr>
          <w:p>
            <w:pPr>
              <w:tabs>
                <w:tab w:val="left" w:pos="720"/>
              </w:tabs>
              <w:spacing w:line="360" w:lineRule="auto"/>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exact"/>
        </w:trPr>
        <w:tc>
          <w:tcPr>
            <w:tcW w:w="708" w:type="dxa"/>
            <w:vAlign w:val="center"/>
          </w:tcPr>
          <w:p>
            <w:pPr>
              <w:pStyle w:val="153"/>
              <w:tabs>
                <w:tab w:val="left" w:pos="720"/>
              </w:tabs>
              <w:spacing w:line="360" w:lineRule="auto"/>
              <w:ind w:left="-1" w:firstLine="0" w:firstLineChars="0"/>
              <w:jc w:val="center"/>
              <w:rPr>
                <w:rFonts w:hint="eastAsia" w:ascii="宋体" w:hAnsi="宋体"/>
                <w:szCs w:val="21"/>
              </w:rPr>
            </w:pPr>
            <w:r>
              <w:rPr>
                <w:rFonts w:hint="eastAsia" w:ascii="宋体" w:hAnsi="宋体"/>
                <w:szCs w:val="21"/>
              </w:rPr>
              <w:t>6</w:t>
            </w:r>
          </w:p>
        </w:tc>
        <w:tc>
          <w:tcPr>
            <w:tcW w:w="2955" w:type="dxa"/>
            <w:vAlign w:val="center"/>
          </w:tcPr>
          <w:p>
            <w:pPr>
              <w:jc w:val="center"/>
              <w:rPr>
                <w:rFonts w:hint="eastAsia" w:ascii="宋体" w:hAnsi="宋体" w:cs="宋体"/>
                <w:bCs/>
                <w:kern w:val="0"/>
                <w:sz w:val="24"/>
                <w:lang w:bidi="ar"/>
              </w:rPr>
            </w:pPr>
            <w:r>
              <w:rPr>
                <w:rFonts w:hint="eastAsia" w:ascii="宋体" w:hAnsi="宋体" w:cs="宋体"/>
                <w:bCs/>
                <w:kern w:val="0"/>
                <w:sz w:val="24"/>
                <w:lang w:bidi="ar"/>
              </w:rPr>
              <w:t>投标报价</w:t>
            </w:r>
          </w:p>
        </w:tc>
        <w:tc>
          <w:tcPr>
            <w:tcW w:w="2640" w:type="dxa"/>
            <w:vAlign w:val="center"/>
          </w:tcPr>
          <w:p>
            <w:pPr>
              <w:pStyle w:val="30"/>
              <w:jc w:val="center"/>
              <w:rPr>
                <w:rFonts w:hint="eastAsia" w:ascii="宋体" w:hAnsi="宋体" w:cs="宋体"/>
                <w:szCs w:val="21"/>
              </w:rPr>
            </w:pPr>
            <w:r>
              <w:rPr>
                <w:rFonts w:hint="eastAsia" w:ascii="宋体" w:hAnsi="宋体" w:cs="宋体"/>
                <w:szCs w:val="21"/>
              </w:rPr>
              <w:t>见投标文件</w:t>
            </w:r>
          </w:p>
          <w:p>
            <w:pPr>
              <w:tabs>
                <w:tab w:val="left" w:pos="720"/>
              </w:tabs>
              <w:spacing w:line="360" w:lineRule="auto"/>
              <w:jc w:val="center"/>
              <w:rPr>
                <w:rFonts w:hint="eastAsia" w:ascii="宋体" w:hAnsi="宋体" w:cs="宋体"/>
                <w:szCs w:val="21"/>
              </w:rPr>
            </w:pPr>
            <w:r>
              <w:rPr>
                <w:rFonts w:hint="eastAsia" w:ascii="宋体" w:hAnsi="宋体" w:cs="宋体"/>
                <w:szCs w:val="21"/>
              </w:rPr>
              <w:t>第（  ）页</w:t>
            </w:r>
          </w:p>
        </w:tc>
        <w:tc>
          <w:tcPr>
            <w:tcW w:w="1591" w:type="dxa"/>
            <w:vAlign w:val="center"/>
          </w:tcPr>
          <w:p>
            <w:pPr>
              <w:tabs>
                <w:tab w:val="left" w:pos="720"/>
              </w:tabs>
              <w:spacing w:line="360" w:lineRule="auto"/>
              <w:jc w:val="center"/>
              <w:rPr>
                <w:rFonts w:hint="eastAsia" w:ascii="宋体" w:hAnsi="宋体"/>
                <w:szCs w:val="21"/>
              </w:rPr>
            </w:pPr>
          </w:p>
        </w:tc>
      </w:tr>
    </w:tbl>
    <w:p>
      <w:pPr>
        <w:adjustRightInd w:val="0"/>
        <w:snapToGrid w:val="0"/>
        <w:spacing w:line="560" w:lineRule="exact"/>
        <w:ind w:firstLine="2310" w:firstLineChars="1100"/>
        <w:rPr>
          <w:rFonts w:hint="eastAsia" w:ascii="宋体" w:hAnsi="宋体" w:cs="宋体"/>
          <w:szCs w:val="21"/>
        </w:rPr>
      </w:pPr>
    </w:p>
    <w:p>
      <w:pPr>
        <w:adjustRightInd w:val="0"/>
        <w:snapToGrid w:val="0"/>
        <w:spacing w:line="560" w:lineRule="exact"/>
        <w:ind w:firstLine="2310" w:firstLineChars="1100"/>
        <w:rPr>
          <w:rFonts w:hint="eastAsia" w:ascii="宋体" w:hAnsi="宋体" w:cs="宋体"/>
          <w:szCs w:val="21"/>
          <w:u w:val="single"/>
        </w:rPr>
      </w:pPr>
      <w:r>
        <w:rPr>
          <w:rFonts w:hint="eastAsia" w:ascii="宋体" w:hAnsi="宋体" w:cs="宋体"/>
          <w:szCs w:val="21"/>
        </w:rPr>
        <w:t>投标人名称（盖章）：</w:t>
      </w:r>
      <w:r>
        <w:rPr>
          <w:rFonts w:hint="eastAsia" w:ascii="宋体" w:hAnsi="宋体" w:cs="宋体"/>
          <w:szCs w:val="21"/>
          <w:u w:val="single"/>
        </w:rPr>
        <w:t xml:space="preserve">                               </w:t>
      </w:r>
    </w:p>
    <w:p>
      <w:pPr>
        <w:adjustRightInd w:val="0"/>
        <w:snapToGrid w:val="0"/>
        <w:spacing w:line="560" w:lineRule="exact"/>
        <w:ind w:firstLine="2310" w:firstLineChars="1100"/>
        <w:rPr>
          <w:rFonts w:hint="eastAsia" w:ascii="宋体" w:hAnsi="宋体" w:cs="宋体"/>
          <w:szCs w:val="21"/>
          <w:u w:val="single"/>
        </w:rPr>
      </w:pPr>
      <w:r>
        <w:rPr>
          <w:rFonts w:hint="eastAsia" w:ascii="宋体" w:hAnsi="宋体" w:cs="宋体"/>
          <w:szCs w:val="21"/>
        </w:rPr>
        <w:t>投标人法定代表人（或其授权代表）（签字）：</w:t>
      </w:r>
      <w:r>
        <w:rPr>
          <w:rFonts w:hint="eastAsia" w:ascii="宋体" w:hAnsi="宋体" w:cs="宋体"/>
          <w:szCs w:val="21"/>
          <w:u w:val="single"/>
        </w:rPr>
        <w:t xml:space="preserve">                   </w:t>
      </w:r>
    </w:p>
    <w:p>
      <w:pPr>
        <w:pStyle w:val="2"/>
        <w:spacing w:line="560" w:lineRule="exact"/>
        <w:ind w:firstLine="2310" w:firstLineChars="1100"/>
        <w:rPr>
          <w:rFonts w:hint="eastAsia" w:ascii="宋体" w:hAnsi="宋体"/>
          <w:b/>
          <w:bCs/>
        </w:rPr>
      </w:pPr>
      <w:r>
        <w:rPr>
          <w:rFonts w:hint="eastAsia" w:ascii="宋体" w:hAnsi="宋体" w:cs="宋体"/>
          <w:sz w:val="21"/>
          <w:szCs w:val="21"/>
        </w:rPr>
        <w:t>日期：   年   月   日</w:t>
      </w:r>
    </w:p>
    <w:p/>
    <w:p>
      <w:pPr>
        <w:pStyle w:val="2"/>
      </w:pPr>
    </w:p>
    <w:p>
      <w:pPr>
        <w:pStyle w:val="3"/>
      </w:pPr>
    </w:p>
    <w:p/>
    <w:p>
      <w:pPr>
        <w:pStyle w:val="2"/>
      </w:pPr>
    </w:p>
    <w:p>
      <w:pPr>
        <w:pStyle w:val="3"/>
      </w:pPr>
    </w:p>
    <w:p/>
    <w:p>
      <w:pPr>
        <w:pStyle w:val="2"/>
      </w:pPr>
    </w:p>
    <w:p>
      <w:pPr>
        <w:pStyle w:val="2"/>
      </w:pPr>
    </w:p>
    <w:p>
      <w:pPr>
        <w:pStyle w:val="2"/>
      </w:pPr>
    </w:p>
    <w:p>
      <w:pPr>
        <w:pStyle w:val="6"/>
        <w:numPr>
          <w:ilvl w:val="255"/>
          <w:numId w:val="0"/>
        </w:numPr>
        <w:tabs>
          <w:tab w:val="left" w:pos="567"/>
        </w:tabs>
      </w:pPr>
      <w:bookmarkStart w:id="2377" w:name="_Toc24660"/>
      <w:bookmarkStart w:id="2378" w:name="_Toc3519"/>
      <w:bookmarkStart w:id="2379" w:name="_Toc4483"/>
      <w:bookmarkStart w:id="2380" w:name="_Toc21475"/>
      <w:bookmarkStart w:id="2381" w:name="_Toc6648"/>
      <w:bookmarkStart w:id="2382" w:name="_Toc3435"/>
      <w:bookmarkStart w:id="2383" w:name="_Toc5809"/>
      <w:bookmarkStart w:id="2384" w:name="_Toc15714"/>
      <w:bookmarkStart w:id="2385" w:name="_Toc15028"/>
      <w:bookmarkStart w:id="2386" w:name="_Toc95"/>
      <w:bookmarkStart w:id="2387" w:name="_Toc11819"/>
      <w:bookmarkStart w:id="2388" w:name="_Toc27818"/>
      <w:bookmarkStart w:id="2389" w:name="_Toc22184"/>
      <w:bookmarkStart w:id="2390" w:name="_Toc25807"/>
      <w:bookmarkStart w:id="2391" w:name="_Toc6923"/>
      <w:bookmarkStart w:id="2392" w:name="_Toc10065"/>
      <w:bookmarkStart w:id="2393" w:name="_Toc12831"/>
      <w:bookmarkStart w:id="2394" w:name="_Toc10549"/>
      <w:bookmarkStart w:id="2395" w:name="_Toc23517"/>
      <w:bookmarkStart w:id="2396" w:name="_Toc12783"/>
      <w:bookmarkStart w:id="2397" w:name="_Toc31451"/>
      <w:bookmarkStart w:id="2398" w:name="_Toc32287"/>
      <w:bookmarkStart w:id="2399" w:name="_Toc28176"/>
      <w:bookmarkStart w:id="2400" w:name="_Toc12922"/>
      <w:bookmarkStart w:id="2401" w:name="_Toc22583"/>
      <w:bookmarkStart w:id="2402" w:name="_Toc3420"/>
      <w:bookmarkStart w:id="2403" w:name="_Toc18111"/>
      <w:bookmarkStart w:id="2404" w:name="_Toc30031"/>
      <w:bookmarkStart w:id="2405" w:name="_Toc22499"/>
      <w:bookmarkStart w:id="2406" w:name="_Toc8620"/>
      <w:bookmarkStart w:id="2407" w:name="_Toc2889"/>
      <w:bookmarkStart w:id="2408" w:name="_Toc28522"/>
      <w:bookmarkStart w:id="2409" w:name="_Toc7526"/>
      <w:bookmarkStart w:id="2410" w:name="_Toc10723"/>
      <w:bookmarkStart w:id="2411" w:name="_Toc1123"/>
      <w:bookmarkStart w:id="2412" w:name="_Toc22575"/>
      <w:bookmarkStart w:id="2413" w:name="_Toc11812"/>
      <w:bookmarkStart w:id="2414" w:name="_Toc32198"/>
      <w:bookmarkStart w:id="2415" w:name="_Toc32615"/>
      <w:bookmarkStart w:id="2416" w:name="_Toc30743"/>
      <w:r>
        <w:rPr>
          <w:rFonts w:hint="eastAsia"/>
        </w:rPr>
        <w:t>2、</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Start w:id="2417" w:name="_Toc7911"/>
      <w:bookmarkStart w:id="2418" w:name="_Toc1679"/>
      <w:bookmarkStart w:id="2419" w:name="_Toc6508"/>
      <w:bookmarkStart w:id="2420" w:name="_Toc20248"/>
      <w:bookmarkStart w:id="2421" w:name="_Toc1657"/>
      <w:bookmarkStart w:id="2422" w:name="_Toc496601998"/>
      <w:bookmarkStart w:id="2423" w:name="_Toc15167"/>
      <w:bookmarkStart w:id="2424" w:name="_Toc10855"/>
      <w:bookmarkStart w:id="2425" w:name="_Toc20810"/>
      <w:bookmarkStart w:id="2426" w:name="_Toc518999529"/>
      <w:bookmarkStart w:id="2427" w:name="_Toc1802"/>
      <w:bookmarkStart w:id="2428" w:name="_Toc28524"/>
      <w:bookmarkStart w:id="2429" w:name="_Toc4612"/>
      <w:bookmarkStart w:id="2430" w:name="_Toc524531472"/>
      <w:bookmarkStart w:id="2431" w:name="_Toc3107"/>
      <w:r>
        <w:rPr>
          <w:rFonts w:hint="eastAsia"/>
        </w:rPr>
        <w:t>投标保证金缴纳凭证</w:t>
      </w:r>
      <w:bookmarkEnd w:id="2411"/>
      <w:bookmarkEnd w:id="2412"/>
      <w:bookmarkEnd w:id="2413"/>
      <w:bookmarkEnd w:id="2414"/>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r>
        <w:rPr>
          <w:rFonts w:hint="eastAsia"/>
        </w:rPr>
        <w:t>（银行转账复印件证明）</w:t>
      </w:r>
      <w:bookmarkEnd w:id="2415"/>
      <w:bookmarkEnd w:id="2416"/>
    </w:p>
    <w:p>
      <w: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0</wp:posOffset>
                </wp:positionV>
                <wp:extent cx="4465320" cy="2066925"/>
                <wp:effectExtent l="4445" t="4445" r="6985" b="5080"/>
                <wp:wrapNone/>
                <wp:docPr id="1" name="文本框 1"/>
                <wp:cNvGraphicFramePr/>
                <a:graphic xmlns:a="http://schemas.openxmlformats.org/drawingml/2006/main">
                  <a:graphicData uri="http://schemas.microsoft.com/office/word/2010/wordprocessingShape">
                    <wps:wsp>
                      <wps:cNvSpPr txBox="1"/>
                      <wps:spPr>
                        <a:xfrm>
                          <a:off x="0" y="0"/>
                          <a:ext cx="4465320" cy="20669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lang w:val="zh-CN"/>
                              </w:rPr>
                            </w:pPr>
                          </w:p>
                          <w:p>
                            <w:pPr>
                              <w:rPr>
                                <w:lang w:val="zh-CN"/>
                              </w:rPr>
                            </w:pPr>
                          </w:p>
                          <w:p>
                            <w:pPr>
                              <w:rPr>
                                <w:lang w:val="zh-CN"/>
                              </w:rPr>
                            </w:pPr>
                          </w:p>
                          <w:p>
                            <w:pPr>
                              <w:rPr>
                                <w:lang w:val="zh-CN"/>
                              </w:rPr>
                            </w:pPr>
                          </w:p>
                          <w:p>
                            <w:pPr>
                              <w:jc w:val="center"/>
                            </w:pPr>
                            <w:r>
                              <w:rPr>
                                <w:rFonts w:hint="eastAsia"/>
                                <w:lang w:val="zh-CN"/>
                              </w:rPr>
                              <w:t>请将银行</w:t>
                            </w:r>
                            <w:r>
                              <w:rPr>
                                <w:rFonts w:hint="eastAsia"/>
                              </w:rPr>
                              <w:t>转账复印件</w:t>
                            </w:r>
                            <w:r>
                              <w:rPr>
                                <w:rFonts w:hint="eastAsia"/>
                                <w:lang w:val="zh-CN"/>
                              </w:rPr>
                              <w:t>证明粘贴在此</w:t>
                            </w:r>
                          </w:p>
                        </w:txbxContent>
                      </wps:txbx>
                      <wps:bodyPr upright="1"/>
                    </wps:wsp>
                  </a:graphicData>
                </a:graphic>
              </wp:anchor>
            </w:drawing>
          </mc:Choice>
          <mc:Fallback>
            <w:pict>
              <v:shape id="_x0000_s1026" o:spid="_x0000_s1026" o:spt="202" type="#_x0000_t202" style="position:absolute;left:0pt;margin-top:0pt;height:162.75pt;width:351.6pt;mso-position-horizontal:center;z-index:251659264;mso-width-relative:page;mso-height-relative:page;" fillcolor="#FFFFFF" filled="t" stroked="t" coordsize="21600,21600" o:gfxdata="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vMniDXAAAABQEAAA8AAAAAAAAAAQAg&#10;AAAAIgAAAGRycy9kb3ducmV2LnhtbFBLAQIUABQAAAAIAIdO4kDcOph0DwIAAEUEAAAOAAAAAAAA&#10;AAEAIAAAACYBAABkcnMvZTJvRG9jLnhtbFBLBQYAAAAABgAGAFkBAACnBQAAAAA=&#10;">
                <v:fill on="t" focussize="0,0"/>
                <v:stroke color="#000000" joinstyle="miter"/>
                <v:imagedata o:title=""/>
                <o:lock v:ext="edit" aspectratio="f"/>
                <v:textbox>
                  <w:txbxContent>
                    <w:p>
                      <w:pPr>
                        <w:rPr>
                          <w:lang w:val="zh-CN"/>
                        </w:rPr>
                      </w:pPr>
                    </w:p>
                    <w:p>
                      <w:pPr>
                        <w:rPr>
                          <w:lang w:val="zh-CN"/>
                        </w:rPr>
                      </w:pPr>
                    </w:p>
                    <w:p>
                      <w:pPr>
                        <w:rPr>
                          <w:lang w:val="zh-CN"/>
                        </w:rPr>
                      </w:pPr>
                    </w:p>
                    <w:p>
                      <w:pPr>
                        <w:rPr>
                          <w:lang w:val="zh-CN"/>
                        </w:rPr>
                      </w:pPr>
                    </w:p>
                    <w:p>
                      <w:pPr>
                        <w:jc w:val="center"/>
                      </w:pPr>
                      <w:r>
                        <w:rPr>
                          <w:rFonts w:hint="eastAsia"/>
                          <w:lang w:val="zh-CN"/>
                        </w:rPr>
                        <w:t>请将银行</w:t>
                      </w:r>
                      <w:r>
                        <w:rPr>
                          <w:rFonts w:hint="eastAsia"/>
                        </w:rPr>
                        <w:t>转账复印件</w:t>
                      </w:r>
                      <w:r>
                        <w:rPr>
                          <w:rFonts w:hint="eastAsia"/>
                          <w:lang w:val="zh-CN"/>
                        </w:rPr>
                        <w:t>证明粘贴在此</w:t>
                      </w:r>
                    </w:p>
                  </w:txbxContent>
                </v:textbox>
              </v:shape>
            </w:pict>
          </mc:Fallback>
        </mc:AlternateContent>
      </w:r>
    </w:p>
    <w:p>
      <w:pPr>
        <w:pStyle w:val="6"/>
        <w:ind w:left="420"/>
      </w:pPr>
    </w:p>
    <w:p>
      <w:pPr>
        <w:pStyle w:val="6"/>
        <w:ind w:left="420"/>
      </w:pPr>
    </w:p>
    <w:p>
      <w:pPr>
        <w:spacing w:line="360" w:lineRule="auto"/>
        <w:ind w:left="525" w:leftChars="250"/>
        <w:rPr>
          <w:rFonts w:hint="eastAsia" w:ascii="宋体" w:hAnsi="宋体"/>
        </w:rPr>
      </w:pPr>
    </w:p>
    <w:p>
      <w:pPr>
        <w:pStyle w:val="6"/>
      </w:pPr>
      <w:bookmarkStart w:id="2432" w:name="_Toc212"/>
      <w:bookmarkStart w:id="2433" w:name="_Toc19451"/>
      <w:bookmarkStart w:id="2434" w:name="_Toc10541"/>
      <w:bookmarkStart w:id="2435" w:name="_Toc17074"/>
      <w:bookmarkStart w:id="2436" w:name="_Toc1508"/>
      <w:bookmarkStart w:id="2437" w:name="_Toc1718"/>
      <w:bookmarkStart w:id="2438" w:name="_Toc25628"/>
      <w:bookmarkStart w:id="2439" w:name="_Toc30862"/>
      <w:bookmarkStart w:id="2440" w:name="_Toc31143"/>
      <w:bookmarkStart w:id="2441" w:name="_Toc367"/>
      <w:bookmarkStart w:id="2442" w:name="_Toc14060"/>
      <w:bookmarkStart w:id="2443" w:name="_Toc3843"/>
      <w:bookmarkStart w:id="2444" w:name="_Toc20209"/>
      <w:bookmarkStart w:id="2445" w:name="_Toc24170"/>
      <w:bookmarkStart w:id="2446" w:name="_Toc19831"/>
      <w:bookmarkStart w:id="2447" w:name="_Toc10893"/>
      <w:bookmarkStart w:id="2448" w:name="_Toc5466"/>
      <w:bookmarkStart w:id="2449" w:name="_Toc24173"/>
      <w:bookmarkStart w:id="2450" w:name="_Toc29709"/>
      <w:bookmarkStart w:id="2451" w:name="_Toc1662"/>
      <w:bookmarkStart w:id="2452" w:name="_Toc17566"/>
      <w:bookmarkStart w:id="2453" w:name="_Toc27059"/>
      <w:bookmarkStart w:id="2454" w:name="_Toc8756"/>
      <w:bookmarkStart w:id="2455" w:name="_Toc13780"/>
      <w:bookmarkStart w:id="2456" w:name="_Toc26336"/>
      <w:bookmarkStart w:id="2457" w:name="_Toc14593"/>
      <w:bookmarkStart w:id="2458" w:name="_Toc21723"/>
      <w:bookmarkStart w:id="2459" w:name="_Toc25936"/>
      <w:bookmarkStart w:id="2460" w:name="_Toc24807"/>
      <w:bookmarkStart w:id="2461" w:name="_Toc4239"/>
      <w:bookmarkStart w:id="2462" w:name="_Toc8987"/>
      <w:bookmarkStart w:id="2463" w:name="_Toc8617"/>
    </w:p>
    <w:p>
      <w:pPr>
        <w:pStyle w:val="6"/>
        <w:ind w:firstLine="3360" w:firstLineChars="1200"/>
        <w:rPr>
          <w:rFonts w:hint="eastAsia" w:ascii="宋体" w:hAnsi="宋体"/>
        </w:rPr>
      </w:pPr>
      <w:bookmarkStart w:id="2464" w:name="_Toc12054"/>
      <w:bookmarkStart w:id="2465" w:name="_Toc6320"/>
      <w:bookmarkStart w:id="2466" w:name="_Toc31829"/>
      <w:bookmarkStart w:id="2467" w:name="_Toc14357"/>
      <w:bookmarkStart w:id="2468" w:name="_Toc25077"/>
      <w:bookmarkStart w:id="2469" w:name="_Toc17127"/>
      <w:bookmarkStart w:id="2470" w:name="_Toc23725"/>
      <w:bookmarkStart w:id="2471" w:name="_Toc20651"/>
      <w:bookmarkStart w:id="2472" w:name="_Toc4500"/>
      <w:bookmarkStart w:id="2473" w:name="_Toc17014"/>
      <w:bookmarkStart w:id="2474" w:name="_Toc32284"/>
      <w:bookmarkStart w:id="2475" w:name="_Toc26288"/>
      <w:bookmarkStart w:id="2476" w:name="_Toc30372"/>
      <w:bookmarkStart w:id="2477" w:name="_Toc23713"/>
      <w:bookmarkStart w:id="2478" w:name="_Toc16857"/>
      <w:bookmarkStart w:id="2479" w:name="_Toc21032"/>
      <w:bookmarkStart w:id="2480" w:name="_Toc4197"/>
      <w:bookmarkStart w:id="2481" w:name="_Toc5956"/>
      <w:bookmarkStart w:id="2482" w:name="_Toc13280"/>
      <w:bookmarkStart w:id="2483" w:name="_Toc6667"/>
      <w:bookmarkStart w:id="2484" w:name="_Toc8761"/>
      <w:bookmarkStart w:id="2485" w:name="_Toc8690"/>
      <w:bookmarkStart w:id="2486" w:name="_Toc20945"/>
      <w:bookmarkStart w:id="2487" w:name="_Toc16103"/>
      <w:bookmarkStart w:id="2488" w:name="_Toc12438"/>
      <w:bookmarkStart w:id="2489" w:name="_Toc13971"/>
      <w:bookmarkStart w:id="2490" w:name="_Toc684"/>
      <w:bookmarkStart w:id="2491" w:name="_Toc17506"/>
      <w:bookmarkStart w:id="2492" w:name="_Toc28557"/>
      <w:bookmarkStart w:id="2493" w:name="_Toc3092"/>
      <w:bookmarkStart w:id="2494" w:name="_Toc18398"/>
      <w:bookmarkStart w:id="2495" w:name="_Toc27315"/>
      <w:bookmarkStart w:id="2496" w:name="_Toc10075"/>
      <w:bookmarkStart w:id="2497" w:name="_Toc20921"/>
      <w:bookmarkStart w:id="2498" w:name="_Toc1821"/>
      <w:bookmarkStart w:id="2499" w:name="_Toc28193"/>
      <w:r>
        <w:rPr>
          <w:rFonts w:hint="eastAsia"/>
        </w:rPr>
        <w:t>退</w:t>
      </w:r>
      <w:r>
        <w:t>投标保证金</w:t>
      </w:r>
      <w:r>
        <w:rPr>
          <w:rFonts w:hint="eastAsia"/>
        </w:rPr>
        <w:t>说明</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spacing w:line="360" w:lineRule="auto"/>
        <w:ind w:left="525" w:leftChars="250"/>
        <w:rPr>
          <w:rFonts w:hint="eastAsia" w:ascii="宋体" w:hAnsi="宋体"/>
        </w:rPr>
      </w:pPr>
      <w:r>
        <w:rPr>
          <w:rFonts w:hint="eastAsia" w:ascii="宋体" w:hAnsi="宋体"/>
        </w:rPr>
        <w:t>XXXXXXXXX:</w:t>
      </w:r>
    </w:p>
    <w:p>
      <w:pPr>
        <w:spacing w:line="360" w:lineRule="auto"/>
        <w:ind w:left="525" w:leftChars="250" w:firstLine="420" w:firstLineChars="200"/>
        <w:rPr>
          <w:rFonts w:hint="eastAsia" w:ascii="宋体" w:hAnsi="宋体"/>
        </w:rPr>
      </w:pPr>
      <w:r>
        <w:rPr>
          <w:rFonts w:hint="eastAsia" w:ascii="宋体" w:hAnsi="宋体"/>
        </w:rPr>
        <w:t>我方为</w:t>
      </w:r>
      <w:r>
        <w:rPr>
          <w:rFonts w:hint="eastAsia" w:ascii="宋体" w:hAnsi="宋体"/>
          <w:u w:val="single"/>
        </w:rPr>
        <w:t xml:space="preserve">   项目名称     </w:t>
      </w:r>
      <w:r>
        <w:rPr>
          <w:rFonts w:hint="eastAsia" w:ascii="宋体" w:hAnsi="宋体"/>
        </w:rPr>
        <w:t xml:space="preserve">    的投标[项目编号为：</w:t>
      </w:r>
      <w:r>
        <w:rPr>
          <w:rFonts w:hint="eastAsia" w:ascii="宋体" w:hAnsi="宋体"/>
          <w:u w:val="single"/>
        </w:rPr>
        <w:t xml:space="preserve">        </w:t>
      </w:r>
      <w:r>
        <w:rPr>
          <w:rFonts w:hint="eastAsia" w:ascii="宋体" w:hAnsi="宋体"/>
        </w:rPr>
        <w:t>]所提交的投标保证金</w:t>
      </w:r>
      <w:r>
        <w:rPr>
          <w:rFonts w:hint="eastAsia" w:ascii="宋体" w:hAnsi="宋体"/>
          <w:u w:val="single"/>
        </w:rPr>
        <w:t>（大写金额）</w:t>
      </w:r>
      <w:r>
        <w:rPr>
          <w:rFonts w:hint="eastAsia" w:ascii="宋体" w:hAnsi="宋体"/>
        </w:rPr>
        <w:t>元，请贵公司退还时划到以下账户：</w:t>
      </w:r>
    </w:p>
    <w:p>
      <w:pPr>
        <w:spacing w:line="360" w:lineRule="auto"/>
        <w:ind w:left="525" w:leftChars="250" w:firstLine="420" w:firstLineChars="200"/>
        <w:rPr>
          <w:rFonts w:hint="eastAsia" w:ascii="宋体" w:hAnsi="宋体"/>
        </w:rPr>
      </w:pPr>
    </w:p>
    <w:tbl>
      <w:tblPr>
        <w:tblStyle w:val="41"/>
        <w:tblW w:w="8160" w:type="dxa"/>
        <w:tblInd w:w="58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730"/>
        <w:gridCol w:w="2615"/>
        <w:gridCol w:w="1297"/>
        <w:gridCol w:w="176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7" w:hRule="atLeast"/>
        </w:trPr>
        <w:tc>
          <w:tcPr>
            <w:tcW w:w="752" w:type="dxa"/>
            <w:vMerge w:val="restart"/>
            <w:textDirection w:val="tbRlV"/>
            <w:vAlign w:val="center"/>
          </w:tcPr>
          <w:p>
            <w:pPr>
              <w:spacing w:line="360" w:lineRule="auto"/>
              <w:ind w:left="525" w:leftChars="250" w:right="113"/>
              <w:rPr>
                <w:rFonts w:hint="eastAsia" w:ascii="宋体" w:hAnsi="宋体"/>
              </w:rPr>
            </w:pPr>
            <w:r>
              <w:rPr>
                <w:rFonts w:hint="eastAsia" w:ascii="宋体" w:hAnsi="宋体"/>
              </w:rPr>
              <w:t>收 款 人</w:t>
            </w:r>
          </w:p>
        </w:tc>
        <w:tc>
          <w:tcPr>
            <w:tcW w:w="1730" w:type="dxa"/>
            <w:vAlign w:val="center"/>
          </w:tcPr>
          <w:p>
            <w:pPr>
              <w:spacing w:line="360" w:lineRule="auto"/>
              <w:rPr>
                <w:rFonts w:hint="eastAsia" w:ascii="宋体" w:hAnsi="宋体"/>
              </w:rPr>
            </w:pPr>
            <w:r>
              <w:rPr>
                <w:rFonts w:hint="eastAsia" w:ascii="宋体" w:hAnsi="宋体"/>
              </w:rPr>
              <w:t>收款人名称</w:t>
            </w:r>
          </w:p>
        </w:tc>
        <w:tc>
          <w:tcPr>
            <w:tcW w:w="5678" w:type="dxa"/>
            <w:gridSpan w:val="3"/>
            <w:vAlign w:val="center"/>
          </w:tcPr>
          <w:p>
            <w:pPr>
              <w:spacing w:line="360" w:lineRule="auto"/>
              <w:ind w:left="525" w:leftChars="250"/>
              <w:rPr>
                <w:rFonts w:hint="eastAsia" w:ascii="宋体" w:hAnsi="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7" w:hRule="atLeast"/>
        </w:trPr>
        <w:tc>
          <w:tcPr>
            <w:tcW w:w="752" w:type="dxa"/>
            <w:vMerge w:val="continue"/>
            <w:vAlign w:val="center"/>
          </w:tcPr>
          <w:p>
            <w:pPr>
              <w:spacing w:line="360" w:lineRule="auto"/>
              <w:ind w:left="525" w:leftChars="250"/>
              <w:rPr>
                <w:rFonts w:hint="eastAsia" w:ascii="宋体" w:hAnsi="宋体"/>
              </w:rPr>
            </w:pPr>
          </w:p>
        </w:tc>
        <w:tc>
          <w:tcPr>
            <w:tcW w:w="1730" w:type="dxa"/>
            <w:vAlign w:val="center"/>
          </w:tcPr>
          <w:p>
            <w:pPr>
              <w:spacing w:line="360" w:lineRule="auto"/>
              <w:rPr>
                <w:rFonts w:hint="eastAsia" w:ascii="宋体" w:hAnsi="宋体"/>
              </w:rPr>
            </w:pPr>
            <w:r>
              <w:rPr>
                <w:rFonts w:hint="eastAsia" w:ascii="宋体" w:hAnsi="宋体"/>
              </w:rPr>
              <w:t>收款人地址</w:t>
            </w:r>
          </w:p>
        </w:tc>
        <w:tc>
          <w:tcPr>
            <w:tcW w:w="5678" w:type="dxa"/>
            <w:gridSpan w:val="3"/>
            <w:vAlign w:val="center"/>
          </w:tcPr>
          <w:p>
            <w:pPr>
              <w:spacing w:line="360" w:lineRule="auto"/>
              <w:ind w:left="525" w:leftChars="250"/>
              <w:rPr>
                <w:rFonts w:hint="eastAsia" w:ascii="宋体" w:hAnsi="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60" w:hRule="atLeast"/>
        </w:trPr>
        <w:tc>
          <w:tcPr>
            <w:tcW w:w="752" w:type="dxa"/>
            <w:vMerge w:val="continue"/>
            <w:vAlign w:val="center"/>
          </w:tcPr>
          <w:p>
            <w:pPr>
              <w:spacing w:line="360" w:lineRule="auto"/>
              <w:ind w:left="525" w:leftChars="250"/>
              <w:rPr>
                <w:rFonts w:hint="eastAsia" w:ascii="宋体" w:hAnsi="宋体"/>
              </w:rPr>
            </w:pPr>
          </w:p>
        </w:tc>
        <w:tc>
          <w:tcPr>
            <w:tcW w:w="1730" w:type="dxa"/>
            <w:vAlign w:val="center"/>
          </w:tcPr>
          <w:p>
            <w:pPr>
              <w:spacing w:line="360" w:lineRule="auto"/>
              <w:rPr>
                <w:rFonts w:hint="eastAsia" w:ascii="宋体" w:hAnsi="宋体"/>
              </w:rPr>
            </w:pPr>
            <w:r>
              <w:rPr>
                <w:rFonts w:hint="eastAsia" w:ascii="宋体" w:hAnsi="宋体"/>
              </w:rPr>
              <w:t>开户银行</w:t>
            </w:r>
          </w:p>
          <w:p>
            <w:pPr>
              <w:spacing w:line="360" w:lineRule="auto"/>
              <w:rPr>
                <w:rFonts w:hint="eastAsia" w:ascii="宋体" w:hAnsi="宋体"/>
              </w:rPr>
            </w:pPr>
            <w:r>
              <w:rPr>
                <w:rFonts w:hint="eastAsia" w:ascii="宋体" w:hAnsi="宋体"/>
              </w:rPr>
              <w:t>（含汇入地点）</w:t>
            </w:r>
          </w:p>
        </w:tc>
        <w:tc>
          <w:tcPr>
            <w:tcW w:w="2615" w:type="dxa"/>
            <w:vAlign w:val="center"/>
          </w:tcPr>
          <w:p>
            <w:pPr>
              <w:spacing w:line="360" w:lineRule="auto"/>
              <w:rPr>
                <w:rFonts w:hint="eastAsia" w:ascii="宋体" w:hAnsi="宋体"/>
              </w:rPr>
            </w:pPr>
            <w:r>
              <w:rPr>
                <w:rFonts w:hint="eastAsia" w:ascii="宋体" w:hAnsi="宋体"/>
              </w:rPr>
              <w:sym w:font="Wingdings 2" w:char="F0CD"/>
            </w:r>
            <w:r>
              <w:rPr>
                <w:rFonts w:hint="eastAsia" w:ascii="宋体" w:hAnsi="宋体"/>
              </w:rPr>
              <w:t>省</w:t>
            </w:r>
            <w:r>
              <w:rPr>
                <w:rFonts w:hint="eastAsia" w:ascii="宋体" w:hAnsi="宋体"/>
              </w:rPr>
              <w:sym w:font="Wingdings 2" w:char="F0CD"/>
            </w:r>
            <w:r>
              <w:rPr>
                <w:rFonts w:hint="eastAsia" w:ascii="宋体" w:hAnsi="宋体"/>
              </w:rPr>
              <w:t>市（县）</w:t>
            </w:r>
            <w:r>
              <w:rPr>
                <w:rFonts w:hint="eastAsia" w:ascii="宋体" w:hAnsi="宋体"/>
              </w:rPr>
              <w:sym w:font="Wingdings 2" w:char="F0CD"/>
            </w:r>
            <w:r>
              <w:rPr>
                <w:rFonts w:hint="eastAsia" w:ascii="宋体" w:hAnsi="宋体"/>
              </w:rPr>
              <w:t>银行</w:t>
            </w:r>
            <w:r>
              <w:rPr>
                <w:rFonts w:hint="eastAsia" w:ascii="宋体" w:hAnsi="宋体"/>
              </w:rPr>
              <w:sym w:font="Wingdings 2" w:char="F0CD"/>
            </w:r>
            <w:r>
              <w:rPr>
                <w:rFonts w:hint="eastAsia" w:ascii="宋体" w:hAnsi="宋体"/>
              </w:rPr>
              <w:t>（分支行、处、所）</w:t>
            </w:r>
          </w:p>
        </w:tc>
        <w:tc>
          <w:tcPr>
            <w:tcW w:w="1297" w:type="dxa"/>
            <w:vAlign w:val="center"/>
          </w:tcPr>
          <w:p>
            <w:pPr>
              <w:spacing w:line="360" w:lineRule="auto"/>
              <w:rPr>
                <w:rFonts w:hint="eastAsia" w:ascii="宋体" w:hAnsi="宋体"/>
              </w:rPr>
            </w:pPr>
            <w:r>
              <w:rPr>
                <w:rFonts w:hint="eastAsia" w:ascii="宋体" w:hAnsi="宋体"/>
              </w:rPr>
              <w:t>联系人</w:t>
            </w:r>
          </w:p>
        </w:tc>
        <w:tc>
          <w:tcPr>
            <w:tcW w:w="1766" w:type="dxa"/>
            <w:vAlign w:val="center"/>
          </w:tcPr>
          <w:p>
            <w:pPr>
              <w:spacing w:line="360" w:lineRule="auto"/>
              <w:ind w:left="525" w:leftChars="250"/>
              <w:rPr>
                <w:rFonts w:hint="eastAsia" w:ascii="宋体" w:hAnsi="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7" w:hRule="atLeast"/>
        </w:trPr>
        <w:tc>
          <w:tcPr>
            <w:tcW w:w="752" w:type="dxa"/>
            <w:vMerge w:val="continue"/>
            <w:vAlign w:val="center"/>
          </w:tcPr>
          <w:p>
            <w:pPr>
              <w:spacing w:line="360" w:lineRule="auto"/>
              <w:ind w:left="525" w:leftChars="250"/>
              <w:rPr>
                <w:rFonts w:hint="eastAsia" w:ascii="宋体" w:hAnsi="宋体"/>
              </w:rPr>
            </w:pPr>
          </w:p>
        </w:tc>
        <w:tc>
          <w:tcPr>
            <w:tcW w:w="1730" w:type="dxa"/>
            <w:vAlign w:val="center"/>
          </w:tcPr>
          <w:p>
            <w:pPr>
              <w:spacing w:line="360" w:lineRule="auto"/>
              <w:rPr>
                <w:rFonts w:hint="eastAsia" w:ascii="宋体" w:hAnsi="宋体"/>
              </w:rPr>
            </w:pPr>
            <w:r>
              <w:rPr>
                <w:rFonts w:hint="eastAsia" w:ascii="宋体" w:hAnsi="宋体"/>
              </w:rPr>
              <w:t>账    号</w:t>
            </w:r>
          </w:p>
        </w:tc>
        <w:tc>
          <w:tcPr>
            <w:tcW w:w="2615" w:type="dxa"/>
            <w:vAlign w:val="center"/>
          </w:tcPr>
          <w:p>
            <w:pPr>
              <w:spacing w:line="360" w:lineRule="auto"/>
              <w:ind w:left="525" w:leftChars="250"/>
              <w:rPr>
                <w:rFonts w:hint="eastAsia" w:ascii="宋体" w:hAnsi="宋体"/>
              </w:rPr>
            </w:pPr>
          </w:p>
        </w:tc>
        <w:tc>
          <w:tcPr>
            <w:tcW w:w="1297" w:type="dxa"/>
            <w:vAlign w:val="center"/>
          </w:tcPr>
          <w:p>
            <w:pPr>
              <w:spacing w:line="360" w:lineRule="auto"/>
              <w:rPr>
                <w:rFonts w:hint="eastAsia" w:ascii="宋体" w:hAnsi="宋体"/>
              </w:rPr>
            </w:pPr>
            <w:r>
              <w:rPr>
                <w:rFonts w:hint="eastAsia" w:ascii="宋体" w:hAnsi="宋体"/>
              </w:rPr>
              <w:t>联系电话</w:t>
            </w:r>
          </w:p>
        </w:tc>
        <w:tc>
          <w:tcPr>
            <w:tcW w:w="1766" w:type="dxa"/>
            <w:vAlign w:val="center"/>
          </w:tcPr>
          <w:p>
            <w:pPr>
              <w:spacing w:line="360" w:lineRule="auto"/>
              <w:ind w:left="525" w:leftChars="250"/>
              <w:rPr>
                <w:rFonts w:hint="eastAsia" w:ascii="宋体" w:hAnsi="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87" w:hRule="atLeast"/>
        </w:trPr>
        <w:tc>
          <w:tcPr>
            <w:tcW w:w="8160" w:type="dxa"/>
            <w:gridSpan w:val="5"/>
            <w:vAlign w:val="center"/>
          </w:tcPr>
          <w:p>
            <w:pPr>
              <w:spacing w:line="360" w:lineRule="auto"/>
              <w:ind w:left="525" w:leftChars="250"/>
              <w:rPr>
                <w:rFonts w:hint="eastAsia" w:ascii="宋体" w:hAnsi="宋体"/>
              </w:rPr>
            </w:pPr>
            <w:r>
              <w:rPr>
                <w:rFonts w:hint="eastAsia" w:ascii="宋体" w:hAnsi="宋体"/>
                <w:b/>
                <w:bCs/>
              </w:rPr>
              <w:t>备注：</w:t>
            </w:r>
            <w:r>
              <w:rPr>
                <w:rFonts w:hint="eastAsia" w:ascii="宋体" w:hAnsi="宋体"/>
              </w:rPr>
              <w:t>1、收款人名称与投标人名称必须一致；2、招标人将根据以上信息退还投标保证金，请投标人确保上述信息填写准确无误，如因投标人填写错误而导致无法退还投标保证金的情形发生，招标人概不负责。</w:t>
            </w:r>
          </w:p>
        </w:tc>
      </w:tr>
    </w:tbl>
    <w:p>
      <w:pPr>
        <w:tabs>
          <w:tab w:val="left" w:pos="676"/>
          <w:tab w:val="left" w:pos="2330"/>
          <w:tab w:val="left" w:pos="9230"/>
        </w:tabs>
        <w:autoSpaceDE w:val="0"/>
        <w:autoSpaceDN w:val="0"/>
        <w:adjustRightInd w:val="0"/>
        <w:spacing w:before="120" w:line="360" w:lineRule="auto"/>
        <w:ind w:left="525" w:leftChars="250"/>
        <w:rPr>
          <w:rFonts w:hint="eastAsia" w:ascii="宋体" w:hAnsi="宋体"/>
        </w:rPr>
      </w:pPr>
      <w:r>
        <w:rPr>
          <w:rFonts w:hint="eastAsia" w:ascii="宋体" w:hAnsi="宋体"/>
          <w:b/>
        </w:rPr>
        <w:t xml:space="preserve">  </w:t>
      </w:r>
      <w:r>
        <w:rPr>
          <w:rFonts w:hint="eastAsia" w:ascii="宋体" w:hAnsi="宋体"/>
        </w:rPr>
        <w:t xml:space="preserve"> </w:t>
      </w:r>
    </w:p>
    <w:p>
      <w:pPr>
        <w:tabs>
          <w:tab w:val="left" w:pos="676"/>
          <w:tab w:val="left" w:pos="2330"/>
          <w:tab w:val="left" w:pos="9230"/>
        </w:tabs>
        <w:autoSpaceDE w:val="0"/>
        <w:autoSpaceDN w:val="0"/>
        <w:adjustRightInd w:val="0"/>
        <w:spacing w:before="120" w:line="360" w:lineRule="auto"/>
        <w:ind w:left="525" w:leftChars="250"/>
        <w:rPr>
          <w:rFonts w:hint="eastAsia" w:ascii="宋体" w:hAnsi="宋体"/>
        </w:rPr>
      </w:pPr>
      <w:r>
        <w:rPr>
          <w:rFonts w:hint="eastAsia" w:ascii="宋体" w:hAnsi="宋体"/>
        </w:rPr>
        <w:t xml:space="preserve">                                    投标人（公章）：</w:t>
      </w:r>
    </w:p>
    <w:p>
      <w:pPr>
        <w:pStyle w:val="6"/>
        <w:numPr>
          <w:ilvl w:val="255"/>
          <w:numId w:val="0"/>
        </w:numPr>
        <w:tabs>
          <w:tab w:val="left" w:pos="567"/>
        </w:tabs>
      </w:pPr>
      <w:r>
        <w:rPr>
          <w:rFonts w:hint="eastAsia" w:hAnsi="宋体"/>
        </w:rPr>
        <w:t xml:space="preserve">                         </w:t>
      </w:r>
      <w:r>
        <w:rPr>
          <w:rFonts w:hint="eastAsia" w:ascii="宋体" w:hAnsi="宋体" w:eastAsia="宋体"/>
          <w:sz w:val="21"/>
          <w:szCs w:val="24"/>
        </w:rPr>
        <w:t xml:space="preserve">       </w:t>
      </w:r>
      <w:bookmarkStart w:id="2500" w:name="_Toc3743"/>
      <w:bookmarkStart w:id="2501" w:name="_Toc26955"/>
      <w:r>
        <w:rPr>
          <w:rFonts w:hint="eastAsia" w:ascii="宋体" w:hAnsi="宋体" w:eastAsia="宋体"/>
          <w:sz w:val="21"/>
          <w:szCs w:val="24"/>
        </w:rPr>
        <w:t>日  期 ：</w:t>
      </w:r>
      <w:bookmarkEnd w:id="2500"/>
      <w:bookmarkEnd w:id="2501"/>
    </w:p>
    <w:p>
      <w:pPr>
        <w:pStyle w:val="2"/>
        <w:sectPr>
          <w:pgSz w:w="11906" w:h="16838"/>
          <w:pgMar w:top="1100" w:right="1797" w:bottom="703" w:left="1797" w:header="851" w:footer="992" w:gutter="0"/>
          <w:cols w:space="720" w:num="1"/>
          <w:docGrid w:type="lines" w:linePitch="312" w:charSpace="0"/>
        </w:sectPr>
      </w:pPr>
    </w:p>
    <w:p>
      <w:pPr>
        <w:pStyle w:val="6"/>
      </w:pPr>
      <w:bookmarkStart w:id="2502" w:name="_Toc11585"/>
      <w:bookmarkStart w:id="2503" w:name="_Toc17499"/>
      <w:bookmarkStart w:id="2504" w:name="_Toc24191"/>
      <w:bookmarkStart w:id="2505" w:name="_Toc7188"/>
      <w:bookmarkStart w:id="2506" w:name="_Toc19050"/>
      <w:r>
        <w:rPr>
          <w:rFonts w:hint="eastAsia"/>
        </w:rPr>
        <w:t>3、投标报价表（格式见第五章投标报价）</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96"/>
      <w:bookmarkEnd w:id="2497"/>
      <w:bookmarkEnd w:id="2498"/>
      <w:bookmarkEnd w:id="2499"/>
      <w:bookmarkEnd w:id="2502"/>
      <w:bookmarkEnd w:id="2503"/>
      <w:bookmarkEnd w:id="2504"/>
      <w:bookmarkEnd w:id="2505"/>
      <w:bookmarkEnd w:id="2506"/>
    </w:p>
    <w:p>
      <w:pPr>
        <w:pStyle w:val="6"/>
      </w:pPr>
      <w:bookmarkStart w:id="2507" w:name="_Toc9663"/>
      <w:bookmarkStart w:id="2508" w:name="_Toc13437"/>
      <w:bookmarkStart w:id="2509" w:name="_Toc31719"/>
      <w:bookmarkStart w:id="2510" w:name="_Toc20026"/>
      <w:bookmarkStart w:id="2511" w:name="_Toc5628"/>
      <w:bookmarkStart w:id="2512" w:name="_Toc14686"/>
      <w:bookmarkStart w:id="2513" w:name="_Toc15171"/>
      <w:bookmarkStart w:id="2514" w:name="_Toc13558"/>
      <w:bookmarkStart w:id="2515" w:name="_Toc26667"/>
      <w:bookmarkStart w:id="2516" w:name="_Toc24641"/>
      <w:bookmarkStart w:id="2517" w:name="_Toc30297"/>
      <w:bookmarkStart w:id="2518" w:name="_Toc7306"/>
      <w:bookmarkStart w:id="2519" w:name="_Toc22882"/>
      <w:bookmarkStart w:id="2520" w:name="_Toc5024"/>
      <w:bookmarkStart w:id="2521" w:name="_Toc8569"/>
      <w:bookmarkStart w:id="2522" w:name="_Toc3157"/>
      <w:bookmarkStart w:id="2523" w:name="_Toc18310"/>
      <w:bookmarkStart w:id="2524" w:name="_Toc7015"/>
      <w:bookmarkStart w:id="2525" w:name="_Toc2674"/>
      <w:bookmarkStart w:id="2526" w:name="_Toc26596"/>
      <w:bookmarkStart w:id="2527" w:name="_Toc20549"/>
      <w:bookmarkStart w:id="2528" w:name="_Toc26824"/>
      <w:bookmarkStart w:id="2529" w:name="_Toc5792"/>
      <w:bookmarkStart w:id="2530" w:name="_Toc3491"/>
      <w:bookmarkStart w:id="2531" w:name="_Toc7499"/>
      <w:bookmarkStart w:id="2532" w:name="_Toc29384"/>
      <w:bookmarkStart w:id="2533" w:name="_Toc20338"/>
      <w:bookmarkStart w:id="2534" w:name="_Toc11194"/>
      <w:bookmarkStart w:id="2535" w:name="_Toc28885"/>
      <w:bookmarkStart w:id="2536" w:name="_Toc28886"/>
      <w:bookmarkStart w:id="2537" w:name="_Toc26816"/>
      <w:bookmarkStart w:id="2538" w:name="_Toc3565"/>
      <w:bookmarkStart w:id="2539" w:name="_Toc5966"/>
      <w:bookmarkStart w:id="2540" w:name="_Toc12253"/>
      <w:bookmarkStart w:id="2541" w:name="_Toc712"/>
      <w:bookmarkStart w:id="2542" w:name="_Toc20683"/>
      <w:bookmarkStart w:id="2543" w:name="_Toc25841"/>
      <w:bookmarkStart w:id="2544" w:name="_Toc5207"/>
      <w:bookmarkStart w:id="2545" w:name="_Toc31197"/>
      <w:bookmarkStart w:id="2546" w:name="_Toc18924"/>
      <w:bookmarkStart w:id="2547" w:name="_Toc29270"/>
      <w:r>
        <w:rPr>
          <w:rFonts w:hint="eastAsia"/>
        </w:rPr>
        <w:t>4、企业简介表（</w:t>
      </w:r>
      <w:r>
        <w:rPr>
          <w:rFonts w:hint="eastAsia" w:ascii="宋体" w:hAnsi="宋体" w:cs="宋体"/>
          <w:szCs w:val="21"/>
        </w:rPr>
        <w:t>简要介绍企业规模、财务状况情况等资料</w:t>
      </w:r>
      <w:r>
        <w:rPr>
          <w:rFonts w:hint="eastAsia"/>
        </w:rPr>
        <w:t>）</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4"/>
        <w:gridCol w:w="1076"/>
        <w:gridCol w:w="1269"/>
        <w:gridCol w:w="196"/>
        <w:gridCol w:w="1211"/>
        <w:gridCol w:w="222"/>
        <w:gridCol w:w="873"/>
        <w:gridCol w:w="523"/>
        <w:gridCol w:w="549"/>
        <w:gridCol w:w="1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564" w:type="dxa"/>
            <w:vAlign w:val="center"/>
          </w:tcPr>
          <w:p>
            <w:pPr>
              <w:rPr>
                <w:rFonts w:hint="eastAsia" w:ascii="宋体" w:hAnsi="宋体"/>
                <w:szCs w:val="21"/>
              </w:rPr>
            </w:pPr>
            <w:r>
              <w:rPr>
                <w:rFonts w:hint="eastAsia" w:ascii="宋体" w:hAnsi="宋体"/>
                <w:szCs w:val="21"/>
              </w:rPr>
              <w:t>单位名称</w:t>
            </w:r>
          </w:p>
        </w:tc>
        <w:tc>
          <w:tcPr>
            <w:tcW w:w="6964" w:type="dxa"/>
            <w:gridSpan w:val="9"/>
            <w:vAlign w:val="center"/>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564" w:type="dxa"/>
            <w:vAlign w:val="center"/>
          </w:tcPr>
          <w:p>
            <w:pPr>
              <w:rPr>
                <w:rFonts w:hint="eastAsia" w:ascii="宋体" w:hAnsi="宋体"/>
                <w:szCs w:val="21"/>
              </w:rPr>
            </w:pPr>
            <w:r>
              <w:rPr>
                <w:rFonts w:hint="eastAsia" w:ascii="宋体" w:hAnsi="宋体"/>
                <w:szCs w:val="21"/>
              </w:rPr>
              <w:t>地址</w:t>
            </w:r>
          </w:p>
        </w:tc>
        <w:tc>
          <w:tcPr>
            <w:tcW w:w="6964" w:type="dxa"/>
            <w:gridSpan w:val="9"/>
            <w:vAlign w:val="center"/>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64" w:type="dxa"/>
            <w:vAlign w:val="center"/>
          </w:tcPr>
          <w:p>
            <w:pPr>
              <w:rPr>
                <w:rFonts w:hint="eastAsia" w:ascii="宋体" w:hAnsi="宋体"/>
                <w:szCs w:val="21"/>
              </w:rPr>
            </w:pPr>
            <w:r>
              <w:rPr>
                <w:rFonts w:hint="eastAsia" w:ascii="宋体" w:hAnsi="宋体"/>
                <w:szCs w:val="21"/>
              </w:rPr>
              <w:t>主管部门</w:t>
            </w:r>
          </w:p>
        </w:tc>
        <w:tc>
          <w:tcPr>
            <w:tcW w:w="1076" w:type="dxa"/>
            <w:vAlign w:val="center"/>
          </w:tcPr>
          <w:p>
            <w:pPr>
              <w:rPr>
                <w:rFonts w:hint="eastAsia" w:ascii="宋体" w:hAnsi="宋体"/>
                <w:szCs w:val="21"/>
              </w:rPr>
            </w:pPr>
          </w:p>
        </w:tc>
        <w:tc>
          <w:tcPr>
            <w:tcW w:w="1465" w:type="dxa"/>
            <w:gridSpan w:val="2"/>
            <w:vAlign w:val="center"/>
          </w:tcPr>
          <w:p>
            <w:pPr>
              <w:rPr>
                <w:rFonts w:hint="eastAsia" w:ascii="宋体" w:hAnsi="宋体"/>
                <w:szCs w:val="21"/>
              </w:rPr>
            </w:pPr>
            <w:r>
              <w:rPr>
                <w:rFonts w:hint="eastAsia" w:ascii="宋体" w:hAnsi="宋体"/>
                <w:szCs w:val="21"/>
              </w:rPr>
              <w:t>法人代表</w:t>
            </w:r>
          </w:p>
        </w:tc>
        <w:tc>
          <w:tcPr>
            <w:tcW w:w="1433" w:type="dxa"/>
            <w:gridSpan w:val="2"/>
            <w:vAlign w:val="center"/>
          </w:tcPr>
          <w:p>
            <w:pPr>
              <w:rPr>
                <w:rFonts w:hint="eastAsia" w:ascii="宋体" w:hAnsi="宋体"/>
                <w:szCs w:val="21"/>
              </w:rPr>
            </w:pPr>
          </w:p>
        </w:tc>
        <w:tc>
          <w:tcPr>
            <w:tcW w:w="1396" w:type="dxa"/>
            <w:gridSpan w:val="2"/>
            <w:vAlign w:val="center"/>
          </w:tcPr>
          <w:p>
            <w:pPr>
              <w:rPr>
                <w:rFonts w:hint="eastAsia" w:ascii="宋体" w:hAnsi="宋体"/>
                <w:szCs w:val="21"/>
              </w:rPr>
            </w:pPr>
            <w:r>
              <w:rPr>
                <w:rFonts w:hint="eastAsia" w:ascii="宋体" w:hAnsi="宋体"/>
                <w:szCs w:val="21"/>
              </w:rPr>
              <w:t>职务</w:t>
            </w:r>
          </w:p>
        </w:tc>
        <w:tc>
          <w:tcPr>
            <w:tcW w:w="1594" w:type="dxa"/>
            <w:gridSpan w:val="2"/>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564" w:type="dxa"/>
            <w:vAlign w:val="center"/>
          </w:tcPr>
          <w:p>
            <w:pPr>
              <w:rPr>
                <w:rFonts w:hint="eastAsia" w:ascii="宋体" w:hAnsi="宋体"/>
                <w:szCs w:val="21"/>
              </w:rPr>
            </w:pPr>
            <w:r>
              <w:rPr>
                <w:rFonts w:hint="eastAsia" w:ascii="宋体" w:hAnsi="宋体"/>
                <w:szCs w:val="21"/>
              </w:rPr>
              <w:t>经济类型</w:t>
            </w:r>
          </w:p>
        </w:tc>
        <w:tc>
          <w:tcPr>
            <w:tcW w:w="1076" w:type="dxa"/>
            <w:vAlign w:val="center"/>
          </w:tcPr>
          <w:p>
            <w:pPr>
              <w:rPr>
                <w:rFonts w:hint="eastAsia" w:ascii="宋体" w:hAnsi="宋体"/>
                <w:szCs w:val="21"/>
              </w:rPr>
            </w:pPr>
          </w:p>
        </w:tc>
        <w:tc>
          <w:tcPr>
            <w:tcW w:w="1465" w:type="dxa"/>
            <w:gridSpan w:val="2"/>
            <w:vAlign w:val="center"/>
          </w:tcPr>
          <w:p>
            <w:pPr>
              <w:rPr>
                <w:rFonts w:hint="eastAsia" w:ascii="宋体" w:hAnsi="宋体"/>
                <w:szCs w:val="21"/>
              </w:rPr>
            </w:pPr>
            <w:r>
              <w:rPr>
                <w:rFonts w:hint="eastAsia" w:ascii="宋体" w:hAnsi="宋体"/>
                <w:szCs w:val="21"/>
              </w:rPr>
              <w:t>授权代表</w:t>
            </w:r>
          </w:p>
        </w:tc>
        <w:tc>
          <w:tcPr>
            <w:tcW w:w="1433" w:type="dxa"/>
            <w:gridSpan w:val="2"/>
            <w:vAlign w:val="center"/>
          </w:tcPr>
          <w:p>
            <w:pPr>
              <w:rPr>
                <w:rFonts w:hint="eastAsia" w:ascii="宋体" w:hAnsi="宋体"/>
                <w:szCs w:val="21"/>
              </w:rPr>
            </w:pPr>
          </w:p>
        </w:tc>
        <w:tc>
          <w:tcPr>
            <w:tcW w:w="1396" w:type="dxa"/>
            <w:gridSpan w:val="2"/>
            <w:vAlign w:val="center"/>
          </w:tcPr>
          <w:p>
            <w:pPr>
              <w:rPr>
                <w:rFonts w:hint="eastAsia" w:ascii="宋体" w:hAnsi="宋体"/>
                <w:szCs w:val="21"/>
              </w:rPr>
            </w:pPr>
            <w:r>
              <w:rPr>
                <w:rFonts w:hint="eastAsia" w:ascii="宋体" w:hAnsi="宋体"/>
                <w:szCs w:val="21"/>
              </w:rPr>
              <w:t>职务</w:t>
            </w:r>
          </w:p>
        </w:tc>
        <w:tc>
          <w:tcPr>
            <w:tcW w:w="1594" w:type="dxa"/>
            <w:gridSpan w:val="2"/>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564" w:type="dxa"/>
            <w:vAlign w:val="center"/>
          </w:tcPr>
          <w:p>
            <w:pPr>
              <w:rPr>
                <w:rFonts w:hint="eastAsia" w:ascii="宋体" w:hAnsi="宋体"/>
                <w:szCs w:val="21"/>
              </w:rPr>
            </w:pPr>
            <w:r>
              <w:rPr>
                <w:rFonts w:hint="eastAsia" w:ascii="宋体" w:hAnsi="宋体"/>
                <w:szCs w:val="21"/>
              </w:rPr>
              <w:t>邮编</w:t>
            </w:r>
          </w:p>
        </w:tc>
        <w:tc>
          <w:tcPr>
            <w:tcW w:w="1076" w:type="dxa"/>
            <w:vAlign w:val="center"/>
          </w:tcPr>
          <w:p>
            <w:pPr>
              <w:rPr>
                <w:rFonts w:hint="eastAsia" w:ascii="宋体" w:hAnsi="宋体"/>
                <w:szCs w:val="21"/>
              </w:rPr>
            </w:pPr>
          </w:p>
        </w:tc>
        <w:tc>
          <w:tcPr>
            <w:tcW w:w="1465" w:type="dxa"/>
            <w:gridSpan w:val="2"/>
            <w:vAlign w:val="center"/>
          </w:tcPr>
          <w:p>
            <w:pPr>
              <w:rPr>
                <w:rFonts w:hint="eastAsia" w:ascii="宋体" w:hAnsi="宋体"/>
                <w:szCs w:val="21"/>
              </w:rPr>
            </w:pPr>
            <w:r>
              <w:rPr>
                <w:rFonts w:hint="eastAsia" w:ascii="宋体" w:hAnsi="宋体"/>
                <w:szCs w:val="21"/>
              </w:rPr>
              <w:t>电话</w:t>
            </w:r>
          </w:p>
        </w:tc>
        <w:tc>
          <w:tcPr>
            <w:tcW w:w="1433" w:type="dxa"/>
            <w:gridSpan w:val="2"/>
            <w:vAlign w:val="center"/>
          </w:tcPr>
          <w:p>
            <w:pPr>
              <w:rPr>
                <w:rFonts w:hint="eastAsia" w:ascii="宋体" w:hAnsi="宋体"/>
                <w:szCs w:val="21"/>
              </w:rPr>
            </w:pPr>
          </w:p>
        </w:tc>
        <w:tc>
          <w:tcPr>
            <w:tcW w:w="1396" w:type="dxa"/>
            <w:gridSpan w:val="2"/>
            <w:vAlign w:val="center"/>
          </w:tcPr>
          <w:p>
            <w:pPr>
              <w:rPr>
                <w:rFonts w:hint="eastAsia" w:ascii="宋体" w:hAnsi="宋体"/>
                <w:szCs w:val="21"/>
              </w:rPr>
            </w:pPr>
            <w:r>
              <w:rPr>
                <w:rFonts w:hint="eastAsia" w:ascii="宋体" w:hAnsi="宋体"/>
                <w:szCs w:val="21"/>
              </w:rPr>
              <w:t>传真</w:t>
            </w:r>
          </w:p>
        </w:tc>
        <w:tc>
          <w:tcPr>
            <w:tcW w:w="1594" w:type="dxa"/>
            <w:gridSpan w:val="2"/>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64" w:type="dxa"/>
            <w:vAlign w:val="center"/>
          </w:tcPr>
          <w:p>
            <w:pPr>
              <w:rPr>
                <w:rFonts w:hint="eastAsia" w:ascii="宋体" w:hAnsi="宋体"/>
                <w:szCs w:val="21"/>
              </w:rPr>
            </w:pPr>
            <w:r>
              <w:rPr>
                <w:rFonts w:hint="eastAsia" w:ascii="宋体" w:hAnsi="宋体"/>
                <w:szCs w:val="21"/>
              </w:rPr>
              <w:t>单位简介及机构设置</w:t>
            </w:r>
          </w:p>
        </w:tc>
        <w:tc>
          <w:tcPr>
            <w:tcW w:w="6964" w:type="dxa"/>
            <w:gridSpan w:val="9"/>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64" w:type="dxa"/>
            <w:vAlign w:val="center"/>
          </w:tcPr>
          <w:p>
            <w:pPr>
              <w:rPr>
                <w:rFonts w:hint="eastAsia" w:ascii="宋体" w:hAnsi="宋体"/>
                <w:szCs w:val="21"/>
              </w:rPr>
            </w:pPr>
            <w:r>
              <w:rPr>
                <w:rFonts w:hint="eastAsia" w:ascii="宋体" w:hAnsi="宋体"/>
                <w:szCs w:val="21"/>
              </w:rPr>
              <w:t>单位优势</w:t>
            </w:r>
          </w:p>
        </w:tc>
        <w:tc>
          <w:tcPr>
            <w:tcW w:w="6964" w:type="dxa"/>
            <w:gridSpan w:val="9"/>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64" w:type="dxa"/>
            <w:vMerge w:val="restart"/>
            <w:vAlign w:val="center"/>
          </w:tcPr>
          <w:p>
            <w:pPr>
              <w:rPr>
                <w:rFonts w:hint="eastAsia" w:ascii="宋体" w:hAnsi="宋体"/>
                <w:szCs w:val="21"/>
              </w:rPr>
            </w:pPr>
            <w:r>
              <w:rPr>
                <w:rFonts w:hint="eastAsia" w:ascii="宋体" w:hAnsi="宋体"/>
                <w:szCs w:val="21"/>
              </w:rPr>
              <w:t>单位概况</w:t>
            </w:r>
          </w:p>
        </w:tc>
        <w:tc>
          <w:tcPr>
            <w:tcW w:w="1076" w:type="dxa"/>
          </w:tcPr>
          <w:p>
            <w:pPr>
              <w:rPr>
                <w:rFonts w:hint="eastAsia" w:ascii="宋体" w:hAnsi="宋体"/>
                <w:szCs w:val="21"/>
              </w:rPr>
            </w:pPr>
            <w:r>
              <w:rPr>
                <w:rFonts w:hint="eastAsia" w:ascii="宋体" w:hAnsi="宋体"/>
                <w:szCs w:val="21"/>
              </w:rPr>
              <w:t>注册资本</w:t>
            </w:r>
          </w:p>
        </w:tc>
        <w:tc>
          <w:tcPr>
            <w:tcW w:w="1269" w:type="dxa"/>
          </w:tcPr>
          <w:p>
            <w:pPr>
              <w:rPr>
                <w:rFonts w:hint="eastAsia" w:ascii="宋体" w:hAnsi="宋体"/>
                <w:szCs w:val="21"/>
              </w:rPr>
            </w:pPr>
            <w:r>
              <w:rPr>
                <w:rFonts w:hint="eastAsia" w:ascii="宋体" w:hAnsi="宋体"/>
                <w:szCs w:val="21"/>
              </w:rPr>
              <w:t>万元</w:t>
            </w:r>
          </w:p>
        </w:tc>
        <w:tc>
          <w:tcPr>
            <w:tcW w:w="1407" w:type="dxa"/>
            <w:gridSpan w:val="2"/>
          </w:tcPr>
          <w:p>
            <w:pPr>
              <w:rPr>
                <w:rFonts w:hint="eastAsia" w:ascii="宋体" w:hAnsi="宋体"/>
                <w:szCs w:val="21"/>
              </w:rPr>
            </w:pPr>
            <w:r>
              <w:rPr>
                <w:rFonts w:hint="eastAsia" w:ascii="宋体" w:hAnsi="宋体"/>
                <w:szCs w:val="21"/>
              </w:rPr>
              <w:t>占地面积</w:t>
            </w:r>
          </w:p>
        </w:tc>
        <w:tc>
          <w:tcPr>
            <w:tcW w:w="3212" w:type="dxa"/>
            <w:gridSpan w:val="5"/>
          </w:tcPr>
          <w:p>
            <w:pPr>
              <w:rPr>
                <w:rFonts w:hint="eastAsia"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564" w:type="dxa"/>
            <w:vMerge w:val="continue"/>
          </w:tcPr>
          <w:p>
            <w:pPr>
              <w:rPr>
                <w:rFonts w:hint="eastAsia" w:ascii="宋体" w:hAnsi="宋体"/>
                <w:szCs w:val="21"/>
              </w:rPr>
            </w:pPr>
          </w:p>
        </w:tc>
        <w:tc>
          <w:tcPr>
            <w:tcW w:w="1076" w:type="dxa"/>
          </w:tcPr>
          <w:p>
            <w:pPr>
              <w:rPr>
                <w:rFonts w:hint="eastAsia" w:ascii="宋体" w:hAnsi="宋体"/>
                <w:szCs w:val="21"/>
              </w:rPr>
            </w:pPr>
            <w:r>
              <w:rPr>
                <w:rFonts w:hint="eastAsia" w:ascii="宋体" w:hAnsi="宋体"/>
                <w:szCs w:val="21"/>
              </w:rPr>
              <w:t>职工总数</w:t>
            </w:r>
          </w:p>
        </w:tc>
        <w:tc>
          <w:tcPr>
            <w:tcW w:w="1269" w:type="dxa"/>
          </w:tcPr>
          <w:p>
            <w:pPr>
              <w:rPr>
                <w:rFonts w:hint="eastAsia" w:ascii="宋体" w:hAnsi="宋体"/>
                <w:szCs w:val="21"/>
              </w:rPr>
            </w:pPr>
            <w:r>
              <w:rPr>
                <w:rFonts w:hint="eastAsia" w:ascii="宋体" w:hAnsi="宋体"/>
                <w:szCs w:val="21"/>
              </w:rPr>
              <w:t>人</w:t>
            </w:r>
          </w:p>
        </w:tc>
        <w:tc>
          <w:tcPr>
            <w:tcW w:w="1407" w:type="dxa"/>
            <w:gridSpan w:val="2"/>
          </w:tcPr>
          <w:p>
            <w:pPr>
              <w:rPr>
                <w:rFonts w:hint="eastAsia" w:ascii="宋体" w:hAnsi="宋体"/>
                <w:szCs w:val="21"/>
              </w:rPr>
            </w:pPr>
            <w:r>
              <w:rPr>
                <w:rFonts w:hint="eastAsia" w:ascii="宋体" w:hAnsi="宋体"/>
                <w:szCs w:val="21"/>
              </w:rPr>
              <w:t>建筑面积</w:t>
            </w:r>
          </w:p>
        </w:tc>
        <w:tc>
          <w:tcPr>
            <w:tcW w:w="3212" w:type="dxa"/>
            <w:gridSpan w:val="5"/>
          </w:tcPr>
          <w:p>
            <w:pPr>
              <w:rPr>
                <w:rFonts w:hint="eastAsia"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564" w:type="dxa"/>
            <w:vMerge w:val="continue"/>
          </w:tcPr>
          <w:p>
            <w:pPr>
              <w:rPr>
                <w:rFonts w:hint="eastAsia" w:ascii="宋体" w:hAnsi="宋体"/>
                <w:szCs w:val="21"/>
              </w:rPr>
            </w:pPr>
          </w:p>
        </w:tc>
        <w:tc>
          <w:tcPr>
            <w:tcW w:w="1076" w:type="dxa"/>
            <w:vMerge w:val="restart"/>
            <w:vAlign w:val="center"/>
          </w:tcPr>
          <w:p>
            <w:pPr>
              <w:rPr>
                <w:rFonts w:hint="eastAsia" w:ascii="宋体" w:hAnsi="宋体"/>
                <w:szCs w:val="21"/>
              </w:rPr>
            </w:pPr>
            <w:r>
              <w:rPr>
                <w:rFonts w:hint="eastAsia" w:ascii="宋体" w:hAnsi="宋体"/>
                <w:szCs w:val="21"/>
              </w:rPr>
              <w:t>资产情况</w:t>
            </w:r>
          </w:p>
        </w:tc>
        <w:tc>
          <w:tcPr>
            <w:tcW w:w="1269" w:type="dxa"/>
          </w:tcPr>
          <w:p>
            <w:pPr>
              <w:rPr>
                <w:rFonts w:hint="eastAsia" w:ascii="宋体" w:hAnsi="宋体"/>
                <w:szCs w:val="21"/>
              </w:rPr>
            </w:pPr>
            <w:r>
              <w:rPr>
                <w:rFonts w:hint="eastAsia" w:ascii="宋体" w:hAnsi="宋体"/>
                <w:szCs w:val="21"/>
              </w:rPr>
              <w:t>净资产</w:t>
            </w:r>
          </w:p>
        </w:tc>
        <w:tc>
          <w:tcPr>
            <w:tcW w:w="1407" w:type="dxa"/>
            <w:gridSpan w:val="2"/>
            <w:vAlign w:val="center"/>
          </w:tcPr>
          <w:p>
            <w:pPr>
              <w:rPr>
                <w:rFonts w:hint="eastAsia" w:ascii="宋体" w:hAnsi="宋体"/>
                <w:szCs w:val="21"/>
              </w:rPr>
            </w:pPr>
            <w:r>
              <w:rPr>
                <w:rFonts w:hint="eastAsia" w:ascii="宋体" w:hAnsi="宋体"/>
                <w:szCs w:val="21"/>
              </w:rPr>
              <w:t>万元</w:t>
            </w:r>
          </w:p>
        </w:tc>
        <w:tc>
          <w:tcPr>
            <w:tcW w:w="3212" w:type="dxa"/>
            <w:gridSpan w:val="5"/>
          </w:tcPr>
          <w:p>
            <w:pPr>
              <w:rPr>
                <w:rFonts w:hint="eastAsia" w:ascii="宋体" w:hAnsi="宋体"/>
                <w:szCs w:val="21"/>
              </w:rPr>
            </w:pPr>
            <w:r>
              <w:rPr>
                <w:rFonts w:hint="eastAsia" w:ascii="宋体" w:hAnsi="宋体"/>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564" w:type="dxa"/>
            <w:vMerge w:val="continue"/>
          </w:tcPr>
          <w:p>
            <w:pPr>
              <w:rPr>
                <w:rFonts w:hint="eastAsia" w:ascii="宋体" w:hAnsi="宋体"/>
                <w:szCs w:val="21"/>
              </w:rPr>
            </w:pPr>
          </w:p>
        </w:tc>
        <w:tc>
          <w:tcPr>
            <w:tcW w:w="1076" w:type="dxa"/>
            <w:vMerge w:val="continue"/>
          </w:tcPr>
          <w:p>
            <w:pPr>
              <w:rPr>
                <w:rFonts w:hint="eastAsia" w:ascii="宋体" w:hAnsi="宋体"/>
                <w:szCs w:val="21"/>
              </w:rPr>
            </w:pPr>
          </w:p>
        </w:tc>
        <w:tc>
          <w:tcPr>
            <w:tcW w:w="1269" w:type="dxa"/>
          </w:tcPr>
          <w:p>
            <w:pPr>
              <w:rPr>
                <w:rFonts w:hint="eastAsia" w:ascii="宋体" w:hAnsi="宋体"/>
                <w:szCs w:val="21"/>
              </w:rPr>
            </w:pPr>
            <w:r>
              <w:rPr>
                <w:rFonts w:hint="eastAsia" w:ascii="宋体" w:hAnsi="宋体"/>
                <w:szCs w:val="21"/>
              </w:rPr>
              <w:t>负债</w:t>
            </w:r>
          </w:p>
        </w:tc>
        <w:tc>
          <w:tcPr>
            <w:tcW w:w="1407" w:type="dxa"/>
            <w:gridSpan w:val="2"/>
            <w:vAlign w:val="center"/>
          </w:tcPr>
          <w:p>
            <w:pPr>
              <w:rPr>
                <w:rFonts w:hint="eastAsia" w:ascii="宋体" w:hAnsi="宋体"/>
                <w:szCs w:val="21"/>
              </w:rPr>
            </w:pPr>
            <w:r>
              <w:rPr>
                <w:rFonts w:hint="eastAsia" w:ascii="宋体" w:hAnsi="宋体"/>
                <w:szCs w:val="21"/>
              </w:rPr>
              <w:t>万元</w:t>
            </w:r>
          </w:p>
        </w:tc>
        <w:tc>
          <w:tcPr>
            <w:tcW w:w="3212" w:type="dxa"/>
            <w:gridSpan w:val="5"/>
          </w:tcPr>
          <w:p>
            <w:pPr>
              <w:rPr>
                <w:rFonts w:hint="eastAsia" w:ascii="宋体" w:hAnsi="宋体"/>
                <w:szCs w:val="21"/>
              </w:rPr>
            </w:pPr>
            <w:r>
              <w:rPr>
                <w:rFonts w:hint="eastAsia" w:ascii="宋体" w:hAnsi="宋体"/>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64" w:type="dxa"/>
          </w:tcPr>
          <w:p>
            <w:pPr>
              <w:rPr>
                <w:rFonts w:hint="eastAsia" w:ascii="宋体" w:hAnsi="宋体"/>
                <w:szCs w:val="21"/>
              </w:rPr>
            </w:pPr>
            <w:r>
              <w:rPr>
                <w:rFonts w:hint="eastAsia" w:ascii="宋体" w:hAnsi="宋体"/>
                <w:szCs w:val="21"/>
              </w:rPr>
              <w:t>银行信用评级</w:t>
            </w:r>
          </w:p>
        </w:tc>
        <w:tc>
          <w:tcPr>
            <w:tcW w:w="6964" w:type="dxa"/>
            <w:gridSpan w:val="9"/>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64" w:type="dxa"/>
            <w:vMerge w:val="restart"/>
            <w:vAlign w:val="center"/>
          </w:tcPr>
          <w:p>
            <w:pPr>
              <w:rPr>
                <w:rFonts w:hint="eastAsia" w:ascii="宋体" w:hAnsi="宋体"/>
                <w:szCs w:val="21"/>
              </w:rPr>
            </w:pPr>
            <w:r>
              <w:rPr>
                <w:rFonts w:hint="eastAsia" w:ascii="宋体" w:hAnsi="宋体"/>
                <w:szCs w:val="21"/>
              </w:rPr>
              <w:t>财务状况</w:t>
            </w:r>
          </w:p>
        </w:tc>
        <w:tc>
          <w:tcPr>
            <w:tcW w:w="1076" w:type="dxa"/>
            <w:vAlign w:val="center"/>
          </w:tcPr>
          <w:p>
            <w:pPr>
              <w:rPr>
                <w:rFonts w:hint="eastAsia" w:ascii="宋体" w:hAnsi="宋体"/>
                <w:szCs w:val="21"/>
              </w:rPr>
            </w:pPr>
            <w:r>
              <w:rPr>
                <w:rFonts w:hint="eastAsia" w:ascii="宋体" w:hAnsi="宋体"/>
                <w:szCs w:val="21"/>
              </w:rPr>
              <w:t>年度</w:t>
            </w:r>
          </w:p>
        </w:tc>
        <w:tc>
          <w:tcPr>
            <w:tcW w:w="1269" w:type="dxa"/>
            <w:vAlign w:val="center"/>
          </w:tcPr>
          <w:p>
            <w:pPr>
              <w:rPr>
                <w:rFonts w:hint="eastAsia" w:ascii="宋体" w:hAnsi="宋体"/>
                <w:szCs w:val="21"/>
              </w:rPr>
            </w:pPr>
            <w:r>
              <w:rPr>
                <w:rFonts w:hint="eastAsia" w:ascii="宋体" w:hAnsi="宋体"/>
                <w:szCs w:val="21"/>
              </w:rPr>
              <w:t>主营收入</w:t>
            </w:r>
          </w:p>
          <w:p>
            <w:pPr>
              <w:rPr>
                <w:rFonts w:hint="eastAsia" w:ascii="宋体" w:hAnsi="宋体"/>
                <w:szCs w:val="21"/>
              </w:rPr>
            </w:pPr>
            <w:r>
              <w:rPr>
                <w:rFonts w:hint="eastAsia" w:ascii="宋体" w:hAnsi="宋体"/>
                <w:szCs w:val="21"/>
              </w:rPr>
              <w:t>（万元）</w:t>
            </w:r>
          </w:p>
        </w:tc>
        <w:tc>
          <w:tcPr>
            <w:tcW w:w="1407" w:type="dxa"/>
            <w:gridSpan w:val="2"/>
            <w:vAlign w:val="center"/>
          </w:tcPr>
          <w:p>
            <w:pPr>
              <w:rPr>
                <w:rFonts w:hint="eastAsia" w:ascii="宋体" w:hAnsi="宋体"/>
                <w:szCs w:val="21"/>
              </w:rPr>
            </w:pPr>
            <w:r>
              <w:rPr>
                <w:rFonts w:hint="eastAsia" w:ascii="宋体" w:hAnsi="宋体"/>
                <w:szCs w:val="21"/>
              </w:rPr>
              <w:t>收入总额</w:t>
            </w:r>
          </w:p>
          <w:p>
            <w:pPr>
              <w:rPr>
                <w:rFonts w:hint="eastAsia" w:ascii="宋体" w:hAnsi="宋体"/>
                <w:szCs w:val="21"/>
              </w:rPr>
            </w:pPr>
            <w:r>
              <w:rPr>
                <w:rFonts w:hint="eastAsia" w:ascii="宋体" w:hAnsi="宋体"/>
                <w:szCs w:val="21"/>
              </w:rPr>
              <w:t>（万元）</w:t>
            </w:r>
          </w:p>
        </w:tc>
        <w:tc>
          <w:tcPr>
            <w:tcW w:w="1095" w:type="dxa"/>
            <w:gridSpan w:val="2"/>
            <w:vAlign w:val="center"/>
          </w:tcPr>
          <w:p>
            <w:pPr>
              <w:rPr>
                <w:rFonts w:hint="eastAsia" w:ascii="宋体" w:hAnsi="宋体"/>
                <w:szCs w:val="21"/>
              </w:rPr>
            </w:pPr>
            <w:r>
              <w:rPr>
                <w:rFonts w:hint="eastAsia" w:ascii="宋体" w:hAnsi="宋体"/>
                <w:szCs w:val="21"/>
              </w:rPr>
              <w:t>利润总额（万元）</w:t>
            </w:r>
          </w:p>
        </w:tc>
        <w:tc>
          <w:tcPr>
            <w:tcW w:w="1072" w:type="dxa"/>
            <w:gridSpan w:val="2"/>
            <w:vAlign w:val="center"/>
          </w:tcPr>
          <w:p>
            <w:pPr>
              <w:rPr>
                <w:rFonts w:hint="eastAsia" w:ascii="宋体" w:hAnsi="宋体"/>
                <w:szCs w:val="21"/>
              </w:rPr>
            </w:pPr>
            <w:r>
              <w:rPr>
                <w:rFonts w:hint="eastAsia" w:ascii="宋体" w:hAnsi="宋体"/>
                <w:szCs w:val="21"/>
              </w:rPr>
              <w:t>净利润（万元）</w:t>
            </w:r>
          </w:p>
        </w:tc>
        <w:tc>
          <w:tcPr>
            <w:tcW w:w="1045" w:type="dxa"/>
            <w:vAlign w:val="center"/>
          </w:tcPr>
          <w:p>
            <w:pPr>
              <w:rPr>
                <w:rFonts w:hint="eastAsia" w:ascii="宋体" w:hAnsi="宋体"/>
                <w:szCs w:val="21"/>
              </w:rPr>
            </w:pPr>
            <w:r>
              <w:rPr>
                <w:rFonts w:hint="eastAsia" w:ascii="宋体" w:hAnsi="宋体"/>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564" w:type="dxa"/>
            <w:vMerge w:val="continue"/>
          </w:tcPr>
          <w:p>
            <w:pPr>
              <w:rPr>
                <w:rFonts w:hint="eastAsia" w:ascii="宋体" w:hAnsi="宋体"/>
                <w:szCs w:val="21"/>
              </w:rPr>
            </w:pPr>
          </w:p>
        </w:tc>
        <w:tc>
          <w:tcPr>
            <w:tcW w:w="1076" w:type="dxa"/>
            <w:vAlign w:val="center"/>
          </w:tcPr>
          <w:p>
            <w:pPr>
              <w:rPr>
                <w:rFonts w:hint="eastAsia" w:ascii="宋体" w:hAnsi="宋体"/>
                <w:szCs w:val="21"/>
              </w:rPr>
            </w:pPr>
            <w:r>
              <w:rPr>
                <w:rFonts w:hint="eastAsia" w:ascii="宋体" w:hAnsi="宋体"/>
                <w:szCs w:val="21"/>
              </w:rPr>
              <w:t>2025年</w:t>
            </w:r>
          </w:p>
        </w:tc>
        <w:tc>
          <w:tcPr>
            <w:tcW w:w="1269" w:type="dxa"/>
          </w:tcPr>
          <w:p>
            <w:pPr>
              <w:rPr>
                <w:rFonts w:hint="eastAsia" w:ascii="宋体" w:hAnsi="宋体"/>
                <w:szCs w:val="21"/>
              </w:rPr>
            </w:pPr>
          </w:p>
        </w:tc>
        <w:tc>
          <w:tcPr>
            <w:tcW w:w="1407" w:type="dxa"/>
            <w:gridSpan w:val="2"/>
          </w:tcPr>
          <w:p>
            <w:pPr>
              <w:rPr>
                <w:rFonts w:hint="eastAsia" w:ascii="宋体" w:hAnsi="宋体"/>
                <w:szCs w:val="21"/>
              </w:rPr>
            </w:pPr>
          </w:p>
        </w:tc>
        <w:tc>
          <w:tcPr>
            <w:tcW w:w="1095" w:type="dxa"/>
            <w:gridSpan w:val="2"/>
          </w:tcPr>
          <w:p>
            <w:pPr>
              <w:rPr>
                <w:rFonts w:hint="eastAsia" w:ascii="宋体" w:hAnsi="宋体"/>
                <w:szCs w:val="21"/>
              </w:rPr>
            </w:pPr>
          </w:p>
        </w:tc>
        <w:tc>
          <w:tcPr>
            <w:tcW w:w="1072" w:type="dxa"/>
            <w:gridSpan w:val="2"/>
          </w:tcPr>
          <w:p>
            <w:pPr>
              <w:rPr>
                <w:rFonts w:hint="eastAsia" w:ascii="宋体" w:hAnsi="宋体"/>
                <w:szCs w:val="21"/>
              </w:rPr>
            </w:pPr>
          </w:p>
        </w:tc>
        <w:tc>
          <w:tcPr>
            <w:tcW w:w="1045" w:type="dxa"/>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564" w:type="dxa"/>
            <w:vMerge w:val="continue"/>
          </w:tcPr>
          <w:p>
            <w:pPr>
              <w:rPr>
                <w:rFonts w:hint="eastAsia" w:ascii="宋体" w:hAnsi="宋体"/>
                <w:szCs w:val="21"/>
              </w:rPr>
            </w:pPr>
          </w:p>
        </w:tc>
        <w:tc>
          <w:tcPr>
            <w:tcW w:w="1076" w:type="dxa"/>
            <w:vAlign w:val="center"/>
          </w:tcPr>
          <w:p>
            <w:pPr>
              <w:rPr>
                <w:rFonts w:hint="eastAsia" w:ascii="宋体" w:hAnsi="宋体"/>
                <w:szCs w:val="21"/>
              </w:rPr>
            </w:pPr>
            <w:r>
              <w:rPr>
                <w:rFonts w:hint="eastAsia" w:ascii="宋体" w:hAnsi="宋体"/>
                <w:szCs w:val="21"/>
              </w:rPr>
              <w:t>2024年</w:t>
            </w:r>
          </w:p>
        </w:tc>
        <w:tc>
          <w:tcPr>
            <w:tcW w:w="1269" w:type="dxa"/>
          </w:tcPr>
          <w:p>
            <w:pPr>
              <w:rPr>
                <w:rFonts w:hint="eastAsia" w:ascii="宋体" w:hAnsi="宋体"/>
                <w:szCs w:val="21"/>
              </w:rPr>
            </w:pPr>
          </w:p>
        </w:tc>
        <w:tc>
          <w:tcPr>
            <w:tcW w:w="1407" w:type="dxa"/>
            <w:gridSpan w:val="2"/>
          </w:tcPr>
          <w:p>
            <w:pPr>
              <w:rPr>
                <w:rFonts w:hint="eastAsia" w:ascii="宋体" w:hAnsi="宋体"/>
                <w:szCs w:val="21"/>
              </w:rPr>
            </w:pPr>
          </w:p>
        </w:tc>
        <w:tc>
          <w:tcPr>
            <w:tcW w:w="1095" w:type="dxa"/>
            <w:gridSpan w:val="2"/>
          </w:tcPr>
          <w:p>
            <w:pPr>
              <w:rPr>
                <w:rFonts w:hint="eastAsia" w:ascii="宋体" w:hAnsi="宋体"/>
                <w:szCs w:val="21"/>
              </w:rPr>
            </w:pPr>
          </w:p>
        </w:tc>
        <w:tc>
          <w:tcPr>
            <w:tcW w:w="1072" w:type="dxa"/>
            <w:gridSpan w:val="2"/>
          </w:tcPr>
          <w:p>
            <w:pPr>
              <w:rPr>
                <w:rFonts w:hint="eastAsia" w:ascii="宋体" w:hAnsi="宋体"/>
                <w:szCs w:val="21"/>
              </w:rPr>
            </w:pPr>
          </w:p>
        </w:tc>
        <w:tc>
          <w:tcPr>
            <w:tcW w:w="1045" w:type="dxa"/>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564" w:type="dxa"/>
            <w:vMerge w:val="continue"/>
          </w:tcPr>
          <w:p>
            <w:pPr>
              <w:rPr>
                <w:rFonts w:hint="eastAsia" w:ascii="宋体" w:hAnsi="宋体"/>
                <w:szCs w:val="21"/>
              </w:rPr>
            </w:pPr>
          </w:p>
        </w:tc>
        <w:tc>
          <w:tcPr>
            <w:tcW w:w="1076" w:type="dxa"/>
            <w:vAlign w:val="center"/>
          </w:tcPr>
          <w:p>
            <w:pPr>
              <w:rPr>
                <w:rFonts w:hint="eastAsia" w:ascii="宋体" w:hAnsi="宋体"/>
                <w:szCs w:val="21"/>
              </w:rPr>
            </w:pPr>
            <w:r>
              <w:rPr>
                <w:rFonts w:hint="eastAsia" w:ascii="宋体" w:hAnsi="宋体"/>
                <w:szCs w:val="21"/>
              </w:rPr>
              <w:t>2023年</w:t>
            </w:r>
          </w:p>
        </w:tc>
        <w:tc>
          <w:tcPr>
            <w:tcW w:w="1269" w:type="dxa"/>
          </w:tcPr>
          <w:p>
            <w:pPr>
              <w:rPr>
                <w:rFonts w:hint="eastAsia" w:ascii="宋体" w:hAnsi="宋体"/>
                <w:szCs w:val="21"/>
              </w:rPr>
            </w:pPr>
          </w:p>
        </w:tc>
        <w:tc>
          <w:tcPr>
            <w:tcW w:w="1407" w:type="dxa"/>
            <w:gridSpan w:val="2"/>
          </w:tcPr>
          <w:p>
            <w:pPr>
              <w:rPr>
                <w:rFonts w:hint="eastAsia" w:ascii="宋体" w:hAnsi="宋体"/>
                <w:szCs w:val="21"/>
              </w:rPr>
            </w:pPr>
          </w:p>
        </w:tc>
        <w:tc>
          <w:tcPr>
            <w:tcW w:w="1095" w:type="dxa"/>
            <w:gridSpan w:val="2"/>
          </w:tcPr>
          <w:p>
            <w:pPr>
              <w:rPr>
                <w:rFonts w:hint="eastAsia" w:ascii="宋体" w:hAnsi="宋体"/>
                <w:szCs w:val="21"/>
              </w:rPr>
            </w:pPr>
          </w:p>
        </w:tc>
        <w:tc>
          <w:tcPr>
            <w:tcW w:w="1072" w:type="dxa"/>
            <w:gridSpan w:val="2"/>
          </w:tcPr>
          <w:p>
            <w:pPr>
              <w:rPr>
                <w:rFonts w:hint="eastAsia" w:ascii="宋体" w:hAnsi="宋体"/>
                <w:szCs w:val="21"/>
              </w:rPr>
            </w:pPr>
          </w:p>
        </w:tc>
        <w:tc>
          <w:tcPr>
            <w:tcW w:w="1045" w:type="dxa"/>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8528" w:type="dxa"/>
            <w:gridSpan w:val="10"/>
          </w:tcPr>
          <w:p>
            <w:pPr>
              <w:rPr>
                <w:rFonts w:hint="eastAsia" w:ascii="宋体" w:hAnsi="宋体"/>
                <w:szCs w:val="21"/>
              </w:rPr>
            </w:pPr>
            <w:r>
              <w:rPr>
                <w:rFonts w:hint="eastAsia" w:ascii="宋体" w:hAnsi="宋体"/>
                <w:szCs w:val="21"/>
              </w:rPr>
              <w:t>注：表格后可附投标人对企业简介的文字、图片等形式的描述。</w:t>
            </w:r>
          </w:p>
        </w:tc>
      </w:tr>
    </w:tbl>
    <w:p>
      <w:pPr>
        <w:tabs>
          <w:tab w:val="left" w:pos="676"/>
          <w:tab w:val="left" w:pos="2330"/>
          <w:tab w:val="left" w:pos="9230"/>
        </w:tabs>
        <w:autoSpaceDE w:val="0"/>
        <w:autoSpaceDN w:val="0"/>
        <w:adjustRightInd w:val="0"/>
        <w:spacing w:before="120" w:line="360" w:lineRule="auto"/>
        <w:ind w:left="525" w:leftChars="250"/>
        <w:jc w:val="center"/>
        <w:rPr>
          <w:rFonts w:hint="eastAsia" w:ascii="宋体" w:hAnsi="宋体"/>
        </w:rPr>
      </w:pPr>
      <w:bookmarkStart w:id="2548" w:name="_Toc10726"/>
      <w:bookmarkStart w:id="2549" w:name="_Toc10567"/>
      <w:bookmarkStart w:id="2550" w:name="_Toc16366"/>
      <w:bookmarkStart w:id="2551" w:name="_Toc21525"/>
      <w:bookmarkStart w:id="2552" w:name="_Toc24306"/>
      <w:bookmarkStart w:id="2553" w:name="_Toc437878970"/>
      <w:bookmarkStart w:id="2554" w:name="_Toc32565"/>
      <w:bookmarkStart w:id="2555" w:name="_Toc30852"/>
      <w:bookmarkStart w:id="2556" w:name="_Toc24414"/>
      <w:bookmarkStart w:id="2557" w:name="_Toc6704"/>
      <w:bookmarkStart w:id="2558" w:name="_Toc26172"/>
      <w:bookmarkStart w:id="2559" w:name="_Toc6304"/>
      <w:bookmarkStart w:id="2560" w:name="_Toc30864"/>
      <w:bookmarkStart w:id="2561" w:name="_Toc27450"/>
      <w:bookmarkStart w:id="2562" w:name="_Toc22162"/>
      <w:r>
        <w:rPr>
          <w:rFonts w:hint="eastAsia" w:ascii="宋体" w:hAnsi="宋体"/>
        </w:rPr>
        <w:t xml:space="preserve">    投标人（公章）：</w:t>
      </w:r>
    </w:p>
    <w:p>
      <w:pPr>
        <w:pStyle w:val="40"/>
        <w:spacing w:line="360" w:lineRule="auto"/>
        <w:ind w:left="525" w:leftChars="250" w:firstLine="280" w:firstLineChars="0"/>
        <w:jc w:val="center"/>
        <w:rPr>
          <w:rFonts w:hint="eastAsia" w:ascii="宋体" w:hAnsi="宋体"/>
        </w:rPr>
      </w:pPr>
      <w:r>
        <w:rPr>
          <w:rFonts w:hint="eastAsia" w:hAnsi="宋体"/>
        </w:rPr>
        <w:t xml:space="preserve">     </w:t>
      </w:r>
      <w:r>
        <w:rPr>
          <w:rFonts w:hint="eastAsia" w:ascii="宋体" w:hAnsi="宋体"/>
          <w:sz w:val="21"/>
          <w:szCs w:val="24"/>
        </w:rPr>
        <w:t xml:space="preserve"> 日  期 ：</w:t>
      </w:r>
      <w:bookmarkStart w:id="2563" w:name="_Toc24095"/>
      <w:bookmarkStart w:id="2564" w:name="_Toc1438"/>
      <w:bookmarkStart w:id="2565" w:name="_Toc619"/>
      <w:bookmarkStart w:id="2566" w:name="_Toc5156"/>
      <w:bookmarkStart w:id="2567" w:name="_Toc29949"/>
      <w:bookmarkStart w:id="2568" w:name="_Toc9966"/>
      <w:bookmarkStart w:id="2569" w:name="_Toc5526"/>
      <w:bookmarkStart w:id="2570" w:name="_Toc31855"/>
      <w:bookmarkStart w:id="2571" w:name="_Toc31117"/>
      <w:bookmarkStart w:id="2572" w:name="_Toc1584"/>
      <w:bookmarkStart w:id="2573" w:name="_Toc20267"/>
      <w:bookmarkStart w:id="2574" w:name="_Toc4599"/>
      <w:bookmarkStart w:id="2575" w:name="_Toc10610"/>
      <w:bookmarkStart w:id="2576" w:name="_Toc8235"/>
      <w:bookmarkStart w:id="2577" w:name="_Toc19448"/>
      <w:bookmarkStart w:id="2578" w:name="_Toc30255"/>
      <w:bookmarkStart w:id="2579" w:name="_Toc30232"/>
    </w:p>
    <w:p>
      <w:pPr>
        <w:pStyle w:val="5"/>
        <w:spacing w:line="560" w:lineRule="exact"/>
        <w:jc w:val="center"/>
        <w:rPr>
          <w:rFonts w:hint="eastAsia" w:ascii="宋体" w:hAnsi="宋体" w:eastAsia="宋体"/>
        </w:rPr>
      </w:pPr>
    </w:p>
    <w:p>
      <w:pPr>
        <w:pStyle w:val="5"/>
        <w:keepNext/>
        <w:keepLines/>
        <w:pageBreakBefore/>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rPr>
      </w:pPr>
      <w:bookmarkStart w:id="2580" w:name="_Toc13181"/>
      <w:r>
        <w:rPr>
          <w:rFonts w:hint="eastAsia" w:ascii="宋体" w:hAnsi="宋体" w:eastAsia="宋体"/>
        </w:rPr>
        <w:t>5、同类业绩表</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rPr>
          <w:rFonts w:hint="eastAsia" w:ascii="宋体" w:hAnsi="宋体" w:cs="宋体"/>
          <w:szCs w:val="21"/>
        </w:rPr>
      </w:pPr>
      <w:r>
        <w:rPr>
          <w:rFonts w:hint="eastAsia" w:ascii="宋体" w:hAnsi="宋体" w:cs="宋体"/>
          <w:szCs w:val="21"/>
        </w:rPr>
        <w:t>2023年1月1日（含）至今完成的类似项目情况表</w:t>
      </w: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2063"/>
        <w:gridCol w:w="1160"/>
        <w:gridCol w:w="1160"/>
        <w:gridCol w:w="1160"/>
        <w:gridCol w:w="858"/>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457" w:type="pct"/>
            <w:vAlign w:val="center"/>
          </w:tcPr>
          <w:p>
            <w:pPr>
              <w:jc w:val="center"/>
              <w:rPr>
                <w:rFonts w:hint="eastAsia" w:ascii="宋体" w:hAnsi="宋体" w:cs="宋体"/>
                <w:bCs/>
                <w:szCs w:val="21"/>
              </w:rPr>
            </w:pPr>
            <w:r>
              <w:rPr>
                <w:rFonts w:hint="eastAsia" w:ascii="宋体" w:hAnsi="宋体" w:cs="宋体"/>
                <w:bCs/>
                <w:szCs w:val="21"/>
              </w:rPr>
              <w:t>序号</w:t>
            </w:r>
          </w:p>
        </w:tc>
        <w:tc>
          <w:tcPr>
            <w:tcW w:w="1209" w:type="pct"/>
            <w:vAlign w:val="center"/>
          </w:tcPr>
          <w:p>
            <w:pPr>
              <w:jc w:val="center"/>
              <w:rPr>
                <w:rFonts w:hint="eastAsia" w:ascii="宋体" w:hAnsi="宋体" w:cs="宋体"/>
                <w:bCs/>
                <w:szCs w:val="21"/>
              </w:rPr>
            </w:pPr>
            <w:r>
              <w:rPr>
                <w:rFonts w:hint="eastAsia" w:ascii="宋体" w:hAnsi="宋体" w:cs="宋体"/>
                <w:bCs/>
                <w:szCs w:val="21"/>
              </w:rPr>
              <w:t>项目名称</w:t>
            </w:r>
          </w:p>
        </w:tc>
        <w:tc>
          <w:tcPr>
            <w:tcW w:w="680" w:type="pct"/>
            <w:vAlign w:val="center"/>
          </w:tcPr>
          <w:p>
            <w:pPr>
              <w:jc w:val="center"/>
              <w:rPr>
                <w:rFonts w:hint="eastAsia" w:ascii="宋体" w:hAnsi="宋体" w:cs="宋体"/>
                <w:bCs/>
                <w:szCs w:val="21"/>
              </w:rPr>
            </w:pPr>
            <w:r>
              <w:rPr>
                <w:rFonts w:hint="eastAsia" w:ascii="宋体" w:hAnsi="宋体" w:cs="宋体"/>
                <w:bCs/>
                <w:szCs w:val="21"/>
              </w:rPr>
              <w:t>合同金额</w:t>
            </w:r>
          </w:p>
        </w:tc>
        <w:tc>
          <w:tcPr>
            <w:tcW w:w="680" w:type="pct"/>
            <w:vAlign w:val="center"/>
          </w:tcPr>
          <w:p>
            <w:pPr>
              <w:jc w:val="center"/>
              <w:rPr>
                <w:rFonts w:hint="eastAsia" w:ascii="宋体" w:hAnsi="宋体" w:cs="宋体"/>
                <w:bCs/>
                <w:szCs w:val="21"/>
              </w:rPr>
            </w:pPr>
            <w:r>
              <w:rPr>
                <w:rFonts w:hint="eastAsia" w:ascii="宋体" w:hAnsi="宋体" w:cs="宋体"/>
                <w:bCs/>
                <w:szCs w:val="21"/>
              </w:rPr>
              <w:t>甲方名称</w:t>
            </w:r>
          </w:p>
        </w:tc>
        <w:tc>
          <w:tcPr>
            <w:tcW w:w="680" w:type="pct"/>
            <w:vAlign w:val="center"/>
          </w:tcPr>
          <w:p>
            <w:pPr>
              <w:jc w:val="center"/>
              <w:rPr>
                <w:rFonts w:hint="eastAsia" w:ascii="宋体" w:hAnsi="宋体" w:cs="宋体"/>
                <w:bCs/>
                <w:szCs w:val="21"/>
              </w:rPr>
            </w:pPr>
            <w:r>
              <w:rPr>
                <w:rFonts w:hint="eastAsia" w:ascii="宋体" w:hAnsi="宋体" w:cs="宋体"/>
                <w:bCs/>
                <w:szCs w:val="21"/>
              </w:rPr>
              <w:t>签订合同时间</w:t>
            </w:r>
          </w:p>
        </w:tc>
        <w:tc>
          <w:tcPr>
            <w:tcW w:w="503" w:type="pct"/>
            <w:vAlign w:val="center"/>
          </w:tcPr>
          <w:p>
            <w:pPr>
              <w:jc w:val="center"/>
              <w:rPr>
                <w:rFonts w:hint="eastAsia" w:ascii="宋体" w:hAnsi="宋体" w:cs="宋体"/>
                <w:bCs/>
                <w:szCs w:val="21"/>
              </w:rPr>
            </w:pPr>
            <w:r>
              <w:rPr>
                <w:rFonts w:hint="eastAsia" w:ascii="宋体" w:hAnsi="宋体" w:cs="宋体"/>
                <w:bCs/>
                <w:szCs w:val="21"/>
              </w:rPr>
              <w:t>项目负责人</w:t>
            </w:r>
          </w:p>
        </w:tc>
        <w:tc>
          <w:tcPr>
            <w:tcW w:w="788" w:type="pct"/>
            <w:vAlign w:val="center"/>
          </w:tcPr>
          <w:p>
            <w:pPr>
              <w:jc w:val="center"/>
              <w:rPr>
                <w:rFonts w:hint="eastAsia" w:ascii="宋体" w:hAnsi="宋体" w:cs="宋体"/>
                <w:bCs/>
                <w:szCs w:val="21"/>
              </w:rPr>
            </w:pPr>
            <w:r>
              <w:rPr>
                <w:rFonts w:hint="eastAsia" w:ascii="宋体" w:hAnsi="宋体" w:cs="宋体"/>
                <w:szCs w:val="21"/>
              </w:rPr>
              <w:t>投标文件对应页码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vAlign w:val="center"/>
          </w:tcPr>
          <w:p>
            <w:pPr>
              <w:spacing w:line="500" w:lineRule="exact"/>
              <w:jc w:val="center"/>
              <w:rPr>
                <w:rFonts w:hint="eastAsia" w:ascii="宋体" w:hAnsi="宋体" w:cs="宋体"/>
                <w:szCs w:val="21"/>
              </w:rPr>
            </w:pPr>
          </w:p>
        </w:tc>
        <w:tc>
          <w:tcPr>
            <w:tcW w:w="1209" w:type="pct"/>
            <w:vAlign w:val="center"/>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680" w:type="pct"/>
          </w:tcPr>
          <w:p>
            <w:pPr>
              <w:spacing w:line="500" w:lineRule="exact"/>
              <w:jc w:val="center"/>
              <w:rPr>
                <w:rFonts w:hint="eastAsia" w:ascii="宋体" w:hAnsi="宋体" w:cs="宋体"/>
                <w:szCs w:val="21"/>
              </w:rPr>
            </w:pPr>
          </w:p>
        </w:tc>
        <w:tc>
          <w:tcPr>
            <w:tcW w:w="503" w:type="pct"/>
            <w:vAlign w:val="center"/>
          </w:tcPr>
          <w:p>
            <w:pPr>
              <w:spacing w:line="500" w:lineRule="exact"/>
              <w:jc w:val="center"/>
              <w:rPr>
                <w:rFonts w:hint="eastAsia" w:ascii="宋体" w:hAnsi="宋体" w:cs="宋体"/>
                <w:szCs w:val="21"/>
              </w:rPr>
            </w:pPr>
          </w:p>
        </w:tc>
        <w:tc>
          <w:tcPr>
            <w:tcW w:w="788" w:type="pct"/>
          </w:tcPr>
          <w:p>
            <w:pPr>
              <w:spacing w:line="500" w:lineRule="exact"/>
              <w:jc w:val="center"/>
              <w:rPr>
                <w:rFonts w:hint="eastAsia" w:ascii="宋体" w:hAnsi="宋体" w:cs="宋体"/>
                <w:szCs w:val="21"/>
              </w:rPr>
            </w:pPr>
          </w:p>
        </w:tc>
      </w:tr>
    </w:tbl>
    <w:p>
      <w:pPr>
        <w:spacing w:line="360" w:lineRule="auto"/>
        <w:rPr>
          <w:rFonts w:hint="eastAsia" w:ascii="宋体" w:hAnsi="宋体" w:cs="宋体"/>
          <w:bCs/>
          <w:szCs w:val="21"/>
          <w:u w:val="single"/>
        </w:rPr>
      </w:pPr>
      <w:r>
        <w:rPr>
          <w:rFonts w:hint="eastAsia" w:ascii="宋体" w:hAnsi="宋体" w:cs="宋体"/>
          <w:bCs/>
          <w:szCs w:val="21"/>
          <w:u w:val="single"/>
        </w:rPr>
        <w:t>备注：投标人必须如实填写，须按资格或评分要求提供证明材料，否则不予认可。</w:t>
      </w:r>
    </w:p>
    <w:p>
      <w:pPr>
        <w:pStyle w:val="40"/>
        <w:ind w:firstLine="0" w:firstLineChars="0"/>
        <w:rPr>
          <w:rFonts w:hint="eastAsia" w:ascii="宋体" w:hAnsi="宋体" w:cs="宋体"/>
        </w:rPr>
      </w:pPr>
    </w:p>
    <w:p>
      <w:pPr>
        <w:tabs>
          <w:tab w:val="left" w:pos="676"/>
          <w:tab w:val="left" w:pos="2330"/>
          <w:tab w:val="left" w:pos="9230"/>
        </w:tabs>
        <w:autoSpaceDE w:val="0"/>
        <w:autoSpaceDN w:val="0"/>
        <w:adjustRightInd w:val="0"/>
        <w:spacing w:before="120" w:line="360" w:lineRule="auto"/>
        <w:ind w:left="525" w:leftChars="250"/>
        <w:jc w:val="center"/>
        <w:rPr>
          <w:rFonts w:hint="eastAsia" w:ascii="宋体" w:hAnsi="宋体"/>
          <w:szCs w:val="21"/>
        </w:rPr>
      </w:pPr>
      <w:r>
        <w:rPr>
          <w:rFonts w:hint="eastAsia" w:ascii="宋体" w:hAnsi="宋体"/>
        </w:rPr>
        <w:t xml:space="preserve">         </w:t>
      </w:r>
      <w:r>
        <w:rPr>
          <w:rFonts w:hint="eastAsia" w:ascii="宋体" w:hAnsi="宋体"/>
          <w:szCs w:val="21"/>
        </w:rPr>
        <w:t xml:space="preserve">  投标人（公章）：</w:t>
      </w:r>
    </w:p>
    <w:p>
      <w:pPr>
        <w:pStyle w:val="40"/>
        <w:spacing w:line="360" w:lineRule="auto"/>
        <w:ind w:left="525" w:leftChars="250" w:firstLine="210"/>
        <w:jc w:val="center"/>
        <w:rPr>
          <w:rFonts w:hint="eastAsia" w:ascii="宋体" w:hAnsi="宋体"/>
          <w:sz w:val="21"/>
          <w:szCs w:val="21"/>
        </w:rPr>
      </w:pPr>
      <w:r>
        <w:rPr>
          <w:rFonts w:hint="eastAsia" w:hAnsi="宋体"/>
          <w:sz w:val="21"/>
          <w:szCs w:val="21"/>
        </w:rPr>
        <w:t xml:space="preserve">     </w:t>
      </w:r>
      <w:r>
        <w:rPr>
          <w:rFonts w:hint="eastAsia" w:ascii="宋体" w:hAnsi="宋体"/>
          <w:sz w:val="21"/>
          <w:szCs w:val="21"/>
        </w:rPr>
        <w:t xml:space="preserve">        日  期 ：</w:t>
      </w:r>
    </w:p>
    <w:p>
      <w:pPr>
        <w:pStyle w:val="40"/>
        <w:ind w:firstLine="280"/>
        <w:sectPr>
          <w:pgSz w:w="11906" w:h="16838"/>
          <w:pgMar w:top="1100" w:right="1797" w:bottom="703" w:left="1797" w:header="851" w:footer="992" w:gutter="0"/>
          <w:cols w:space="720" w:num="1"/>
          <w:docGrid w:type="lines" w:linePitch="312" w:charSpace="0"/>
        </w:sectPr>
      </w:pPr>
    </w:p>
    <w:p>
      <w:pPr>
        <w:pStyle w:val="5"/>
        <w:spacing w:line="560" w:lineRule="exact"/>
        <w:jc w:val="center"/>
        <w:rPr>
          <w:rFonts w:hint="eastAsia" w:ascii="宋体" w:hAnsi="宋体" w:eastAsia="宋体"/>
        </w:rPr>
      </w:pPr>
      <w:bookmarkStart w:id="2581" w:name="_Toc29093"/>
      <w:bookmarkStart w:id="2582" w:name="_Toc23204"/>
      <w:bookmarkStart w:id="2583" w:name="_Toc29481"/>
      <w:bookmarkStart w:id="2584" w:name="_Toc13757"/>
      <w:bookmarkStart w:id="2585" w:name="_Toc23555"/>
      <w:bookmarkStart w:id="2586" w:name="_Toc11078"/>
      <w:bookmarkStart w:id="2587" w:name="_Toc31049"/>
      <w:bookmarkStart w:id="2588" w:name="_Toc31342"/>
      <w:bookmarkStart w:id="2589" w:name="_Toc20973"/>
      <w:bookmarkStart w:id="2590" w:name="_Toc27946"/>
      <w:bookmarkStart w:id="2591" w:name="_Toc13703"/>
      <w:bookmarkStart w:id="2592" w:name="_Toc14992"/>
      <w:bookmarkStart w:id="2593" w:name="_Toc32066"/>
      <w:bookmarkStart w:id="2594" w:name="_Toc1808"/>
      <w:bookmarkStart w:id="2595" w:name="_Toc17804"/>
      <w:bookmarkStart w:id="2596" w:name="_Toc5618"/>
      <w:bookmarkStart w:id="2597" w:name="_Toc13618"/>
      <w:bookmarkStart w:id="2598" w:name="_Toc20341"/>
      <w:r>
        <w:rPr>
          <w:rFonts w:hint="eastAsia" w:ascii="宋体" w:hAnsi="宋体" w:eastAsia="宋体"/>
        </w:rPr>
        <w:t>6、公司服务团队素质及本项目负责人情况表</w:t>
      </w:r>
      <w:bookmarkEnd w:id="2548"/>
      <w:bookmarkEnd w:id="2549"/>
      <w:bookmarkEnd w:id="2550"/>
      <w:bookmarkEnd w:id="2551"/>
      <w:bookmarkEnd w:id="2552"/>
      <w:bookmarkEnd w:id="2553"/>
      <w:bookmarkEnd w:id="2554"/>
      <w:bookmarkEnd w:id="2555"/>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spacing w:line="560" w:lineRule="exact"/>
        <w:rPr>
          <w:rFonts w:eastAsia="黑体"/>
          <w:b/>
          <w:sz w:val="23"/>
          <w:szCs w:val="23"/>
        </w:rPr>
      </w:pPr>
      <w:r>
        <w:rPr>
          <w:rFonts w:hint="eastAsia"/>
          <w:b/>
        </w:rPr>
        <w:t>投标人拟针对本项目的人员配置表（介绍项目负责人、全程跟踪服务等主要人员信息）</w:t>
      </w:r>
    </w:p>
    <w:tbl>
      <w:tblPr>
        <w:tblStyle w:val="41"/>
        <w:tblW w:w="8965" w:type="dxa"/>
        <w:tblInd w:w="-7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30"/>
        <w:gridCol w:w="1200"/>
        <w:gridCol w:w="925"/>
        <w:gridCol w:w="1080"/>
        <w:gridCol w:w="1875"/>
        <w:gridCol w:w="1425"/>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9" w:hRule="atLeast"/>
        </w:trPr>
        <w:tc>
          <w:tcPr>
            <w:tcW w:w="930" w:type="dxa"/>
            <w:vAlign w:val="center"/>
          </w:tcPr>
          <w:p>
            <w:pPr>
              <w:spacing w:line="360" w:lineRule="auto"/>
              <w:jc w:val="center"/>
              <w:rPr>
                <w:rFonts w:hint="eastAsia" w:ascii="宋体" w:hAnsi="宋体"/>
              </w:rPr>
            </w:pPr>
            <w:r>
              <w:rPr>
                <w:rFonts w:hint="eastAsia" w:ascii="宋体" w:hAnsi="宋体"/>
              </w:rPr>
              <w:t>序号</w:t>
            </w:r>
          </w:p>
        </w:tc>
        <w:tc>
          <w:tcPr>
            <w:tcW w:w="1200" w:type="dxa"/>
            <w:vAlign w:val="center"/>
          </w:tcPr>
          <w:p>
            <w:pPr>
              <w:spacing w:line="360" w:lineRule="auto"/>
              <w:jc w:val="center"/>
              <w:rPr>
                <w:rFonts w:hint="eastAsia" w:ascii="宋体" w:hAnsi="宋体"/>
              </w:rPr>
            </w:pPr>
            <w:r>
              <w:rPr>
                <w:rFonts w:hint="eastAsia" w:ascii="宋体" w:hAnsi="宋体"/>
              </w:rPr>
              <w:t>内容</w:t>
            </w:r>
          </w:p>
        </w:tc>
        <w:tc>
          <w:tcPr>
            <w:tcW w:w="925" w:type="dxa"/>
            <w:vAlign w:val="center"/>
          </w:tcPr>
          <w:p>
            <w:pPr>
              <w:spacing w:line="360" w:lineRule="auto"/>
              <w:jc w:val="center"/>
              <w:rPr>
                <w:rFonts w:hint="eastAsia" w:ascii="宋体" w:hAnsi="宋体"/>
              </w:rPr>
            </w:pPr>
            <w:r>
              <w:rPr>
                <w:rFonts w:hint="eastAsia" w:ascii="宋体" w:hAnsi="宋体"/>
              </w:rPr>
              <w:t>姓名</w:t>
            </w:r>
          </w:p>
        </w:tc>
        <w:tc>
          <w:tcPr>
            <w:tcW w:w="1080" w:type="dxa"/>
            <w:vAlign w:val="center"/>
          </w:tcPr>
          <w:p>
            <w:pPr>
              <w:spacing w:line="360" w:lineRule="auto"/>
              <w:jc w:val="center"/>
              <w:rPr>
                <w:rFonts w:hint="eastAsia" w:ascii="宋体" w:hAnsi="宋体"/>
              </w:rPr>
            </w:pPr>
            <w:r>
              <w:rPr>
                <w:rFonts w:hint="eastAsia" w:ascii="宋体" w:hAnsi="宋体"/>
              </w:rPr>
              <w:t>公司职务</w:t>
            </w:r>
          </w:p>
        </w:tc>
        <w:tc>
          <w:tcPr>
            <w:tcW w:w="1875" w:type="dxa"/>
            <w:vAlign w:val="center"/>
          </w:tcPr>
          <w:p>
            <w:pPr>
              <w:spacing w:line="360" w:lineRule="auto"/>
              <w:jc w:val="center"/>
              <w:rPr>
                <w:rFonts w:hint="eastAsia" w:ascii="宋体" w:hAnsi="宋体"/>
              </w:rPr>
            </w:pPr>
            <w:r>
              <w:rPr>
                <w:rFonts w:hint="eastAsia" w:ascii="宋体" w:hAnsi="宋体"/>
              </w:rPr>
              <w:t>岗位职责</w:t>
            </w:r>
          </w:p>
        </w:tc>
        <w:tc>
          <w:tcPr>
            <w:tcW w:w="1425" w:type="dxa"/>
            <w:vAlign w:val="center"/>
          </w:tcPr>
          <w:p>
            <w:pPr>
              <w:spacing w:line="360" w:lineRule="auto"/>
              <w:jc w:val="center"/>
              <w:rPr>
                <w:rFonts w:hint="eastAsia" w:ascii="宋体" w:hAnsi="宋体"/>
              </w:rPr>
            </w:pPr>
            <w:r>
              <w:rPr>
                <w:rFonts w:hint="eastAsia" w:ascii="宋体" w:hAnsi="宋体"/>
              </w:rPr>
              <w:t>参加工作时间</w:t>
            </w:r>
          </w:p>
        </w:tc>
        <w:tc>
          <w:tcPr>
            <w:tcW w:w="1530" w:type="dxa"/>
            <w:vAlign w:val="center"/>
          </w:tcPr>
          <w:p>
            <w:pPr>
              <w:spacing w:line="360" w:lineRule="auto"/>
              <w:jc w:val="center"/>
              <w:rPr>
                <w:rFonts w:hint="eastAsia" w:ascii="宋体" w:hAnsi="宋体"/>
              </w:rPr>
            </w:pPr>
            <w:r>
              <w:rPr>
                <w:rFonts w:hint="eastAsia" w:ascii="宋体" w:hAnsi="宋体"/>
              </w:rPr>
              <w:t>任职年限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9" w:hRule="atLeast"/>
        </w:trPr>
        <w:tc>
          <w:tcPr>
            <w:tcW w:w="930" w:type="dxa"/>
            <w:vAlign w:val="center"/>
          </w:tcPr>
          <w:p>
            <w:pPr>
              <w:spacing w:line="360" w:lineRule="auto"/>
              <w:jc w:val="center"/>
              <w:rPr>
                <w:rFonts w:hint="eastAsia" w:ascii="宋体" w:hAnsi="宋体"/>
              </w:rPr>
            </w:pPr>
            <w:r>
              <w:rPr>
                <w:rFonts w:hint="eastAsia" w:ascii="宋体" w:hAnsi="宋体"/>
              </w:rPr>
              <w:t>1</w:t>
            </w:r>
          </w:p>
        </w:tc>
        <w:tc>
          <w:tcPr>
            <w:tcW w:w="1200" w:type="dxa"/>
            <w:vAlign w:val="center"/>
          </w:tcPr>
          <w:p>
            <w:pPr>
              <w:spacing w:line="360" w:lineRule="auto"/>
              <w:jc w:val="center"/>
              <w:rPr>
                <w:rFonts w:hint="eastAsia" w:ascii="宋体" w:hAnsi="宋体"/>
              </w:rPr>
            </w:pPr>
            <w:r>
              <w:rPr>
                <w:rFonts w:hint="eastAsia" w:ascii="宋体" w:hAnsi="宋体"/>
              </w:rPr>
              <w:t>项目负责人</w:t>
            </w:r>
          </w:p>
        </w:tc>
        <w:tc>
          <w:tcPr>
            <w:tcW w:w="925" w:type="dxa"/>
            <w:vAlign w:val="center"/>
          </w:tcPr>
          <w:p>
            <w:pPr>
              <w:spacing w:line="360" w:lineRule="auto"/>
              <w:ind w:firstLine="420" w:firstLineChars="200"/>
              <w:rPr>
                <w:rFonts w:hint="eastAsia" w:ascii="宋体" w:hAnsi="宋体"/>
              </w:rPr>
            </w:pPr>
            <w:r>
              <w:rPr>
                <w:rFonts w:ascii="宋体" w:hAnsi="宋体"/>
              </w:rPr>
              <w:t>…</w:t>
            </w:r>
          </w:p>
        </w:tc>
        <w:tc>
          <w:tcPr>
            <w:tcW w:w="1080" w:type="dxa"/>
            <w:vAlign w:val="center"/>
          </w:tcPr>
          <w:p>
            <w:pPr>
              <w:spacing w:line="360" w:lineRule="auto"/>
              <w:ind w:firstLine="420" w:firstLineChars="200"/>
              <w:rPr>
                <w:rFonts w:hint="eastAsia" w:ascii="宋体" w:hAnsi="宋体"/>
              </w:rPr>
            </w:pPr>
          </w:p>
        </w:tc>
        <w:tc>
          <w:tcPr>
            <w:tcW w:w="1875" w:type="dxa"/>
            <w:vAlign w:val="center"/>
          </w:tcPr>
          <w:p>
            <w:pPr>
              <w:spacing w:line="360" w:lineRule="auto"/>
              <w:ind w:firstLine="420" w:firstLineChars="200"/>
              <w:rPr>
                <w:rFonts w:hint="eastAsia" w:ascii="宋体" w:hAnsi="宋体"/>
              </w:rPr>
            </w:pPr>
          </w:p>
        </w:tc>
        <w:tc>
          <w:tcPr>
            <w:tcW w:w="1425" w:type="dxa"/>
            <w:vAlign w:val="center"/>
          </w:tcPr>
          <w:p>
            <w:pPr>
              <w:spacing w:line="360" w:lineRule="auto"/>
              <w:ind w:firstLine="420" w:firstLineChars="200"/>
              <w:rPr>
                <w:rFonts w:hint="eastAsia" w:ascii="宋体" w:hAnsi="宋体"/>
              </w:rPr>
            </w:pPr>
          </w:p>
        </w:tc>
        <w:tc>
          <w:tcPr>
            <w:tcW w:w="1530" w:type="dxa"/>
            <w:vAlign w:val="center"/>
          </w:tcPr>
          <w:p>
            <w:pPr>
              <w:spacing w:line="360" w:lineRule="auto"/>
              <w:ind w:firstLine="420" w:firstLineChars="200"/>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9" w:hRule="atLeast"/>
        </w:trPr>
        <w:tc>
          <w:tcPr>
            <w:tcW w:w="930" w:type="dxa"/>
            <w:vAlign w:val="center"/>
          </w:tcPr>
          <w:p>
            <w:pPr>
              <w:spacing w:line="360" w:lineRule="auto"/>
              <w:jc w:val="center"/>
              <w:rPr>
                <w:rFonts w:hint="eastAsia" w:ascii="宋体" w:hAnsi="宋体"/>
              </w:rPr>
            </w:pPr>
            <w:r>
              <w:rPr>
                <w:rFonts w:hint="eastAsia" w:ascii="宋体" w:hAnsi="宋体"/>
              </w:rPr>
              <w:t>2</w:t>
            </w:r>
          </w:p>
        </w:tc>
        <w:tc>
          <w:tcPr>
            <w:tcW w:w="1200" w:type="dxa"/>
            <w:vAlign w:val="center"/>
          </w:tcPr>
          <w:p>
            <w:pPr>
              <w:spacing w:line="360" w:lineRule="auto"/>
              <w:jc w:val="center"/>
              <w:rPr>
                <w:rFonts w:hint="eastAsia" w:ascii="宋体" w:hAnsi="宋体"/>
              </w:rPr>
            </w:pPr>
          </w:p>
        </w:tc>
        <w:tc>
          <w:tcPr>
            <w:tcW w:w="925" w:type="dxa"/>
            <w:vAlign w:val="center"/>
          </w:tcPr>
          <w:p>
            <w:pPr>
              <w:spacing w:line="360" w:lineRule="auto"/>
              <w:ind w:firstLine="420" w:firstLineChars="200"/>
              <w:rPr>
                <w:rFonts w:hint="eastAsia" w:ascii="宋体" w:hAnsi="宋体"/>
              </w:rPr>
            </w:pPr>
          </w:p>
        </w:tc>
        <w:tc>
          <w:tcPr>
            <w:tcW w:w="1080" w:type="dxa"/>
            <w:vAlign w:val="center"/>
          </w:tcPr>
          <w:p>
            <w:pPr>
              <w:spacing w:line="360" w:lineRule="auto"/>
              <w:ind w:firstLine="420" w:firstLineChars="200"/>
              <w:rPr>
                <w:rFonts w:hint="eastAsia" w:ascii="宋体" w:hAnsi="宋体"/>
              </w:rPr>
            </w:pPr>
          </w:p>
        </w:tc>
        <w:tc>
          <w:tcPr>
            <w:tcW w:w="1875" w:type="dxa"/>
            <w:vAlign w:val="center"/>
          </w:tcPr>
          <w:p>
            <w:pPr>
              <w:spacing w:line="360" w:lineRule="auto"/>
              <w:ind w:firstLine="420" w:firstLineChars="200"/>
              <w:rPr>
                <w:rFonts w:hint="eastAsia" w:ascii="宋体" w:hAnsi="宋体"/>
              </w:rPr>
            </w:pPr>
          </w:p>
        </w:tc>
        <w:tc>
          <w:tcPr>
            <w:tcW w:w="1425" w:type="dxa"/>
            <w:vAlign w:val="center"/>
          </w:tcPr>
          <w:p>
            <w:pPr>
              <w:spacing w:line="360" w:lineRule="auto"/>
              <w:ind w:firstLine="420" w:firstLineChars="200"/>
              <w:rPr>
                <w:rFonts w:hint="eastAsia" w:ascii="宋体" w:hAnsi="宋体"/>
              </w:rPr>
            </w:pPr>
          </w:p>
        </w:tc>
        <w:tc>
          <w:tcPr>
            <w:tcW w:w="1530" w:type="dxa"/>
            <w:vAlign w:val="center"/>
          </w:tcPr>
          <w:p>
            <w:pPr>
              <w:spacing w:line="360" w:lineRule="auto"/>
              <w:ind w:firstLine="420" w:firstLineChars="200"/>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9" w:hRule="atLeast"/>
        </w:trPr>
        <w:tc>
          <w:tcPr>
            <w:tcW w:w="930" w:type="dxa"/>
            <w:vAlign w:val="center"/>
          </w:tcPr>
          <w:p>
            <w:pPr>
              <w:spacing w:line="360" w:lineRule="auto"/>
              <w:jc w:val="center"/>
              <w:rPr>
                <w:rFonts w:hint="eastAsia" w:ascii="宋体" w:hAnsi="宋体"/>
              </w:rPr>
            </w:pPr>
            <w:r>
              <w:rPr>
                <w:rFonts w:hint="eastAsia" w:ascii="宋体" w:hAnsi="宋体"/>
              </w:rPr>
              <w:t>3</w:t>
            </w:r>
          </w:p>
        </w:tc>
        <w:tc>
          <w:tcPr>
            <w:tcW w:w="1200" w:type="dxa"/>
            <w:vAlign w:val="center"/>
          </w:tcPr>
          <w:p>
            <w:pPr>
              <w:spacing w:line="360" w:lineRule="auto"/>
              <w:jc w:val="center"/>
              <w:rPr>
                <w:rFonts w:hint="eastAsia" w:ascii="宋体" w:hAnsi="宋体"/>
              </w:rPr>
            </w:pPr>
          </w:p>
        </w:tc>
        <w:tc>
          <w:tcPr>
            <w:tcW w:w="925" w:type="dxa"/>
            <w:vAlign w:val="center"/>
          </w:tcPr>
          <w:p>
            <w:pPr>
              <w:spacing w:line="360" w:lineRule="auto"/>
              <w:ind w:firstLine="420" w:firstLineChars="200"/>
              <w:rPr>
                <w:rFonts w:hint="eastAsia" w:ascii="宋体" w:hAnsi="宋体"/>
              </w:rPr>
            </w:pPr>
          </w:p>
        </w:tc>
        <w:tc>
          <w:tcPr>
            <w:tcW w:w="1080" w:type="dxa"/>
            <w:vAlign w:val="center"/>
          </w:tcPr>
          <w:p>
            <w:pPr>
              <w:spacing w:line="360" w:lineRule="auto"/>
              <w:ind w:firstLine="420" w:firstLineChars="200"/>
              <w:rPr>
                <w:rFonts w:hint="eastAsia" w:ascii="宋体" w:hAnsi="宋体"/>
              </w:rPr>
            </w:pPr>
          </w:p>
        </w:tc>
        <w:tc>
          <w:tcPr>
            <w:tcW w:w="1875" w:type="dxa"/>
            <w:vAlign w:val="center"/>
          </w:tcPr>
          <w:p>
            <w:pPr>
              <w:spacing w:line="360" w:lineRule="auto"/>
              <w:ind w:firstLine="420" w:firstLineChars="200"/>
              <w:rPr>
                <w:rFonts w:hint="eastAsia" w:ascii="宋体" w:hAnsi="宋体"/>
              </w:rPr>
            </w:pPr>
          </w:p>
        </w:tc>
        <w:tc>
          <w:tcPr>
            <w:tcW w:w="1425" w:type="dxa"/>
            <w:vAlign w:val="center"/>
          </w:tcPr>
          <w:p>
            <w:pPr>
              <w:spacing w:line="360" w:lineRule="auto"/>
              <w:ind w:firstLine="420" w:firstLineChars="200"/>
              <w:rPr>
                <w:rFonts w:hint="eastAsia" w:ascii="宋体" w:hAnsi="宋体"/>
              </w:rPr>
            </w:pPr>
          </w:p>
        </w:tc>
        <w:tc>
          <w:tcPr>
            <w:tcW w:w="1530" w:type="dxa"/>
            <w:vAlign w:val="center"/>
          </w:tcPr>
          <w:p>
            <w:pPr>
              <w:spacing w:line="360" w:lineRule="auto"/>
              <w:ind w:firstLine="420" w:firstLineChars="200"/>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30" w:type="dxa"/>
            <w:vAlign w:val="center"/>
          </w:tcPr>
          <w:p>
            <w:pPr>
              <w:spacing w:line="360" w:lineRule="auto"/>
              <w:jc w:val="center"/>
              <w:rPr>
                <w:rFonts w:hint="eastAsia" w:ascii="宋体" w:hAnsi="宋体"/>
              </w:rPr>
            </w:pPr>
            <w:r>
              <w:rPr>
                <w:rFonts w:hint="eastAsia" w:ascii="宋体" w:hAnsi="宋体"/>
              </w:rPr>
              <w:t>服务单位</w:t>
            </w:r>
          </w:p>
        </w:tc>
        <w:tc>
          <w:tcPr>
            <w:tcW w:w="3205" w:type="dxa"/>
            <w:gridSpan w:val="3"/>
            <w:vAlign w:val="center"/>
          </w:tcPr>
          <w:p>
            <w:pPr>
              <w:spacing w:line="360" w:lineRule="auto"/>
              <w:ind w:firstLine="1050" w:firstLineChars="500"/>
              <w:rPr>
                <w:rFonts w:hint="eastAsia" w:ascii="宋体" w:hAnsi="宋体"/>
              </w:rPr>
            </w:pPr>
            <w:r>
              <w:rPr>
                <w:rFonts w:hint="eastAsia" w:ascii="宋体" w:hAnsi="宋体"/>
              </w:rPr>
              <w:t>项目名称</w:t>
            </w:r>
          </w:p>
        </w:tc>
        <w:tc>
          <w:tcPr>
            <w:tcW w:w="3300" w:type="dxa"/>
            <w:gridSpan w:val="2"/>
            <w:vAlign w:val="center"/>
          </w:tcPr>
          <w:p>
            <w:pPr>
              <w:spacing w:line="360" w:lineRule="auto"/>
              <w:ind w:firstLine="420" w:firstLineChars="200"/>
              <w:jc w:val="center"/>
              <w:rPr>
                <w:rFonts w:hint="eastAsia" w:ascii="宋体" w:hAnsi="宋体"/>
              </w:rPr>
            </w:pPr>
            <w:r>
              <w:rPr>
                <w:rFonts w:hint="eastAsia" w:ascii="宋体" w:hAnsi="宋体"/>
              </w:rPr>
              <w:t>担任职务或承担工作内容</w:t>
            </w:r>
          </w:p>
        </w:tc>
        <w:tc>
          <w:tcPr>
            <w:tcW w:w="1530" w:type="dxa"/>
            <w:vAlign w:val="center"/>
          </w:tcPr>
          <w:p>
            <w:pPr>
              <w:spacing w:line="360" w:lineRule="auto"/>
              <w:jc w:val="center"/>
              <w:rPr>
                <w:rFonts w:hint="eastAsia" w:ascii="宋体" w:hAnsi="宋体"/>
              </w:rPr>
            </w:pPr>
            <w:r>
              <w:rPr>
                <w:rFonts w:hint="eastAsia" w:ascii="宋体" w:hAnsi="宋体"/>
              </w:rPr>
              <w:t>服务期限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30" w:type="dxa"/>
            <w:vAlign w:val="center"/>
          </w:tcPr>
          <w:p>
            <w:pPr>
              <w:spacing w:line="360" w:lineRule="auto"/>
              <w:jc w:val="center"/>
              <w:rPr>
                <w:rFonts w:hint="eastAsia" w:ascii="宋体" w:hAnsi="宋体"/>
              </w:rPr>
            </w:pPr>
          </w:p>
        </w:tc>
        <w:tc>
          <w:tcPr>
            <w:tcW w:w="3205" w:type="dxa"/>
            <w:gridSpan w:val="3"/>
            <w:vAlign w:val="center"/>
          </w:tcPr>
          <w:p>
            <w:pPr>
              <w:spacing w:line="360" w:lineRule="auto"/>
              <w:ind w:firstLine="420" w:firstLineChars="200"/>
              <w:rPr>
                <w:rFonts w:hint="eastAsia" w:ascii="宋体" w:hAnsi="宋体"/>
              </w:rPr>
            </w:pPr>
          </w:p>
        </w:tc>
        <w:tc>
          <w:tcPr>
            <w:tcW w:w="3300" w:type="dxa"/>
            <w:gridSpan w:val="2"/>
            <w:vAlign w:val="center"/>
          </w:tcPr>
          <w:p>
            <w:pPr>
              <w:spacing w:line="360" w:lineRule="auto"/>
              <w:ind w:firstLine="420" w:firstLineChars="200"/>
              <w:rPr>
                <w:rFonts w:hint="eastAsia" w:ascii="宋体" w:hAnsi="宋体"/>
              </w:rPr>
            </w:pPr>
          </w:p>
        </w:tc>
        <w:tc>
          <w:tcPr>
            <w:tcW w:w="1530" w:type="dxa"/>
            <w:vAlign w:val="center"/>
          </w:tcPr>
          <w:p>
            <w:pPr>
              <w:spacing w:line="360" w:lineRule="auto"/>
              <w:ind w:firstLine="420" w:firstLineChars="200"/>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30" w:type="dxa"/>
            <w:vAlign w:val="center"/>
          </w:tcPr>
          <w:p>
            <w:pPr>
              <w:spacing w:line="360" w:lineRule="auto"/>
              <w:jc w:val="center"/>
              <w:rPr>
                <w:rFonts w:hint="eastAsia" w:ascii="宋体" w:hAnsi="宋体"/>
              </w:rPr>
            </w:pPr>
          </w:p>
        </w:tc>
        <w:tc>
          <w:tcPr>
            <w:tcW w:w="3205" w:type="dxa"/>
            <w:gridSpan w:val="3"/>
            <w:vAlign w:val="center"/>
          </w:tcPr>
          <w:p>
            <w:pPr>
              <w:spacing w:line="360" w:lineRule="auto"/>
              <w:ind w:firstLine="420" w:firstLineChars="200"/>
              <w:rPr>
                <w:rFonts w:hint="eastAsia" w:ascii="宋体" w:hAnsi="宋体"/>
              </w:rPr>
            </w:pPr>
          </w:p>
        </w:tc>
        <w:tc>
          <w:tcPr>
            <w:tcW w:w="3300" w:type="dxa"/>
            <w:gridSpan w:val="2"/>
            <w:vAlign w:val="center"/>
          </w:tcPr>
          <w:p>
            <w:pPr>
              <w:spacing w:line="360" w:lineRule="auto"/>
              <w:ind w:firstLine="420" w:firstLineChars="200"/>
              <w:rPr>
                <w:rFonts w:hint="eastAsia" w:ascii="宋体" w:hAnsi="宋体"/>
              </w:rPr>
            </w:pPr>
          </w:p>
        </w:tc>
        <w:tc>
          <w:tcPr>
            <w:tcW w:w="1530" w:type="dxa"/>
            <w:vAlign w:val="center"/>
          </w:tcPr>
          <w:p>
            <w:pPr>
              <w:spacing w:line="360" w:lineRule="auto"/>
              <w:ind w:firstLine="420" w:firstLineChars="200"/>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30" w:type="dxa"/>
            <w:vAlign w:val="center"/>
          </w:tcPr>
          <w:p>
            <w:pPr>
              <w:spacing w:line="360" w:lineRule="auto"/>
              <w:jc w:val="center"/>
              <w:rPr>
                <w:rFonts w:hint="eastAsia" w:ascii="宋体" w:hAnsi="宋体"/>
              </w:rPr>
            </w:pPr>
          </w:p>
        </w:tc>
        <w:tc>
          <w:tcPr>
            <w:tcW w:w="3205" w:type="dxa"/>
            <w:gridSpan w:val="3"/>
            <w:vAlign w:val="center"/>
          </w:tcPr>
          <w:p>
            <w:pPr>
              <w:spacing w:line="360" w:lineRule="auto"/>
              <w:ind w:firstLine="420" w:firstLineChars="200"/>
              <w:rPr>
                <w:rFonts w:hint="eastAsia" w:ascii="宋体" w:hAnsi="宋体"/>
              </w:rPr>
            </w:pPr>
          </w:p>
        </w:tc>
        <w:tc>
          <w:tcPr>
            <w:tcW w:w="3300" w:type="dxa"/>
            <w:gridSpan w:val="2"/>
            <w:vAlign w:val="center"/>
          </w:tcPr>
          <w:p>
            <w:pPr>
              <w:spacing w:line="360" w:lineRule="auto"/>
              <w:ind w:firstLine="420" w:firstLineChars="200"/>
              <w:rPr>
                <w:rFonts w:hint="eastAsia" w:ascii="宋体" w:hAnsi="宋体"/>
              </w:rPr>
            </w:pPr>
          </w:p>
        </w:tc>
        <w:tc>
          <w:tcPr>
            <w:tcW w:w="1530" w:type="dxa"/>
            <w:vAlign w:val="center"/>
          </w:tcPr>
          <w:p>
            <w:pPr>
              <w:spacing w:line="360" w:lineRule="auto"/>
              <w:ind w:firstLine="420" w:firstLineChars="200"/>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30" w:type="dxa"/>
            <w:vAlign w:val="center"/>
          </w:tcPr>
          <w:p>
            <w:pPr>
              <w:spacing w:line="360" w:lineRule="auto"/>
              <w:jc w:val="center"/>
              <w:rPr>
                <w:rFonts w:hint="eastAsia" w:ascii="宋体" w:hAnsi="宋体"/>
              </w:rPr>
            </w:pPr>
          </w:p>
        </w:tc>
        <w:tc>
          <w:tcPr>
            <w:tcW w:w="3205" w:type="dxa"/>
            <w:gridSpan w:val="3"/>
            <w:vAlign w:val="center"/>
          </w:tcPr>
          <w:p>
            <w:pPr>
              <w:spacing w:line="360" w:lineRule="auto"/>
              <w:ind w:firstLine="420" w:firstLineChars="200"/>
              <w:rPr>
                <w:rFonts w:hint="eastAsia" w:ascii="宋体" w:hAnsi="宋体"/>
              </w:rPr>
            </w:pPr>
          </w:p>
        </w:tc>
        <w:tc>
          <w:tcPr>
            <w:tcW w:w="3300" w:type="dxa"/>
            <w:gridSpan w:val="2"/>
            <w:vAlign w:val="center"/>
          </w:tcPr>
          <w:p>
            <w:pPr>
              <w:spacing w:line="360" w:lineRule="auto"/>
              <w:ind w:firstLine="420" w:firstLineChars="200"/>
              <w:rPr>
                <w:rFonts w:hint="eastAsia" w:ascii="宋体" w:hAnsi="宋体"/>
              </w:rPr>
            </w:pPr>
          </w:p>
        </w:tc>
        <w:tc>
          <w:tcPr>
            <w:tcW w:w="1530" w:type="dxa"/>
            <w:vAlign w:val="center"/>
          </w:tcPr>
          <w:p>
            <w:pPr>
              <w:spacing w:line="360" w:lineRule="auto"/>
              <w:ind w:firstLine="420" w:firstLineChars="200"/>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30" w:type="dxa"/>
            <w:vAlign w:val="center"/>
          </w:tcPr>
          <w:p>
            <w:pPr>
              <w:spacing w:line="360" w:lineRule="auto"/>
              <w:jc w:val="center"/>
              <w:rPr>
                <w:rFonts w:hint="eastAsia" w:ascii="宋体" w:hAnsi="宋体"/>
              </w:rPr>
            </w:pPr>
          </w:p>
        </w:tc>
        <w:tc>
          <w:tcPr>
            <w:tcW w:w="3205" w:type="dxa"/>
            <w:gridSpan w:val="3"/>
            <w:vAlign w:val="center"/>
          </w:tcPr>
          <w:p>
            <w:pPr>
              <w:spacing w:line="360" w:lineRule="auto"/>
              <w:ind w:firstLine="420" w:firstLineChars="200"/>
              <w:rPr>
                <w:rFonts w:hint="eastAsia" w:ascii="宋体" w:hAnsi="宋体"/>
              </w:rPr>
            </w:pPr>
          </w:p>
        </w:tc>
        <w:tc>
          <w:tcPr>
            <w:tcW w:w="3300" w:type="dxa"/>
            <w:gridSpan w:val="2"/>
            <w:vAlign w:val="center"/>
          </w:tcPr>
          <w:p>
            <w:pPr>
              <w:spacing w:line="360" w:lineRule="auto"/>
              <w:ind w:firstLine="420" w:firstLineChars="200"/>
              <w:rPr>
                <w:rFonts w:hint="eastAsia" w:ascii="宋体" w:hAnsi="宋体"/>
              </w:rPr>
            </w:pPr>
          </w:p>
        </w:tc>
        <w:tc>
          <w:tcPr>
            <w:tcW w:w="1530" w:type="dxa"/>
            <w:vAlign w:val="center"/>
          </w:tcPr>
          <w:p>
            <w:pPr>
              <w:spacing w:line="360" w:lineRule="auto"/>
              <w:ind w:firstLine="420" w:firstLineChars="200"/>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930" w:type="dxa"/>
            <w:vAlign w:val="center"/>
          </w:tcPr>
          <w:p>
            <w:pPr>
              <w:spacing w:line="360" w:lineRule="auto"/>
              <w:jc w:val="center"/>
              <w:rPr>
                <w:rFonts w:hint="eastAsia" w:ascii="宋体" w:hAnsi="宋体"/>
              </w:rPr>
            </w:pPr>
          </w:p>
        </w:tc>
        <w:tc>
          <w:tcPr>
            <w:tcW w:w="3205" w:type="dxa"/>
            <w:gridSpan w:val="3"/>
            <w:vAlign w:val="center"/>
          </w:tcPr>
          <w:p>
            <w:pPr>
              <w:spacing w:line="360" w:lineRule="auto"/>
              <w:ind w:firstLine="420" w:firstLineChars="200"/>
              <w:rPr>
                <w:rFonts w:hint="eastAsia" w:ascii="宋体" w:hAnsi="宋体"/>
              </w:rPr>
            </w:pPr>
          </w:p>
        </w:tc>
        <w:tc>
          <w:tcPr>
            <w:tcW w:w="3300" w:type="dxa"/>
            <w:gridSpan w:val="2"/>
            <w:vAlign w:val="center"/>
          </w:tcPr>
          <w:p>
            <w:pPr>
              <w:spacing w:line="360" w:lineRule="auto"/>
              <w:ind w:firstLine="420" w:firstLineChars="200"/>
              <w:rPr>
                <w:rFonts w:hint="eastAsia" w:ascii="宋体" w:hAnsi="宋体"/>
              </w:rPr>
            </w:pPr>
          </w:p>
        </w:tc>
        <w:tc>
          <w:tcPr>
            <w:tcW w:w="1530" w:type="dxa"/>
            <w:vAlign w:val="center"/>
          </w:tcPr>
          <w:p>
            <w:pPr>
              <w:spacing w:line="360" w:lineRule="auto"/>
              <w:ind w:firstLine="420" w:firstLineChars="200"/>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965" w:type="dxa"/>
            <w:gridSpan w:val="7"/>
            <w:vAlign w:val="center"/>
          </w:tcPr>
          <w:p>
            <w:pPr>
              <w:spacing w:line="360" w:lineRule="auto"/>
              <w:rPr>
                <w:rFonts w:hint="eastAsia" w:ascii="宋体" w:hAnsi="宋体"/>
              </w:rPr>
            </w:pPr>
            <w:r>
              <w:rPr>
                <w:rFonts w:hint="eastAsia" w:ascii="宋体" w:hAnsi="宋体"/>
              </w:rPr>
              <w:t>备注：投标人需附上以上人员学历、资质证书、社保等证明文件复印件。</w:t>
            </w:r>
          </w:p>
        </w:tc>
      </w:tr>
    </w:tbl>
    <w:p>
      <w:pPr>
        <w:tabs>
          <w:tab w:val="left" w:pos="676"/>
          <w:tab w:val="left" w:pos="2330"/>
          <w:tab w:val="left" w:pos="9230"/>
        </w:tabs>
        <w:autoSpaceDE w:val="0"/>
        <w:autoSpaceDN w:val="0"/>
        <w:adjustRightInd w:val="0"/>
        <w:spacing w:before="120" w:line="360" w:lineRule="auto"/>
        <w:ind w:left="525" w:leftChars="250"/>
        <w:jc w:val="center"/>
        <w:rPr>
          <w:rFonts w:hint="eastAsia" w:ascii="宋体" w:hAnsi="宋体"/>
        </w:rPr>
      </w:pPr>
      <w:r>
        <w:rPr>
          <w:rFonts w:hint="eastAsia" w:ascii="宋体" w:hAnsi="宋体"/>
        </w:rPr>
        <w:t xml:space="preserve">                  投标人（公章）：</w:t>
      </w:r>
    </w:p>
    <w:p>
      <w:pPr>
        <w:pStyle w:val="40"/>
        <w:spacing w:line="360" w:lineRule="auto"/>
        <w:ind w:left="525" w:leftChars="250" w:firstLine="280"/>
        <w:jc w:val="center"/>
        <w:rPr>
          <w:rFonts w:hint="eastAsia" w:ascii="宋体" w:hAnsi="宋体"/>
          <w:sz w:val="21"/>
          <w:szCs w:val="24"/>
        </w:rPr>
      </w:pPr>
      <w:r>
        <w:rPr>
          <w:rFonts w:hint="eastAsia" w:hAnsi="宋体"/>
        </w:rPr>
        <w:t xml:space="preserve">               </w:t>
      </w:r>
      <w:r>
        <w:rPr>
          <w:rFonts w:hint="eastAsia" w:ascii="宋体" w:hAnsi="宋体"/>
          <w:sz w:val="21"/>
          <w:szCs w:val="24"/>
        </w:rPr>
        <w:t xml:space="preserve">日  期   ：  </w:t>
      </w:r>
      <w:bookmarkEnd w:id="542"/>
      <w:bookmarkEnd w:id="543"/>
      <w:bookmarkEnd w:id="544"/>
      <w:bookmarkEnd w:id="545"/>
      <w:bookmarkEnd w:id="546"/>
      <w:bookmarkEnd w:id="2556"/>
      <w:bookmarkEnd w:id="2557"/>
      <w:bookmarkEnd w:id="2558"/>
      <w:bookmarkEnd w:id="2559"/>
      <w:bookmarkEnd w:id="2560"/>
      <w:bookmarkEnd w:id="2561"/>
      <w:bookmarkEnd w:id="2562"/>
    </w:p>
    <w:p>
      <w:pPr>
        <w:pStyle w:val="5"/>
        <w:spacing w:line="560" w:lineRule="exact"/>
        <w:jc w:val="left"/>
        <w:rPr>
          <w:rFonts w:hint="eastAsia" w:ascii="宋体" w:hAnsi="宋体" w:eastAsia="宋体" w:cs="宋体"/>
        </w:rPr>
      </w:pPr>
      <w:bookmarkStart w:id="2599" w:name="_Toc6403"/>
      <w:bookmarkStart w:id="2600" w:name="_Toc31916"/>
      <w:bookmarkStart w:id="2601" w:name="_Toc4960"/>
      <w:bookmarkStart w:id="2602" w:name="_Toc9152"/>
      <w:bookmarkStart w:id="2603" w:name="_Toc8940"/>
      <w:bookmarkStart w:id="2604" w:name="_Toc18271"/>
      <w:bookmarkStart w:id="2605" w:name="_Toc17546"/>
      <w:bookmarkStart w:id="2606" w:name="_Toc15361"/>
      <w:bookmarkStart w:id="2607" w:name="_Toc19657"/>
      <w:bookmarkStart w:id="2608" w:name="_Toc16135"/>
      <w:bookmarkStart w:id="2609" w:name="_Toc8591"/>
      <w:bookmarkStart w:id="2610" w:name="_Toc14150"/>
      <w:bookmarkStart w:id="2611" w:name="_Toc12193"/>
      <w:bookmarkStart w:id="2612" w:name="_Toc6968"/>
      <w:bookmarkStart w:id="2613" w:name="_Toc5802"/>
      <w:bookmarkStart w:id="2614" w:name="_Toc862"/>
      <w:bookmarkStart w:id="2615" w:name="_Toc6125"/>
      <w:r>
        <w:rPr>
          <w:rFonts w:hint="eastAsia" w:ascii="宋体" w:hAnsi="宋体" w:eastAsia="宋体" w:cs="宋体"/>
        </w:rPr>
        <w:t>7、外包服务方案</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5"/>
        <w:spacing w:line="560" w:lineRule="exact"/>
        <w:jc w:val="left"/>
        <w:rPr>
          <w:rFonts w:hint="eastAsia" w:ascii="宋体" w:hAnsi="宋体" w:eastAsia="宋体"/>
          <w:lang w:bidi="ar"/>
        </w:rPr>
      </w:pPr>
      <w:bookmarkStart w:id="2616" w:name="_Toc23815"/>
      <w:bookmarkStart w:id="2617" w:name="_Toc10680"/>
      <w:bookmarkStart w:id="2618" w:name="_Toc14660"/>
      <w:bookmarkStart w:id="2619" w:name="_Toc11071"/>
      <w:bookmarkStart w:id="2620" w:name="_Toc12340"/>
      <w:bookmarkStart w:id="2621" w:name="_Toc1025"/>
      <w:r>
        <w:rPr>
          <w:rFonts w:hint="eastAsia" w:ascii="宋体" w:hAnsi="宋体" w:eastAsia="宋体" w:cs="宋体"/>
        </w:rPr>
        <w:t>8、</w:t>
      </w:r>
      <w:bookmarkStart w:id="2622" w:name="_Toc19295"/>
      <w:bookmarkStart w:id="2623" w:name="_Toc9059"/>
      <w:bookmarkStart w:id="2624" w:name="_Toc29405"/>
      <w:r>
        <w:rPr>
          <w:rFonts w:hint="eastAsia" w:ascii="宋体" w:hAnsi="宋体" w:eastAsia="宋体"/>
          <w:lang w:bidi="ar"/>
        </w:rPr>
        <w:t>企业荣誉情况</w:t>
      </w:r>
      <w:bookmarkEnd w:id="2616"/>
      <w:bookmarkEnd w:id="2617"/>
      <w:bookmarkEnd w:id="2618"/>
      <w:bookmarkEnd w:id="2619"/>
      <w:bookmarkEnd w:id="2620"/>
      <w:bookmarkEnd w:id="2621"/>
      <w:bookmarkEnd w:id="2622"/>
      <w:bookmarkEnd w:id="2623"/>
      <w:bookmarkEnd w:id="2624"/>
    </w:p>
    <w:p>
      <w:pPr>
        <w:pStyle w:val="5"/>
        <w:spacing w:line="560" w:lineRule="exact"/>
        <w:jc w:val="left"/>
        <w:rPr>
          <w:rFonts w:hint="eastAsia" w:ascii="宋体" w:hAnsi="宋体" w:eastAsia="宋体"/>
        </w:rPr>
      </w:pPr>
      <w:bookmarkStart w:id="2625" w:name="_Toc17756"/>
      <w:bookmarkStart w:id="2626" w:name="_Toc10681"/>
      <w:bookmarkStart w:id="2627" w:name="_Toc13919"/>
      <w:bookmarkStart w:id="2628" w:name="_Toc9593"/>
      <w:bookmarkStart w:id="2629" w:name="_Toc18919"/>
      <w:bookmarkStart w:id="2630" w:name="_Toc29856"/>
      <w:bookmarkStart w:id="2631" w:name="_Toc28656"/>
      <w:bookmarkStart w:id="2632" w:name="_Toc23654"/>
      <w:bookmarkStart w:id="2633" w:name="_Toc5936"/>
      <w:r>
        <w:rPr>
          <w:rFonts w:hint="eastAsia" w:ascii="宋体" w:hAnsi="宋体" w:eastAsia="宋体"/>
        </w:rPr>
        <w:t>9、投标人认为需要补充的其他资料（由投标人自行补充）</w:t>
      </w:r>
      <w:bookmarkEnd w:id="2625"/>
      <w:bookmarkEnd w:id="2626"/>
      <w:bookmarkEnd w:id="2627"/>
      <w:bookmarkEnd w:id="2628"/>
      <w:bookmarkEnd w:id="2629"/>
      <w:bookmarkEnd w:id="2630"/>
      <w:bookmarkEnd w:id="2631"/>
      <w:bookmarkEnd w:id="2632"/>
      <w:bookmarkEnd w:id="2633"/>
    </w:p>
    <w:p>
      <w:pPr>
        <w:pStyle w:val="40"/>
        <w:spacing w:line="360" w:lineRule="auto"/>
        <w:ind w:hanging="5" w:firstLineChars="0"/>
        <w:jc w:val="left"/>
        <w:rPr>
          <w:rFonts w:hint="eastAsia" w:ascii="宋体" w:hAnsi="宋体"/>
          <w:sz w:val="21"/>
          <w:szCs w:val="24"/>
        </w:rPr>
      </w:pPr>
    </w:p>
    <w:sectPr>
      <w:footerReference r:id="rId6" w:type="default"/>
      <w:pgSz w:w="11906" w:h="16838"/>
      <w:pgMar w:top="1418"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KaiTi_GB2312">
    <w:altName w:val="楷体"/>
    <w:panose1 w:val="02010609060101010101"/>
    <w:charset w:val="86"/>
    <w:family w:val="modern"/>
    <w:pitch w:val="default"/>
    <w:sig w:usb0="00000000" w:usb1="00000000" w:usb2="00000000" w:usb3="00000000" w:csb0="00040000" w:csb1="00000000"/>
  </w:font>
  <w:font w:name="FangSong_GB2312">
    <w:altName w:val="仿宋_GB2312"/>
    <w:panose1 w:val="02010609060101010101"/>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26"/>
          <w:jc w:val="cente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3</w:t>
        </w:r>
        <w:r>
          <w:rPr>
            <w:rFonts w:ascii="宋体" w:hAnsi="宋体"/>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r>
      <w:fldChar w:fldCharType="begin"/>
    </w:r>
    <w:r>
      <w:rPr>
        <w:rStyle w:val="45"/>
      </w:rPr>
      <w:instrText xml:space="preserve"> PAGE </w:instrText>
    </w:r>
    <w:r>
      <w:fldChar w:fldCharType="separate"/>
    </w:r>
    <w:r>
      <w:rPr>
        <w:rStyle w:val="45"/>
      </w:rPr>
      <w:t>44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72587626"/>
    </w:sdtPr>
    <w:sdtContent>
      <w:p>
        <w:pPr>
          <w:pStyle w:val="26"/>
          <w:jc w:val="cente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32</w:t>
        </w:r>
        <w:r>
          <w:rPr>
            <w:rFonts w:ascii="宋体" w:hAnsi="宋体"/>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93D357"/>
    <w:multiLevelType w:val="singleLevel"/>
    <w:tmpl w:val="9C93D357"/>
    <w:lvl w:ilvl="0" w:tentative="0">
      <w:start w:val="4"/>
      <w:numFmt w:val="chineseCounting"/>
      <w:suff w:val="space"/>
      <w:lvlText w:val="第%1章"/>
      <w:lvlJc w:val="left"/>
      <w:rPr>
        <w:rFonts w:hint="eastAsia"/>
      </w:rPr>
    </w:lvl>
  </w:abstractNum>
  <w:abstractNum w:abstractNumId="1">
    <w:nsid w:val="FA7F4030"/>
    <w:multiLevelType w:val="singleLevel"/>
    <w:tmpl w:val="FA7F4030"/>
    <w:lvl w:ilvl="0" w:tentative="0">
      <w:start w:val="1"/>
      <w:numFmt w:val="chineseCounting"/>
      <w:suff w:val="nothing"/>
      <w:lvlText w:val="%1、"/>
      <w:lvlJc w:val="left"/>
      <w:rPr>
        <w:rFonts w:hint="eastAsia"/>
      </w:rPr>
    </w:lvl>
  </w:abstractNum>
  <w:abstractNum w:abstractNumId="2">
    <w:nsid w:val="081E4F20"/>
    <w:multiLevelType w:val="singleLevel"/>
    <w:tmpl w:val="081E4F20"/>
    <w:lvl w:ilvl="0" w:tentative="0">
      <w:start w:val="13"/>
      <w:numFmt w:val="chineseCounting"/>
      <w:suff w:val="space"/>
      <w:lvlText w:val="第%1条"/>
      <w:lvlJc w:val="left"/>
      <w:rPr>
        <w:rFonts w:hint="eastAsia"/>
      </w:rPr>
    </w:lvl>
  </w:abstractNum>
  <w:abstractNum w:abstractNumId="3">
    <w:nsid w:val="1BB234D7"/>
    <w:multiLevelType w:val="multilevel"/>
    <w:tmpl w:val="1BB234D7"/>
    <w:lvl w:ilvl="0" w:tentative="0">
      <w:start w:val="1"/>
      <w:numFmt w:val="decimal"/>
      <w:lvlText w:val="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DCA0931"/>
    <w:multiLevelType w:val="multilevel"/>
    <w:tmpl w:val="1DCA0931"/>
    <w:lvl w:ilvl="0" w:tentative="0">
      <w:start w:val="1"/>
      <w:numFmt w:val="decimal"/>
      <w:lvlText w:val="3.%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FE72490"/>
    <w:multiLevelType w:val="multilevel"/>
    <w:tmpl w:val="1FE72490"/>
    <w:lvl w:ilvl="0" w:tentative="0">
      <w:start w:val="1"/>
      <w:numFmt w:val="decimal"/>
      <w:lvlText w:val="%1."/>
      <w:lvlJc w:val="left"/>
      <w:pPr>
        <w:tabs>
          <w:tab w:val="left" w:pos="1200"/>
        </w:tabs>
        <w:ind w:left="1200" w:hanging="360"/>
      </w:pPr>
      <w:rPr>
        <w:rFonts w:hint="eastAsia"/>
      </w:r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6">
    <w:nsid w:val="35C332E4"/>
    <w:multiLevelType w:val="multilevel"/>
    <w:tmpl w:val="35C332E4"/>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7">
    <w:nsid w:val="52ED0E0F"/>
    <w:multiLevelType w:val="multilevel"/>
    <w:tmpl w:val="52ED0E0F"/>
    <w:lvl w:ilvl="0" w:tentative="0">
      <w:start w:val="1"/>
      <w:numFmt w:val="decimal"/>
      <w:lvlText w:val="3.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E6F60E7"/>
    <w:multiLevelType w:val="multilevel"/>
    <w:tmpl w:val="6E6F60E7"/>
    <w:lvl w:ilvl="0" w:tentative="0">
      <w:start w:val="1"/>
      <w:numFmt w:val="decimal"/>
      <w:lvlText w:val="2.3.5.%1"/>
      <w:lvlJc w:val="left"/>
      <w:pPr>
        <w:tabs>
          <w:tab w:val="left" w:pos="1440"/>
        </w:tabs>
        <w:ind w:left="0" w:firstLine="0"/>
      </w:pPr>
      <w:rPr>
        <w:rFonts w:hint="eastAsia"/>
        <w:b/>
        <w:i w:val="0"/>
        <w:sz w:val="36"/>
      </w:rPr>
    </w:lvl>
    <w:lvl w:ilvl="1" w:tentative="0">
      <w:start w:val="1"/>
      <w:numFmt w:val="decimal"/>
      <w:lvlText w:val="第 %2 章 "/>
      <w:lvlJc w:val="left"/>
      <w:pPr>
        <w:tabs>
          <w:tab w:val="left" w:pos="1932"/>
        </w:tabs>
        <w:ind w:left="852" w:firstLine="0"/>
      </w:pPr>
      <w:rPr>
        <w:rFonts w:hint="eastAsia" w:eastAsia="黑体"/>
        <w:b/>
        <w:i w:val="0"/>
        <w:sz w:val="30"/>
      </w:rPr>
    </w:lvl>
    <w:lvl w:ilvl="2" w:tentative="0">
      <w:start w:val="1"/>
      <w:numFmt w:val="decimal"/>
      <w:pStyle w:val="146"/>
      <w:lvlText w:val="%2.%3"/>
      <w:lvlJc w:val="left"/>
      <w:pPr>
        <w:tabs>
          <w:tab w:val="left" w:pos="2880"/>
        </w:tabs>
        <w:ind w:left="2160" w:firstLine="0"/>
      </w:pPr>
      <w:rPr>
        <w:rFonts w:hint="default" w:ascii="Times New Roman" w:hAnsi="Times New Roman" w:eastAsia="黑体" w:cs="Times New Roman"/>
        <w:b/>
        <w:i w:val="0"/>
        <w:sz w:val="28"/>
      </w:rPr>
    </w:lvl>
    <w:lvl w:ilvl="3" w:tentative="0">
      <w:start w:val="1"/>
      <w:numFmt w:val="decimal"/>
      <w:lvlText w:val="%2.%3.%4"/>
      <w:lvlJc w:val="left"/>
      <w:pPr>
        <w:tabs>
          <w:tab w:val="left" w:pos="720"/>
        </w:tabs>
        <w:ind w:left="0" w:firstLine="0"/>
      </w:pPr>
      <w:rPr>
        <w:rFonts w:hint="default" w:ascii="Times New Roman" w:hAnsi="Times New Roman" w:eastAsia="黑体" w:cs="Times New Roman"/>
        <w:b/>
        <w:i w:val="0"/>
        <w:sz w:val="24"/>
        <w:lang w:val="en-US"/>
      </w:rPr>
    </w:lvl>
    <w:lvl w:ilvl="4" w:tentative="0">
      <w:start w:val="1"/>
      <w:numFmt w:val="decimal"/>
      <w:lvlText w:val="%2.%3.%4.%5"/>
      <w:lvlJc w:val="left"/>
      <w:pPr>
        <w:tabs>
          <w:tab w:val="left" w:pos="1080"/>
        </w:tabs>
        <w:ind w:left="0" w:firstLine="0"/>
      </w:pPr>
      <w:rPr>
        <w:rFonts w:hint="eastAsia" w:eastAsia="宋体"/>
        <w:b/>
        <w:i w:val="0"/>
        <w:sz w:val="24"/>
      </w:rPr>
    </w:lvl>
    <w:lvl w:ilvl="5" w:tentative="0">
      <w:start w:val="1"/>
      <w:numFmt w:val="decimal"/>
      <w:lvlText w:val="%2.%3.%4.%5.%6"/>
      <w:lvlJc w:val="left"/>
      <w:pPr>
        <w:tabs>
          <w:tab w:val="left" w:pos="1440"/>
        </w:tabs>
        <w:ind w:left="0" w:firstLine="0"/>
      </w:pPr>
      <w:rPr>
        <w:rFonts w:hint="eastAsia"/>
      </w:rPr>
    </w:lvl>
    <w:lvl w:ilvl="6" w:tentative="0">
      <w:start w:val="1"/>
      <w:numFmt w:val="decimal"/>
      <w:lvlText w:val="%2.%3.%4.%5.%6.%7"/>
      <w:lvlJc w:val="left"/>
      <w:pPr>
        <w:tabs>
          <w:tab w:val="left" w:pos="1800"/>
        </w:tabs>
        <w:ind w:left="0" w:firstLine="0"/>
      </w:pPr>
      <w:rPr>
        <w:rFonts w:hint="eastAsia"/>
      </w:rPr>
    </w:lvl>
    <w:lvl w:ilvl="7" w:tentative="0">
      <w:start w:val="1"/>
      <w:numFmt w:val="decimal"/>
      <w:lvlText w:val="%2.%3.%4.%5.%6.%7.%8"/>
      <w:lvlJc w:val="left"/>
      <w:pPr>
        <w:tabs>
          <w:tab w:val="left" w:pos="1800"/>
        </w:tabs>
        <w:ind w:left="0" w:firstLine="0"/>
      </w:pPr>
      <w:rPr>
        <w:rFonts w:hint="eastAsia"/>
      </w:rPr>
    </w:lvl>
    <w:lvl w:ilvl="8" w:tentative="0">
      <w:start w:val="1"/>
      <w:numFmt w:val="decimal"/>
      <w:lvlText w:val="%2.%3.%4.%5.%6.%7.%8.%9"/>
      <w:lvlJc w:val="left"/>
      <w:pPr>
        <w:tabs>
          <w:tab w:val="left" w:pos="2160"/>
        </w:tabs>
        <w:ind w:left="0" w:firstLine="0"/>
      </w:pPr>
      <w:rPr>
        <w:rFonts w:hint="eastAsia"/>
      </w:rPr>
    </w:lvl>
  </w:abstractNum>
  <w:abstractNum w:abstractNumId="9">
    <w:nsid w:val="740D66A9"/>
    <w:multiLevelType w:val="multilevel"/>
    <w:tmpl w:val="740D66A9"/>
    <w:lvl w:ilvl="0" w:tentative="0">
      <w:start w:val="1"/>
      <w:numFmt w:val="japaneseCounting"/>
      <w:lvlText w:val="%1."/>
      <w:lvlJc w:val="left"/>
      <w:pPr>
        <w:tabs>
          <w:tab w:val="left" w:pos="717"/>
        </w:tabs>
        <w:ind w:left="717" w:hanging="360"/>
      </w:pPr>
      <w:rPr>
        <w:rFonts w:hint="eastAsia"/>
      </w:rPr>
    </w:lvl>
    <w:lvl w:ilvl="1" w:tentative="0">
      <w:start w:val="2"/>
      <w:numFmt w:val="japaneseCounting"/>
      <w:lvlText w:val="%2、"/>
      <w:lvlJc w:val="left"/>
      <w:pPr>
        <w:tabs>
          <w:tab w:val="left" w:pos="1182"/>
        </w:tabs>
        <w:ind w:left="1182" w:hanging="405"/>
      </w:pPr>
      <w:rPr>
        <w:rFonts w:hint="default"/>
      </w:rPr>
    </w:lvl>
    <w:lvl w:ilvl="2" w:tentative="0">
      <w:start w:val="1"/>
      <w:numFmt w:val="lowerRoman"/>
      <w:lvlText w:val="%3."/>
      <w:lvlJc w:val="right"/>
      <w:pPr>
        <w:tabs>
          <w:tab w:val="left" w:pos="1617"/>
        </w:tabs>
        <w:ind w:left="1617" w:hanging="420"/>
      </w:pPr>
    </w:lvl>
    <w:lvl w:ilvl="3" w:tentative="0">
      <w:start w:val="1"/>
      <w:numFmt w:val="decimal"/>
      <w:lvlText w:val="%4."/>
      <w:lvlJc w:val="left"/>
      <w:pPr>
        <w:tabs>
          <w:tab w:val="left" w:pos="2037"/>
        </w:tabs>
        <w:ind w:left="2037" w:hanging="420"/>
      </w:pPr>
    </w:lvl>
    <w:lvl w:ilvl="4" w:tentative="0">
      <w:start w:val="1"/>
      <w:numFmt w:val="lowerLetter"/>
      <w:lvlText w:val="%5)"/>
      <w:lvlJc w:val="left"/>
      <w:pPr>
        <w:tabs>
          <w:tab w:val="left" w:pos="2457"/>
        </w:tabs>
        <w:ind w:left="2457" w:hanging="420"/>
      </w:pPr>
    </w:lvl>
    <w:lvl w:ilvl="5" w:tentative="0">
      <w:start w:val="1"/>
      <w:numFmt w:val="lowerRoman"/>
      <w:lvlText w:val="%6."/>
      <w:lvlJc w:val="right"/>
      <w:pPr>
        <w:tabs>
          <w:tab w:val="left" w:pos="2877"/>
        </w:tabs>
        <w:ind w:left="2877" w:hanging="420"/>
      </w:pPr>
    </w:lvl>
    <w:lvl w:ilvl="6" w:tentative="0">
      <w:start w:val="1"/>
      <w:numFmt w:val="decimal"/>
      <w:lvlText w:val="%7."/>
      <w:lvlJc w:val="left"/>
      <w:pPr>
        <w:tabs>
          <w:tab w:val="left" w:pos="3297"/>
        </w:tabs>
        <w:ind w:left="3297" w:hanging="420"/>
      </w:pPr>
    </w:lvl>
    <w:lvl w:ilvl="7" w:tentative="0">
      <w:start w:val="1"/>
      <w:numFmt w:val="lowerLetter"/>
      <w:lvlText w:val="%8)"/>
      <w:lvlJc w:val="left"/>
      <w:pPr>
        <w:tabs>
          <w:tab w:val="left" w:pos="3717"/>
        </w:tabs>
        <w:ind w:left="3717" w:hanging="420"/>
      </w:pPr>
    </w:lvl>
    <w:lvl w:ilvl="8" w:tentative="0">
      <w:start w:val="1"/>
      <w:numFmt w:val="lowerRoman"/>
      <w:lvlText w:val="%9."/>
      <w:lvlJc w:val="right"/>
      <w:pPr>
        <w:tabs>
          <w:tab w:val="left" w:pos="4137"/>
        </w:tabs>
        <w:ind w:left="4137" w:hanging="420"/>
      </w:pPr>
    </w:lvl>
  </w:abstractNum>
  <w:abstractNum w:abstractNumId="10">
    <w:nsid w:val="79D8222C"/>
    <w:multiLevelType w:val="multilevel"/>
    <w:tmpl w:val="79D8222C"/>
    <w:lvl w:ilvl="0" w:tentative="0">
      <w:start w:val="1"/>
      <w:numFmt w:val="decimal"/>
      <w:lvlText w:val="%1."/>
      <w:lvlJc w:val="left"/>
      <w:pPr>
        <w:tabs>
          <w:tab w:val="left" w:pos="2700"/>
        </w:tabs>
        <w:ind w:left="2700" w:hanging="390"/>
      </w:pPr>
      <w:rPr>
        <w:rFonts w:hint="eastAsia"/>
      </w:rPr>
    </w:lvl>
    <w:lvl w:ilvl="1" w:tentative="0">
      <w:start w:val="1"/>
      <w:numFmt w:val="lowerLetter"/>
      <w:lvlText w:val="%2)"/>
      <w:lvlJc w:val="left"/>
      <w:pPr>
        <w:tabs>
          <w:tab w:val="left" w:pos="3150"/>
        </w:tabs>
        <w:ind w:left="3150" w:hanging="420"/>
      </w:pPr>
    </w:lvl>
    <w:lvl w:ilvl="2" w:tentative="0">
      <w:start w:val="1"/>
      <w:numFmt w:val="lowerRoman"/>
      <w:lvlText w:val="%3."/>
      <w:lvlJc w:val="right"/>
      <w:pPr>
        <w:tabs>
          <w:tab w:val="left" w:pos="3570"/>
        </w:tabs>
        <w:ind w:left="3570" w:hanging="420"/>
      </w:pPr>
    </w:lvl>
    <w:lvl w:ilvl="3" w:tentative="0">
      <w:start w:val="1"/>
      <w:numFmt w:val="decimal"/>
      <w:lvlText w:val="%4."/>
      <w:lvlJc w:val="left"/>
      <w:pPr>
        <w:tabs>
          <w:tab w:val="left" w:pos="3990"/>
        </w:tabs>
        <w:ind w:left="3990" w:hanging="420"/>
      </w:pPr>
    </w:lvl>
    <w:lvl w:ilvl="4" w:tentative="0">
      <w:start w:val="1"/>
      <w:numFmt w:val="lowerLetter"/>
      <w:lvlText w:val="%5)"/>
      <w:lvlJc w:val="left"/>
      <w:pPr>
        <w:tabs>
          <w:tab w:val="left" w:pos="4410"/>
        </w:tabs>
        <w:ind w:left="4410" w:hanging="420"/>
      </w:pPr>
    </w:lvl>
    <w:lvl w:ilvl="5" w:tentative="0">
      <w:start w:val="1"/>
      <w:numFmt w:val="lowerRoman"/>
      <w:lvlText w:val="%6."/>
      <w:lvlJc w:val="right"/>
      <w:pPr>
        <w:tabs>
          <w:tab w:val="left" w:pos="4830"/>
        </w:tabs>
        <w:ind w:left="4830" w:hanging="420"/>
      </w:pPr>
    </w:lvl>
    <w:lvl w:ilvl="6" w:tentative="0">
      <w:start w:val="1"/>
      <w:numFmt w:val="decimal"/>
      <w:lvlText w:val="%7."/>
      <w:lvlJc w:val="left"/>
      <w:pPr>
        <w:tabs>
          <w:tab w:val="left" w:pos="5250"/>
        </w:tabs>
        <w:ind w:left="5250" w:hanging="420"/>
      </w:pPr>
    </w:lvl>
    <w:lvl w:ilvl="7" w:tentative="0">
      <w:start w:val="1"/>
      <w:numFmt w:val="lowerLetter"/>
      <w:lvlText w:val="%8)"/>
      <w:lvlJc w:val="left"/>
      <w:pPr>
        <w:tabs>
          <w:tab w:val="left" w:pos="5670"/>
        </w:tabs>
        <w:ind w:left="5670" w:hanging="420"/>
      </w:pPr>
    </w:lvl>
    <w:lvl w:ilvl="8" w:tentative="0">
      <w:start w:val="1"/>
      <w:numFmt w:val="lowerRoman"/>
      <w:lvlText w:val="%9."/>
      <w:lvlJc w:val="right"/>
      <w:pPr>
        <w:tabs>
          <w:tab w:val="left" w:pos="6090"/>
        </w:tabs>
        <w:ind w:left="6090" w:hanging="420"/>
      </w:pPr>
    </w:lvl>
  </w:abstractNum>
  <w:num w:numId="1">
    <w:abstractNumId w:val="8"/>
  </w:num>
  <w:num w:numId="2">
    <w:abstractNumId w:val="6"/>
  </w:num>
  <w:num w:numId="3">
    <w:abstractNumId w:val="3"/>
  </w:num>
  <w:num w:numId="4">
    <w:abstractNumId w:val="4"/>
  </w:num>
  <w:num w:numId="5">
    <w:abstractNumId w:val="7"/>
  </w:num>
  <w:num w:numId="6">
    <w:abstractNumId w:val="0"/>
  </w:num>
  <w:num w:numId="7">
    <w:abstractNumId w:val="2"/>
  </w:num>
  <w:num w:numId="8">
    <w:abstractNumId w:val="5"/>
  </w:num>
  <w:num w:numId="9">
    <w:abstractNumId w:val="9"/>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dkZGVkMzI3M2M1NDhkYWU0NGJkNDM1ZTYzNzBjMmEifQ=="/>
  </w:docVars>
  <w:rsids>
    <w:rsidRoot w:val="006D1E24"/>
    <w:rsid w:val="00000937"/>
    <w:rsid w:val="0000160A"/>
    <w:rsid w:val="00001D14"/>
    <w:rsid w:val="000034D2"/>
    <w:rsid w:val="00004907"/>
    <w:rsid w:val="00005295"/>
    <w:rsid w:val="00005869"/>
    <w:rsid w:val="0000597B"/>
    <w:rsid w:val="00006FC6"/>
    <w:rsid w:val="00010968"/>
    <w:rsid w:val="0001147D"/>
    <w:rsid w:val="0001194C"/>
    <w:rsid w:val="000124DB"/>
    <w:rsid w:val="00013089"/>
    <w:rsid w:val="00013768"/>
    <w:rsid w:val="000160B5"/>
    <w:rsid w:val="0001622F"/>
    <w:rsid w:val="00016B34"/>
    <w:rsid w:val="00016CB3"/>
    <w:rsid w:val="000170B1"/>
    <w:rsid w:val="000209C2"/>
    <w:rsid w:val="00020D9C"/>
    <w:rsid w:val="0002129D"/>
    <w:rsid w:val="00021317"/>
    <w:rsid w:val="00021A02"/>
    <w:rsid w:val="00021A11"/>
    <w:rsid w:val="00021A6A"/>
    <w:rsid w:val="00022786"/>
    <w:rsid w:val="00022C0A"/>
    <w:rsid w:val="000233AE"/>
    <w:rsid w:val="0002398D"/>
    <w:rsid w:val="0002403D"/>
    <w:rsid w:val="000240BD"/>
    <w:rsid w:val="00024E09"/>
    <w:rsid w:val="00027253"/>
    <w:rsid w:val="00027794"/>
    <w:rsid w:val="00027BA3"/>
    <w:rsid w:val="00030009"/>
    <w:rsid w:val="0003018F"/>
    <w:rsid w:val="00031090"/>
    <w:rsid w:val="000314B1"/>
    <w:rsid w:val="00033025"/>
    <w:rsid w:val="00033ED9"/>
    <w:rsid w:val="00034D5C"/>
    <w:rsid w:val="00036202"/>
    <w:rsid w:val="0003775A"/>
    <w:rsid w:val="00041066"/>
    <w:rsid w:val="0004206C"/>
    <w:rsid w:val="0004255D"/>
    <w:rsid w:val="00042C2B"/>
    <w:rsid w:val="0004440A"/>
    <w:rsid w:val="000445C6"/>
    <w:rsid w:val="00044F4F"/>
    <w:rsid w:val="00047CB9"/>
    <w:rsid w:val="00047E9C"/>
    <w:rsid w:val="00050D06"/>
    <w:rsid w:val="000516A9"/>
    <w:rsid w:val="00051CBD"/>
    <w:rsid w:val="00053276"/>
    <w:rsid w:val="00054844"/>
    <w:rsid w:val="00055D7F"/>
    <w:rsid w:val="000560BC"/>
    <w:rsid w:val="000579F1"/>
    <w:rsid w:val="00057DF5"/>
    <w:rsid w:val="00057EE3"/>
    <w:rsid w:val="00060384"/>
    <w:rsid w:val="00060985"/>
    <w:rsid w:val="00060A8B"/>
    <w:rsid w:val="00060AEF"/>
    <w:rsid w:val="00061B23"/>
    <w:rsid w:val="00062473"/>
    <w:rsid w:val="00062A74"/>
    <w:rsid w:val="00062F4A"/>
    <w:rsid w:val="00063079"/>
    <w:rsid w:val="00064630"/>
    <w:rsid w:val="00064CCA"/>
    <w:rsid w:val="00065FCA"/>
    <w:rsid w:val="00066687"/>
    <w:rsid w:val="000676BC"/>
    <w:rsid w:val="0006789B"/>
    <w:rsid w:val="00067E14"/>
    <w:rsid w:val="00067F1F"/>
    <w:rsid w:val="0007010C"/>
    <w:rsid w:val="0007120B"/>
    <w:rsid w:val="000716E3"/>
    <w:rsid w:val="000719FF"/>
    <w:rsid w:val="00072567"/>
    <w:rsid w:val="000727CB"/>
    <w:rsid w:val="00073D2F"/>
    <w:rsid w:val="00073E0B"/>
    <w:rsid w:val="000743C1"/>
    <w:rsid w:val="000768D2"/>
    <w:rsid w:val="000770E2"/>
    <w:rsid w:val="00081C20"/>
    <w:rsid w:val="0008220C"/>
    <w:rsid w:val="00082750"/>
    <w:rsid w:val="000835FA"/>
    <w:rsid w:val="000846CA"/>
    <w:rsid w:val="000878D0"/>
    <w:rsid w:val="000901AA"/>
    <w:rsid w:val="00092670"/>
    <w:rsid w:val="00094678"/>
    <w:rsid w:val="00094D61"/>
    <w:rsid w:val="00094E07"/>
    <w:rsid w:val="00096BF6"/>
    <w:rsid w:val="000972F7"/>
    <w:rsid w:val="000975BF"/>
    <w:rsid w:val="000A0EF5"/>
    <w:rsid w:val="000A107C"/>
    <w:rsid w:val="000A1448"/>
    <w:rsid w:val="000A2258"/>
    <w:rsid w:val="000A3C4C"/>
    <w:rsid w:val="000A3D14"/>
    <w:rsid w:val="000A4808"/>
    <w:rsid w:val="000A4F8D"/>
    <w:rsid w:val="000A5194"/>
    <w:rsid w:val="000A6B60"/>
    <w:rsid w:val="000A71E6"/>
    <w:rsid w:val="000B0B41"/>
    <w:rsid w:val="000B16C1"/>
    <w:rsid w:val="000B256E"/>
    <w:rsid w:val="000B262F"/>
    <w:rsid w:val="000B4277"/>
    <w:rsid w:val="000B49A3"/>
    <w:rsid w:val="000B55EC"/>
    <w:rsid w:val="000B6EB8"/>
    <w:rsid w:val="000B731B"/>
    <w:rsid w:val="000C0284"/>
    <w:rsid w:val="000C04F4"/>
    <w:rsid w:val="000C09BF"/>
    <w:rsid w:val="000C0E81"/>
    <w:rsid w:val="000C111F"/>
    <w:rsid w:val="000C1A26"/>
    <w:rsid w:val="000C1E9B"/>
    <w:rsid w:val="000C2F6A"/>
    <w:rsid w:val="000C3138"/>
    <w:rsid w:val="000C37EF"/>
    <w:rsid w:val="000C3D1F"/>
    <w:rsid w:val="000C3E63"/>
    <w:rsid w:val="000C44DA"/>
    <w:rsid w:val="000C4C17"/>
    <w:rsid w:val="000C5446"/>
    <w:rsid w:val="000D02B7"/>
    <w:rsid w:val="000D08CC"/>
    <w:rsid w:val="000D090B"/>
    <w:rsid w:val="000D0F64"/>
    <w:rsid w:val="000D1E52"/>
    <w:rsid w:val="000D2C2A"/>
    <w:rsid w:val="000D4214"/>
    <w:rsid w:val="000D43D9"/>
    <w:rsid w:val="000D74EC"/>
    <w:rsid w:val="000D7AC4"/>
    <w:rsid w:val="000E0247"/>
    <w:rsid w:val="000E045B"/>
    <w:rsid w:val="000E098F"/>
    <w:rsid w:val="000E1C06"/>
    <w:rsid w:val="000E1DFA"/>
    <w:rsid w:val="000E220A"/>
    <w:rsid w:val="000E2523"/>
    <w:rsid w:val="000E28EF"/>
    <w:rsid w:val="000E2DD2"/>
    <w:rsid w:val="000E489D"/>
    <w:rsid w:val="000E4B58"/>
    <w:rsid w:val="000E5F8C"/>
    <w:rsid w:val="000E6427"/>
    <w:rsid w:val="000E649C"/>
    <w:rsid w:val="000E65C0"/>
    <w:rsid w:val="000E68A1"/>
    <w:rsid w:val="000E6CB7"/>
    <w:rsid w:val="000E73B5"/>
    <w:rsid w:val="000E78D4"/>
    <w:rsid w:val="000F0346"/>
    <w:rsid w:val="000F1501"/>
    <w:rsid w:val="000F1B76"/>
    <w:rsid w:val="000F4585"/>
    <w:rsid w:val="000F6AD7"/>
    <w:rsid w:val="000F6C5A"/>
    <w:rsid w:val="001003DA"/>
    <w:rsid w:val="001006B1"/>
    <w:rsid w:val="00100F7D"/>
    <w:rsid w:val="00102BE9"/>
    <w:rsid w:val="00102CC8"/>
    <w:rsid w:val="00104246"/>
    <w:rsid w:val="00104542"/>
    <w:rsid w:val="001051DB"/>
    <w:rsid w:val="00105AE5"/>
    <w:rsid w:val="00107748"/>
    <w:rsid w:val="00107807"/>
    <w:rsid w:val="00107E05"/>
    <w:rsid w:val="00110A63"/>
    <w:rsid w:val="001112C1"/>
    <w:rsid w:val="00111515"/>
    <w:rsid w:val="00111BE3"/>
    <w:rsid w:val="00112C11"/>
    <w:rsid w:val="0011410E"/>
    <w:rsid w:val="00114EFC"/>
    <w:rsid w:val="00116F20"/>
    <w:rsid w:val="00117434"/>
    <w:rsid w:val="00117D04"/>
    <w:rsid w:val="001205A1"/>
    <w:rsid w:val="00120CA5"/>
    <w:rsid w:val="00122700"/>
    <w:rsid w:val="00122ED6"/>
    <w:rsid w:val="00123DD0"/>
    <w:rsid w:val="00124FFB"/>
    <w:rsid w:val="00125EC5"/>
    <w:rsid w:val="00126C0B"/>
    <w:rsid w:val="001306E5"/>
    <w:rsid w:val="00130D49"/>
    <w:rsid w:val="00132D5B"/>
    <w:rsid w:val="00135D28"/>
    <w:rsid w:val="0013604E"/>
    <w:rsid w:val="00136271"/>
    <w:rsid w:val="001368EF"/>
    <w:rsid w:val="00137CB0"/>
    <w:rsid w:val="0014064F"/>
    <w:rsid w:val="00141291"/>
    <w:rsid w:val="001413DE"/>
    <w:rsid w:val="00141E70"/>
    <w:rsid w:val="00141FD6"/>
    <w:rsid w:val="0014214A"/>
    <w:rsid w:val="00142E39"/>
    <w:rsid w:val="00143972"/>
    <w:rsid w:val="00143FB0"/>
    <w:rsid w:val="001464EC"/>
    <w:rsid w:val="00146EA4"/>
    <w:rsid w:val="001476AF"/>
    <w:rsid w:val="00150396"/>
    <w:rsid w:val="00150AB2"/>
    <w:rsid w:val="00150AED"/>
    <w:rsid w:val="00150C82"/>
    <w:rsid w:val="00151343"/>
    <w:rsid w:val="001521DF"/>
    <w:rsid w:val="00153502"/>
    <w:rsid w:val="001558E8"/>
    <w:rsid w:val="001559C5"/>
    <w:rsid w:val="0015610D"/>
    <w:rsid w:val="0015623B"/>
    <w:rsid w:val="001564B8"/>
    <w:rsid w:val="00156AD9"/>
    <w:rsid w:val="00157E10"/>
    <w:rsid w:val="00162177"/>
    <w:rsid w:val="001627EE"/>
    <w:rsid w:val="00163CA6"/>
    <w:rsid w:val="00166761"/>
    <w:rsid w:val="001672F8"/>
    <w:rsid w:val="00167FF3"/>
    <w:rsid w:val="00170760"/>
    <w:rsid w:val="001712B8"/>
    <w:rsid w:val="001739AA"/>
    <w:rsid w:val="00173C41"/>
    <w:rsid w:val="00174AD1"/>
    <w:rsid w:val="00174CD7"/>
    <w:rsid w:val="00174F8F"/>
    <w:rsid w:val="00175880"/>
    <w:rsid w:val="00176386"/>
    <w:rsid w:val="00176E83"/>
    <w:rsid w:val="00176F7E"/>
    <w:rsid w:val="00180041"/>
    <w:rsid w:val="00180827"/>
    <w:rsid w:val="00180DA0"/>
    <w:rsid w:val="00180E5B"/>
    <w:rsid w:val="00180FCE"/>
    <w:rsid w:val="00182766"/>
    <w:rsid w:val="00182B2A"/>
    <w:rsid w:val="00183011"/>
    <w:rsid w:val="001830EA"/>
    <w:rsid w:val="001842F9"/>
    <w:rsid w:val="001845D4"/>
    <w:rsid w:val="001848F1"/>
    <w:rsid w:val="00184F2C"/>
    <w:rsid w:val="001851E3"/>
    <w:rsid w:val="00185612"/>
    <w:rsid w:val="00185F3E"/>
    <w:rsid w:val="00185FB4"/>
    <w:rsid w:val="00186411"/>
    <w:rsid w:val="00186424"/>
    <w:rsid w:val="0018646D"/>
    <w:rsid w:val="00190F21"/>
    <w:rsid w:val="001925F1"/>
    <w:rsid w:val="00192C04"/>
    <w:rsid w:val="001935C5"/>
    <w:rsid w:val="00193C2A"/>
    <w:rsid w:val="001944D4"/>
    <w:rsid w:val="001945B0"/>
    <w:rsid w:val="00194696"/>
    <w:rsid w:val="00195240"/>
    <w:rsid w:val="0019635D"/>
    <w:rsid w:val="00196397"/>
    <w:rsid w:val="00197EE8"/>
    <w:rsid w:val="001A1026"/>
    <w:rsid w:val="001A2A5E"/>
    <w:rsid w:val="001A4CC4"/>
    <w:rsid w:val="001A5BFE"/>
    <w:rsid w:val="001A607F"/>
    <w:rsid w:val="001A7549"/>
    <w:rsid w:val="001A7B9F"/>
    <w:rsid w:val="001A7C37"/>
    <w:rsid w:val="001B0424"/>
    <w:rsid w:val="001B109E"/>
    <w:rsid w:val="001B1E47"/>
    <w:rsid w:val="001B2099"/>
    <w:rsid w:val="001B2883"/>
    <w:rsid w:val="001B2AC2"/>
    <w:rsid w:val="001B2B07"/>
    <w:rsid w:val="001B3F0F"/>
    <w:rsid w:val="001B57D1"/>
    <w:rsid w:val="001B5B09"/>
    <w:rsid w:val="001B641A"/>
    <w:rsid w:val="001B66D2"/>
    <w:rsid w:val="001B79BF"/>
    <w:rsid w:val="001C162C"/>
    <w:rsid w:val="001C17D9"/>
    <w:rsid w:val="001C189C"/>
    <w:rsid w:val="001C1A61"/>
    <w:rsid w:val="001C1E3D"/>
    <w:rsid w:val="001C228D"/>
    <w:rsid w:val="001C2359"/>
    <w:rsid w:val="001C2649"/>
    <w:rsid w:val="001C2B03"/>
    <w:rsid w:val="001C3630"/>
    <w:rsid w:val="001C374D"/>
    <w:rsid w:val="001C3F5C"/>
    <w:rsid w:val="001C412B"/>
    <w:rsid w:val="001C4386"/>
    <w:rsid w:val="001C5001"/>
    <w:rsid w:val="001C5464"/>
    <w:rsid w:val="001C560E"/>
    <w:rsid w:val="001C59FC"/>
    <w:rsid w:val="001C5D49"/>
    <w:rsid w:val="001C7B94"/>
    <w:rsid w:val="001D0369"/>
    <w:rsid w:val="001D0D90"/>
    <w:rsid w:val="001D0D9F"/>
    <w:rsid w:val="001D0DDC"/>
    <w:rsid w:val="001D1275"/>
    <w:rsid w:val="001D1D9C"/>
    <w:rsid w:val="001D201F"/>
    <w:rsid w:val="001D3099"/>
    <w:rsid w:val="001D3155"/>
    <w:rsid w:val="001D379E"/>
    <w:rsid w:val="001D40D0"/>
    <w:rsid w:val="001D433D"/>
    <w:rsid w:val="001D4482"/>
    <w:rsid w:val="001D4659"/>
    <w:rsid w:val="001D4752"/>
    <w:rsid w:val="001D4ACA"/>
    <w:rsid w:val="001D618A"/>
    <w:rsid w:val="001D645F"/>
    <w:rsid w:val="001D6D30"/>
    <w:rsid w:val="001E0048"/>
    <w:rsid w:val="001E0C47"/>
    <w:rsid w:val="001E0C97"/>
    <w:rsid w:val="001E15DC"/>
    <w:rsid w:val="001E2870"/>
    <w:rsid w:val="001E2A0A"/>
    <w:rsid w:val="001E2BF0"/>
    <w:rsid w:val="001E39E7"/>
    <w:rsid w:val="001E3E7D"/>
    <w:rsid w:val="001E3F05"/>
    <w:rsid w:val="001E4B1F"/>
    <w:rsid w:val="001E5650"/>
    <w:rsid w:val="001E640A"/>
    <w:rsid w:val="001E66A9"/>
    <w:rsid w:val="001E7596"/>
    <w:rsid w:val="001E7788"/>
    <w:rsid w:val="001F07E9"/>
    <w:rsid w:val="001F1771"/>
    <w:rsid w:val="001F2546"/>
    <w:rsid w:val="001F2F59"/>
    <w:rsid w:val="001F5418"/>
    <w:rsid w:val="001F5453"/>
    <w:rsid w:val="001F5CE2"/>
    <w:rsid w:val="001F6BD5"/>
    <w:rsid w:val="001F74E8"/>
    <w:rsid w:val="002010F2"/>
    <w:rsid w:val="002011BC"/>
    <w:rsid w:val="002017B3"/>
    <w:rsid w:val="0020216F"/>
    <w:rsid w:val="00202B4A"/>
    <w:rsid w:val="00203DA5"/>
    <w:rsid w:val="00203F19"/>
    <w:rsid w:val="00205154"/>
    <w:rsid w:val="002055C4"/>
    <w:rsid w:val="00205C2E"/>
    <w:rsid w:val="00205DA1"/>
    <w:rsid w:val="00206268"/>
    <w:rsid w:val="00207A8F"/>
    <w:rsid w:val="00207C31"/>
    <w:rsid w:val="00207C73"/>
    <w:rsid w:val="00210392"/>
    <w:rsid w:val="0021081A"/>
    <w:rsid w:val="002109CC"/>
    <w:rsid w:val="00210EED"/>
    <w:rsid w:val="00210FE3"/>
    <w:rsid w:val="00211BFA"/>
    <w:rsid w:val="002125A4"/>
    <w:rsid w:val="00213454"/>
    <w:rsid w:val="00213470"/>
    <w:rsid w:val="002166C1"/>
    <w:rsid w:val="00217911"/>
    <w:rsid w:val="00217BF5"/>
    <w:rsid w:val="00217C16"/>
    <w:rsid w:val="0022246C"/>
    <w:rsid w:val="00222817"/>
    <w:rsid w:val="00224C6B"/>
    <w:rsid w:val="002255BE"/>
    <w:rsid w:val="00227847"/>
    <w:rsid w:val="00227F7C"/>
    <w:rsid w:val="00230F6A"/>
    <w:rsid w:val="00230FFD"/>
    <w:rsid w:val="002315C9"/>
    <w:rsid w:val="00231C47"/>
    <w:rsid w:val="00232E61"/>
    <w:rsid w:val="00233045"/>
    <w:rsid w:val="00233E6B"/>
    <w:rsid w:val="00234542"/>
    <w:rsid w:val="00234EA4"/>
    <w:rsid w:val="0023604B"/>
    <w:rsid w:val="002369FE"/>
    <w:rsid w:val="00237DDB"/>
    <w:rsid w:val="00242938"/>
    <w:rsid w:val="00243101"/>
    <w:rsid w:val="002434D9"/>
    <w:rsid w:val="0024422F"/>
    <w:rsid w:val="00246597"/>
    <w:rsid w:val="00247E71"/>
    <w:rsid w:val="00250163"/>
    <w:rsid w:val="00251F31"/>
    <w:rsid w:val="002533A7"/>
    <w:rsid w:val="00254C4F"/>
    <w:rsid w:val="00254DD5"/>
    <w:rsid w:val="002569D6"/>
    <w:rsid w:val="00257670"/>
    <w:rsid w:val="00257772"/>
    <w:rsid w:val="00257BA4"/>
    <w:rsid w:val="00257D77"/>
    <w:rsid w:val="00260CC4"/>
    <w:rsid w:val="00261B96"/>
    <w:rsid w:val="00261C39"/>
    <w:rsid w:val="00261D39"/>
    <w:rsid w:val="00263504"/>
    <w:rsid w:val="00263D8B"/>
    <w:rsid w:val="00264853"/>
    <w:rsid w:val="002649EF"/>
    <w:rsid w:val="00264F8F"/>
    <w:rsid w:val="00265137"/>
    <w:rsid w:val="002653E4"/>
    <w:rsid w:val="0026596A"/>
    <w:rsid w:val="00265D3C"/>
    <w:rsid w:val="00266376"/>
    <w:rsid w:val="0026656B"/>
    <w:rsid w:val="00266DAC"/>
    <w:rsid w:val="00266F33"/>
    <w:rsid w:val="0027044A"/>
    <w:rsid w:val="00270508"/>
    <w:rsid w:val="0027074D"/>
    <w:rsid w:val="00272C88"/>
    <w:rsid w:val="002747B2"/>
    <w:rsid w:val="00275F2E"/>
    <w:rsid w:val="00276C1D"/>
    <w:rsid w:val="00277C54"/>
    <w:rsid w:val="0028069C"/>
    <w:rsid w:val="00280713"/>
    <w:rsid w:val="00280A92"/>
    <w:rsid w:val="00280E8F"/>
    <w:rsid w:val="00281520"/>
    <w:rsid w:val="0028282F"/>
    <w:rsid w:val="00282972"/>
    <w:rsid w:val="002830EC"/>
    <w:rsid w:val="0028403A"/>
    <w:rsid w:val="002854FF"/>
    <w:rsid w:val="002857E7"/>
    <w:rsid w:val="0028594B"/>
    <w:rsid w:val="00286425"/>
    <w:rsid w:val="002864CD"/>
    <w:rsid w:val="00287A8C"/>
    <w:rsid w:val="00287C4F"/>
    <w:rsid w:val="00287F56"/>
    <w:rsid w:val="002911F1"/>
    <w:rsid w:val="0029151D"/>
    <w:rsid w:val="00291EFA"/>
    <w:rsid w:val="00292157"/>
    <w:rsid w:val="00292689"/>
    <w:rsid w:val="00293222"/>
    <w:rsid w:val="002933A4"/>
    <w:rsid w:val="00293652"/>
    <w:rsid w:val="00293C7A"/>
    <w:rsid w:val="00294025"/>
    <w:rsid w:val="00294153"/>
    <w:rsid w:val="00294F3F"/>
    <w:rsid w:val="00295D81"/>
    <w:rsid w:val="00296112"/>
    <w:rsid w:val="00296535"/>
    <w:rsid w:val="00297635"/>
    <w:rsid w:val="002A0120"/>
    <w:rsid w:val="002A411E"/>
    <w:rsid w:val="002A4BF5"/>
    <w:rsid w:val="002A50BE"/>
    <w:rsid w:val="002A5F03"/>
    <w:rsid w:val="002A5F70"/>
    <w:rsid w:val="002A6DBF"/>
    <w:rsid w:val="002A6E2F"/>
    <w:rsid w:val="002A6F11"/>
    <w:rsid w:val="002A7107"/>
    <w:rsid w:val="002B1672"/>
    <w:rsid w:val="002B2953"/>
    <w:rsid w:val="002B3064"/>
    <w:rsid w:val="002B40C5"/>
    <w:rsid w:val="002B4238"/>
    <w:rsid w:val="002B4289"/>
    <w:rsid w:val="002B57F4"/>
    <w:rsid w:val="002C01C6"/>
    <w:rsid w:val="002C07AD"/>
    <w:rsid w:val="002C17E2"/>
    <w:rsid w:val="002C2734"/>
    <w:rsid w:val="002C3215"/>
    <w:rsid w:val="002C364D"/>
    <w:rsid w:val="002C3771"/>
    <w:rsid w:val="002C3DDF"/>
    <w:rsid w:val="002C564D"/>
    <w:rsid w:val="002C5E1D"/>
    <w:rsid w:val="002C6C4D"/>
    <w:rsid w:val="002D41C3"/>
    <w:rsid w:val="002D52E4"/>
    <w:rsid w:val="002D5403"/>
    <w:rsid w:val="002D557F"/>
    <w:rsid w:val="002D5862"/>
    <w:rsid w:val="002D6F15"/>
    <w:rsid w:val="002D74A6"/>
    <w:rsid w:val="002D7600"/>
    <w:rsid w:val="002D794D"/>
    <w:rsid w:val="002D7DD0"/>
    <w:rsid w:val="002D7E97"/>
    <w:rsid w:val="002E0096"/>
    <w:rsid w:val="002E050A"/>
    <w:rsid w:val="002E19F8"/>
    <w:rsid w:val="002E1A4E"/>
    <w:rsid w:val="002E2131"/>
    <w:rsid w:val="002E2446"/>
    <w:rsid w:val="002E2A86"/>
    <w:rsid w:val="002E3181"/>
    <w:rsid w:val="002E31E7"/>
    <w:rsid w:val="002E32AA"/>
    <w:rsid w:val="002E398E"/>
    <w:rsid w:val="002E3D8B"/>
    <w:rsid w:val="002E46B7"/>
    <w:rsid w:val="002E5528"/>
    <w:rsid w:val="002E55B4"/>
    <w:rsid w:val="002E6A25"/>
    <w:rsid w:val="002E6B3F"/>
    <w:rsid w:val="002E71A2"/>
    <w:rsid w:val="002E7571"/>
    <w:rsid w:val="002F037F"/>
    <w:rsid w:val="002F04B7"/>
    <w:rsid w:val="002F055F"/>
    <w:rsid w:val="002F0E63"/>
    <w:rsid w:val="002F0E9B"/>
    <w:rsid w:val="002F1307"/>
    <w:rsid w:val="002F173C"/>
    <w:rsid w:val="002F2670"/>
    <w:rsid w:val="002F395F"/>
    <w:rsid w:val="002F4305"/>
    <w:rsid w:val="002F63B8"/>
    <w:rsid w:val="002F67EF"/>
    <w:rsid w:val="002F6854"/>
    <w:rsid w:val="002F6CEC"/>
    <w:rsid w:val="002F758B"/>
    <w:rsid w:val="002F7B43"/>
    <w:rsid w:val="00300CCB"/>
    <w:rsid w:val="003019EF"/>
    <w:rsid w:val="00303312"/>
    <w:rsid w:val="00303B14"/>
    <w:rsid w:val="0030400F"/>
    <w:rsid w:val="00304B7C"/>
    <w:rsid w:val="003051BE"/>
    <w:rsid w:val="00305E5F"/>
    <w:rsid w:val="00306195"/>
    <w:rsid w:val="00306EB1"/>
    <w:rsid w:val="00307F24"/>
    <w:rsid w:val="00310C54"/>
    <w:rsid w:val="00311579"/>
    <w:rsid w:val="003116CF"/>
    <w:rsid w:val="00312E67"/>
    <w:rsid w:val="00313178"/>
    <w:rsid w:val="00313C13"/>
    <w:rsid w:val="0031454E"/>
    <w:rsid w:val="00314673"/>
    <w:rsid w:val="003151A7"/>
    <w:rsid w:val="0031612A"/>
    <w:rsid w:val="0031700A"/>
    <w:rsid w:val="0031734A"/>
    <w:rsid w:val="00317B40"/>
    <w:rsid w:val="00320956"/>
    <w:rsid w:val="003221CE"/>
    <w:rsid w:val="00322665"/>
    <w:rsid w:val="00322D96"/>
    <w:rsid w:val="0032418D"/>
    <w:rsid w:val="0032552A"/>
    <w:rsid w:val="00325834"/>
    <w:rsid w:val="00326DB4"/>
    <w:rsid w:val="00330A21"/>
    <w:rsid w:val="00331C2B"/>
    <w:rsid w:val="00331E14"/>
    <w:rsid w:val="003330C2"/>
    <w:rsid w:val="00333A44"/>
    <w:rsid w:val="00335852"/>
    <w:rsid w:val="00336072"/>
    <w:rsid w:val="00337135"/>
    <w:rsid w:val="00337BFB"/>
    <w:rsid w:val="0034044C"/>
    <w:rsid w:val="003424C5"/>
    <w:rsid w:val="00342C93"/>
    <w:rsid w:val="00342D42"/>
    <w:rsid w:val="00343DAF"/>
    <w:rsid w:val="00343FD9"/>
    <w:rsid w:val="00344BCE"/>
    <w:rsid w:val="003456D0"/>
    <w:rsid w:val="00345EF8"/>
    <w:rsid w:val="003469D9"/>
    <w:rsid w:val="00346D3F"/>
    <w:rsid w:val="00347031"/>
    <w:rsid w:val="0035050E"/>
    <w:rsid w:val="00350628"/>
    <w:rsid w:val="00350963"/>
    <w:rsid w:val="0035366E"/>
    <w:rsid w:val="00355398"/>
    <w:rsid w:val="0035687C"/>
    <w:rsid w:val="00356B01"/>
    <w:rsid w:val="00356F98"/>
    <w:rsid w:val="00357AC3"/>
    <w:rsid w:val="003617B9"/>
    <w:rsid w:val="00361C00"/>
    <w:rsid w:val="00361EDB"/>
    <w:rsid w:val="003620DF"/>
    <w:rsid w:val="003627D2"/>
    <w:rsid w:val="00363D4F"/>
    <w:rsid w:val="0036458A"/>
    <w:rsid w:val="00367944"/>
    <w:rsid w:val="003707B6"/>
    <w:rsid w:val="00370B66"/>
    <w:rsid w:val="00370FFF"/>
    <w:rsid w:val="00372139"/>
    <w:rsid w:val="00372779"/>
    <w:rsid w:val="00372D5B"/>
    <w:rsid w:val="0037342B"/>
    <w:rsid w:val="00373F68"/>
    <w:rsid w:val="003744A2"/>
    <w:rsid w:val="0037478D"/>
    <w:rsid w:val="00375A09"/>
    <w:rsid w:val="00381A65"/>
    <w:rsid w:val="00381BC0"/>
    <w:rsid w:val="00381F10"/>
    <w:rsid w:val="00382D7B"/>
    <w:rsid w:val="0038375C"/>
    <w:rsid w:val="00385016"/>
    <w:rsid w:val="003850A8"/>
    <w:rsid w:val="00385140"/>
    <w:rsid w:val="00385730"/>
    <w:rsid w:val="00386842"/>
    <w:rsid w:val="003869B6"/>
    <w:rsid w:val="00386F7B"/>
    <w:rsid w:val="00387AB5"/>
    <w:rsid w:val="00387E4C"/>
    <w:rsid w:val="00387FCF"/>
    <w:rsid w:val="0039040B"/>
    <w:rsid w:val="00390BDE"/>
    <w:rsid w:val="00391035"/>
    <w:rsid w:val="00391474"/>
    <w:rsid w:val="003918C6"/>
    <w:rsid w:val="00392269"/>
    <w:rsid w:val="00392F4F"/>
    <w:rsid w:val="003935C5"/>
    <w:rsid w:val="00394DFC"/>
    <w:rsid w:val="00396D2D"/>
    <w:rsid w:val="00397815"/>
    <w:rsid w:val="00397BE2"/>
    <w:rsid w:val="003A006E"/>
    <w:rsid w:val="003A119C"/>
    <w:rsid w:val="003A12E8"/>
    <w:rsid w:val="003A166E"/>
    <w:rsid w:val="003A1F65"/>
    <w:rsid w:val="003A2C04"/>
    <w:rsid w:val="003A2C0F"/>
    <w:rsid w:val="003A2D7F"/>
    <w:rsid w:val="003A3719"/>
    <w:rsid w:val="003A500C"/>
    <w:rsid w:val="003A62D8"/>
    <w:rsid w:val="003A71C4"/>
    <w:rsid w:val="003B09CC"/>
    <w:rsid w:val="003B1BFF"/>
    <w:rsid w:val="003B3325"/>
    <w:rsid w:val="003B3418"/>
    <w:rsid w:val="003B34FF"/>
    <w:rsid w:val="003B3C91"/>
    <w:rsid w:val="003B3CC3"/>
    <w:rsid w:val="003B6288"/>
    <w:rsid w:val="003B654E"/>
    <w:rsid w:val="003B7A52"/>
    <w:rsid w:val="003C0EF7"/>
    <w:rsid w:val="003C169E"/>
    <w:rsid w:val="003C1BD2"/>
    <w:rsid w:val="003C2639"/>
    <w:rsid w:val="003C32CB"/>
    <w:rsid w:val="003C3666"/>
    <w:rsid w:val="003C3983"/>
    <w:rsid w:val="003C4255"/>
    <w:rsid w:val="003C4FC0"/>
    <w:rsid w:val="003C51A7"/>
    <w:rsid w:val="003C5CE8"/>
    <w:rsid w:val="003C5EDB"/>
    <w:rsid w:val="003C6389"/>
    <w:rsid w:val="003C6727"/>
    <w:rsid w:val="003C74B6"/>
    <w:rsid w:val="003C7B23"/>
    <w:rsid w:val="003D0802"/>
    <w:rsid w:val="003D149E"/>
    <w:rsid w:val="003D247C"/>
    <w:rsid w:val="003D2EE1"/>
    <w:rsid w:val="003D7616"/>
    <w:rsid w:val="003D7FD8"/>
    <w:rsid w:val="003E1168"/>
    <w:rsid w:val="003E2D43"/>
    <w:rsid w:val="003E32C0"/>
    <w:rsid w:val="003E5604"/>
    <w:rsid w:val="003E5DAE"/>
    <w:rsid w:val="003E6406"/>
    <w:rsid w:val="003E6D78"/>
    <w:rsid w:val="003E717C"/>
    <w:rsid w:val="003E7A8A"/>
    <w:rsid w:val="003E7E3A"/>
    <w:rsid w:val="003F00CD"/>
    <w:rsid w:val="003F0418"/>
    <w:rsid w:val="003F0C44"/>
    <w:rsid w:val="003F1B43"/>
    <w:rsid w:val="003F227F"/>
    <w:rsid w:val="003F2AF9"/>
    <w:rsid w:val="003F311F"/>
    <w:rsid w:val="003F3580"/>
    <w:rsid w:val="003F360D"/>
    <w:rsid w:val="003F43CE"/>
    <w:rsid w:val="003F50C5"/>
    <w:rsid w:val="003F5459"/>
    <w:rsid w:val="003F62AD"/>
    <w:rsid w:val="003F6DE6"/>
    <w:rsid w:val="003F6F4B"/>
    <w:rsid w:val="003F7856"/>
    <w:rsid w:val="00400B3E"/>
    <w:rsid w:val="0040109A"/>
    <w:rsid w:val="00401169"/>
    <w:rsid w:val="004011F8"/>
    <w:rsid w:val="004017B4"/>
    <w:rsid w:val="00401A3C"/>
    <w:rsid w:val="00401F00"/>
    <w:rsid w:val="0040230D"/>
    <w:rsid w:val="00403219"/>
    <w:rsid w:val="004039A8"/>
    <w:rsid w:val="00403BFF"/>
    <w:rsid w:val="00404AA1"/>
    <w:rsid w:val="00404ABE"/>
    <w:rsid w:val="004062F8"/>
    <w:rsid w:val="00407F26"/>
    <w:rsid w:val="004112EF"/>
    <w:rsid w:val="004121C5"/>
    <w:rsid w:val="00412D47"/>
    <w:rsid w:val="0041494B"/>
    <w:rsid w:val="00414E5D"/>
    <w:rsid w:val="004159C7"/>
    <w:rsid w:val="004165A9"/>
    <w:rsid w:val="00416AF9"/>
    <w:rsid w:val="00420FA4"/>
    <w:rsid w:val="00421449"/>
    <w:rsid w:val="0042197E"/>
    <w:rsid w:val="00422D64"/>
    <w:rsid w:val="00423465"/>
    <w:rsid w:val="00423DB6"/>
    <w:rsid w:val="00423DCE"/>
    <w:rsid w:val="00424495"/>
    <w:rsid w:val="00425096"/>
    <w:rsid w:val="004250FC"/>
    <w:rsid w:val="00425128"/>
    <w:rsid w:val="00425CE3"/>
    <w:rsid w:val="00426094"/>
    <w:rsid w:val="0042656E"/>
    <w:rsid w:val="00426B48"/>
    <w:rsid w:val="00426CB9"/>
    <w:rsid w:val="004277D7"/>
    <w:rsid w:val="004307EB"/>
    <w:rsid w:val="00431EED"/>
    <w:rsid w:val="00432010"/>
    <w:rsid w:val="00432214"/>
    <w:rsid w:val="00432F0C"/>
    <w:rsid w:val="00433686"/>
    <w:rsid w:val="00434F05"/>
    <w:rsid w:val="004352D7"/>
    <w:rsid w:val="00436072"/>
    <w:rsid w:val="004362FE"/>
    <w:rsid w:val="00437C38"/>
    <w:rsid w:val="00440381"/>
    <w:rsid w:val="00440853"/>
    <w:rsid w:val="00441824"/>
    <w:rsid w:val="004423F0"/>
    <w:rsid w:val="00443218"/>
    <w:rsid w:val="00443826"/>
    <w:rsid w:val="004458B1"/>
    <w:rsid w:val="00446E59"/>
    <w:rsid w:val="0044758F"/>
    <w:rsid w:val="0045055D"/>
    <w:rsid w:val="00450DE0"/>
    <w:rsid w:val="00450FDB"/>
    <w:rsid w:val="0045173E"/>
    <w:rsid w:val="00451C55"/>
    <w:rsid w:val="00452340"/>
    <w:rsid w:val="00452403"/>
    <w:rsid w:val="00452A98"/>
    <w:rsid w:val="00453834"/>
    <w:rsid w:val="00454D2C"/>
    <w:rsid w:val="0045530D"/>
    <w:rsid w:val="004554D6"/>
    <w:rsid w:val="00456845"/>
    <w:rsid w:val="00456C5A"/>
    <w:rsid w:val="00456CE8"/>
    <w:rsid w:val="0045728D"/>
    <w:rsid w:val="00457F1E"/>
    <w:rsid w:val="0046099A"/>
    <w:rsid w:val="0046130B"/>
    <w:rsid w:val="004613BF"/>
    <w:rsid w:val="004615E7"/>
    <w:rsid w:val="004619CB"/>
    <w:rsid w:val="00461A4C"/>
    <w:rsid w:val="004629BF"/>
    <w:rsid w:val="00462CE0"/>
    <w:rsid w:val="00463CF7"/>
    <w:rsid w:val="00463D6C"/>
    <w:rsid w:val="0046422B"/>
    <w:rsid w:val="0046483A"/>
    <w:rsid w:val="00464A94"/>
    <w:rsid w:val="00464BED"/>
    <w:rsid w:val="0046568F"/>
    <w:rsid w:val="00465707"/>
    <w:rsid w:val="00465C58"/>
    <w:rsid w:val="00465F14"/>
    <w:rsid w:val="0046735C"/>
    <w:rsid w:val="004706A5"/>
    <w:rsid w:val="00470BBF"/>
    <w:rsid w:val="00470DFB"/>
    <w:rsid w:val="00472611"/>
    <w:rsid w:val="0047319A"/>
    <w:rsid w:val="004732B5"/>
    <w:rsid w:val="00474A74"/>
    <w:rsid w:val="004827E0"/>
    <w:rsid w:val="00482B1F"/>
    <w:rsid w:val="00482F9B"/>
    <w:rsid w:val="00483139"/>
    <w:rsid w:val="00483BB5"/>
    <w:rsid w:val="00484A5B"/>
    <w:rsid w:val="00484C32"/>
    <w:rsid w:val="00484D35"/>
    <w:rsid w:val="00485149"/>
    <w:rsid w:val="00485FDC"/>
    <w:rsid w:val="00486247"/>
    <w:rsid w:val="00486C53"/>
    <w:rsid w:val="0048715D"/>
    <w:rsid w:val="004876D5"/>
    <w:rsid w:val="004905DE"/>
    <w:rsid w:val="004908F9"/>
    <w:rsid w:val="0049098E"/>
    <w:rsid w:val="0049133B"/>
    <w:rsid w:val="00492A9C"/>
    <w:rsid w:val="00492BFC"/>
    <w:rsid w:val="00493539"/>
    <w:rsid w:val="00494DEE"/>
    <w:rsid w:val="004951C8"/>
    <w:rsid w:val="004954AA"/>
    <w:rsid w:val="00495667"/>
    <w:rsid w:val="00497D45"/>
    <w:rsid w:val="004A02D3"/>
    <w:rsid w:val="004A09A6"/>
    <w:rsid w:val="004A189F"/>
    <w:rsid w:val="004A194C"/>
    <w:rsid w:val="004A23A1"/>
    <w:rsid w:val="004A345E"/>
    <w:rsid w:val="004A5604"/>
    <w:rsid w:val="004A574E"/>
    <w:rsid w:val="004A596D"/>
    <w:rsid w:val="004A6ADC"/>
    <w:rsid w:val="004A6CBC"/>
    <w:rsid w:val="004A781A"/>
    <w:rsid w:val="004A7A57"/>
    <w:rsid w:val="004A7D86"/>
    <w:rsid w:val="004B01A1"/>
    <w:rsid w:val="004B0624"/>
    <w:rsid w:val="004B0951"/>
    <w:rsid w:val="004B0CAD"/>
    <w:rsid w:val="004B1F51"/>
    <w:rsid w:val="004B307E"/>
    <w:rsid w:val="004B582E"/>
    <w:rsid w:val="004B5AA1"/>
    <w:rsid w:val="004C0309"/>
    <w:rsid w:val="004C0425"/>
    <w:rsid w:val="004C0F9C"/>
    <w:rsid w:val="004C197B"/>
    <w:rsid w:val="004C1CF8"/>
    <w:rsid w:val="004C29F8"/>
    <w:rsid w:val="004C38C4"/>
    <w:rsid w:val="004C3A03"/>
    <w:rsid w:val="004C3BF4"/>
    <w:rsid w:val="004C4628"/>
    <w:rsid w:val="004C48E2"/>
    <w:rsid w:val="004C57EB"/>
    <w:rsid w:val="004C57EF"/>
    <w:rsid w:val="004C7964"/>
    <w:rsid w:val="004D07CA"/>
    <w:rsid w:val="004D13C1"/>
    <w:rsid w:val="004D1552"/>
    <w:rsid w:val="004D1731"/>
    <w:rsid w:val="004D2272"/>
    <w:rsid w:val="004D22F4"/>
    <w:rsid w:val="004D27D7"/>
    <w:rsid w:val="004D3245"/>
    <w:rsid w:val="004D3285"/>
    <w:rsid w:val="004D3651"/>
    <w:rsid w:val="004D3927"/>
    <w:rsid w:val="004D42BF"/>
    <w:rsid w:val="004D4BD2"/>
    <w:rsid w:val="004D4BFE"/>
    <w:rsid w:val="004D602F"/>
    <w:rsid w:val="004D69AC"/>
    <w:rsid w:val="004D7C71"/>
    <w:rsid w:val="004D7C84"/>
    <w:rsid w:val="004E033D"/>
    <w:rsid w:val="004E0925"/>
    <w:rsid w:val="004E0F59"/>
    <w:rsid w:val="004E18C8"/>
    <w:rsid w:val="004E1970"/>
    <w:rsid w:val="004E21C6"/>
    <w:rsid w:val="004E24FF"/>
    <w:rsid w:val="004E3223"/>
    <w:rsid w:val="004E49BC"/>
    <w:rsid w:val="004E6E5B"/>
    <w:rsid w:val="004E70C5"/>
    <w:rsid w:val="004E7D6B"/>
    <w:rsid w:val="004F0F17"/>
    <w:rsid w:val="004F11B4"/>
    <w:rsid w:val="004F1C32"/>
    <w:rsid w:val="004F549E"/>
    <w:rsid w:val="004F5728"/>
    <w:rsid w:val="004F57F0"/>
    <w:rsid w:val="004F5BEE"/>
    <w:rsid w:val="004F6437"/>
    <w:rsid w:val="004F65F8"/>
    <w:rsid w:val="004F6CC5"/>
    <w:rsid w:val="00501229"/>
    <w:rsid w:val="005014EC"/>
    <w:rsid w:val="005018E0"/>
    <w:rsid w:val="00502DF9"/>
    <w:rsid w:val="00503230"/>
    <w:rsid w:val="00505CD4"/>
    <w:rsid w:val="00507658"/>
    <w:rsid w:val="0051241B"/>
    <w:rsid w:val="00512735"/>
    <w:rsid w:val="00513163"/>
    <w:rsid w:val="00514234"/>
    <w:rsid w:val="00514297"/>
    <w:rsid w:val="00514617"/>
    <w:rsid w:val="005154CA"/>
    <w:rsid w:val="00515C1E"/>
    <w:rsid w:val="00515EB1"/>
    <w:rsid w:val="005165FB"/>
    <w:rsid w:val="00516EDF"/>
    <w:rsid w:val="00516FE7"/>
    <w:rsid w:val="00517B5D"/>
    <w:rsid w:val="00520559"/>
    <w:rsid w:val="00520659"/>
    <w:rsid w:val="00522064"/>
    <w:rsid w:val="005220E0"/>
    <w:rsid w:val="005227F2"/>
    <w:rsid w:val="00522E3E"/>
    <w:rsid w:val="005235B5"/>
    <w:rsid w:val="005242CA"/>
    <w:rsid w:val="00524427"/>
    <w:rsid w:val="00524A73"/>
    <w:rsid w:val="00525636"/>
    <w:rsid w:val="00525718"/>
    <w:rsid w:val="00525A72"/>
    <w:rsid w:val="00526363"/>
    <w:rsid w:val="00527532"/>
    <w:rsid w:val="00530B70"/>
    <w:rsid w:val="00530CB7"/>
    <w:rsid w:val="00531093"/>
    <w:rsid w:val="00531219"/>
    <w:rsid w:val="005316DA"/>
    <w:rsid w:val="00531998"/>
    <w:rsid w:val="00531BD1"/>
    <w:rsid w:val="00531CE4"/>
    <w:rsid w:val="00533720"/>
    <w:rsid w:val="00534354"/>
    <w:rsid w:val="0053445B"/>
    <w:rsid w:val="005348FF"/>
    <w:rsid w:val="00535D4C"/>
    <w:rsid w:val="005404CA"/>
    <w:rsid w:val="005420AD"/>
    <w:rsid w:val="00542212"/>
    <w:rsid w:val="00542516"/>
    <w:rsid w:val="0054294C"/>
    <w:rsid w:val="00542A7E"/>
    <w:rsid w:val="00543CA0"/>
    <w:rsid w:val="00543E79"/>
    <w:rsid w:val="00544CFA"/>
    <w:rsid w:val="005465C9"/>
    <w:rsid w:val="005473AE"/>
    <w:rsid w:val="0054749A"/>
    <w:rsid w:val="00550E53"/>
    <w:rsid w:val="00550FB1"/>
    <w:rsid w:val="005514A7"/>
    <w:rsid w:val="00552292"/>
    <w:rsid w:val="00552AB9"/>
    <w:rsid w:val="00553505"/>
    <w:rsid w:val="00554475"/>
    <w:rsid w:val="005547C4"/>
    <w:rsid w:val="00555E86"/>
    <w:rsid w:val="00555F21"/>
    <w:rsid w:val="005567FD"/>
    <w:rsid w:val="0056030C"/>
    <w:rsid w:val="005605AE"/>
    <w:rsid w:val="0056080C"/>
    <w:rsid w:val="00560D74"/>
    <w:rsid w:val="00560E96"/>
    <w:rsid w:val="00561EBB"/>
    <w:rsid w:val="00562124"/>
    <w:rsid w:val="005628C9"/>
    <w:rsid w:val="005632CF"/>
    <w:rsid w:val="0056360F"/>
    <w:rsid w:val="00563B14"/>
    <w:rsid w:val="00564925"/>
    <w:rsid w:val="00564D16"/>
    <w:rsid w:val="00565324"/>
    <w:rsid w:val="00565391"/>
    <w:rsid w:val="00566849"/>
    <w:rsid w:val="005677A4"/>
    <w:rsid w:val="0056789E"/>
    <w:rsid w:val="00567CC0"/>
    <w:rsid w:val="00567F63"/>
    <w:rsid w:val="00571214"/>
    <w:rsid w:val="0057201B"/>
    <w:rsid w:val="00572308"/>
    <w:rsid w:val="0057232D"/>
    <w:rsid w:val="005729DE"/>
    <w:rsid w:val="00572AE9"/>
    <w:rsid w:val="00572BCA"/>
    <w:rsid w:val="00573490"/>
    <w:rsid w:val="005738E9"/>
    <w:rsid w:val="005739E4"/>
    <w:rsid w:val="0057400A"/>
    <w:rsid w:val="00575101"/>
    <w:rsid w:val="005771F3"/>
    <w:rsid w:val="0057736F"/>
    <w:rsid w:val="005774C5"/>
    <w:rsid w:val="00577690"/>
    <w:rsid w:val="005809A2"/>
    <w:rsid w:val="00580D19"/>
    <w:rsid w:val="0058173A"/>
    <w:rsid w:val="00581A41"/>
    <w:rsid w:val="00581B14"/>
    <w:rsid w:val="0058259F"/>
    <w:rsid w:val="0058372C"/>
    <w:rsid w:val="00583873"/>
    <w:rsid w:val="00583ADB"/>
    <w:rsid w:val="00583FB6"/>
    <w:rsid w:val="005849F1"/>
    <w:rsid w:val="00584C9C"/>
    <w:rsid w:val="00584D54"/>
    <w:rsid w:val="00584F2B"/>
    <w:rsid w:val="00585F9E"/>
    <w:rsid w:val="00586A9C"/>
    <w:rsid w:val="005874D8"/>
    <w:rsid w:val="00590013"/>
    <w:rsid w:val="00590C46"/>
    <w:rsid w:val="005914B1"/>
    <w:rsid w:val="00591D23"/>
    <w:rsid w:val="00592BA7"/>
    <w:rsid w:val="00593C10"/>
    <w:rsid w:val="00594678"/>
    <w:rsid w:val="005959F1"/>
    <w:rsid w:val="005960D2"/>
    <w:rsid w:val="005977D1"/>
    <w:rsid w:val="005A0F69"/>
    <w:rsid w:val="005A1C47"/>
    <w:rsid w:val="005A3373"/>
    <w:rsid w:val="005A4334"/>
    <w:rsid w:val="005A4590"/>
    <w:rsid w:val="005A6906"/>
    <w:rsid w:val="005A69E3"/>
    <w:rsid w:val="005B1089"/>
    <w:rsid w:val="005B157C"/>
    <w:rsid w:val="005B19B7"/>
    <w:rsid w:val="005B1F45"/>
    <w:rsid w:val="005B26E9"/>
    <w:rsid w:val="005B376E"/>
    <w:rsid w:val="005B3D2E"/>
    <w:rsid w:val="005B417A"/>
    <w:rsid w:val="005B45CF"/>
    <w:rsid w:val="005B51B6"/>
    <w:rsid w:val="005B544B"/>
    <w:rsid w:val="005B5864"/>
    <w:rsid w:val="005B5A09"/>
    <w:rsid w:val="005B5B1D"/>
    <w:rsid w:val="005B5D99"/>
    <w:rsid w:val="005B65E5"/>
    <w:rsid w:val="005B667D"/>
    <w:rsid w:val="005B6BB6"/>
    <w:rsid w:val="005C0710"/>
    <w:rsid w:val="005C1766"/>
    <w:rsid w:val="005C377E"/>
    <w:rsid w:val="005C3928"/>
    <w:rsid w:val="005C4D56"/>
    <w:rsid w:val="005C55D3"/>
    <w:rsid w:val="005C584A"/>
    <w:rsid w:val="005C5B43"/>
    <w:rsid w:val="005C5D21"/>
    <w:rsid w:val="005C5DF9"/>
    <w:rsid w:val="005C5E79"/>
    <w:rsid w:val="005C689F"/>
    <w:rsid w:val="005C7045"/>
    <w:rsid w:val="005C7472"/>
    <w:rsid w:val="005C7874"/>
    <w:rsid w:val="005D06E1"/>
    <w:rsid w:val="005D0E48"/>
    <w:rsid w:val="005D13BE"/>
    <w:rsid w:val="005D1A81"/>
    <w:rsid w:val="005D26BE"/>
    <w:rsid w:val="005D3114"/>
    <w:rsid w:val="005D335D"/>
    <w:rsid w:val="005D3821"/>
    <w:rsid w:val="005D38A9"/>
    <w:rsid w:val="005D4C85"/>
    <w:rsid w:val="005D4ED8"/>
    <w:rsid w:val="005D4F96"/>
    <w:rsid w:val="005D5404"/>
    <w:rsid w:val="005D59AD"/>
    <w:rsid w:val="005D6187"/>
    <w:rsid w:val="005D6BDC"/>
    <w:rsid w:val="005D6EE0"/>
    <w:rsid w:val="005D6FA4"/>
    <w:rsid w:val="005D732F"/>
    <w:rsid w:val="005D7C7E"/>
    <w:rsid w:val="005D7EBB"/>
    <w:rsid w:val="005E01DA"/>
    <w:rsid w:val="005E14E9"/>
    <w:rsid w:val="005E155A"/>
    <w:rsid w:val="005E1BE0"/>
    <w:rsid w:val="005E2223"/>
    <w:rsid w:val="005E2F6E"/>
    <w:rsid w:val="005E2FF9"/>
    <w:rsid w:val="005E326D"/>
    <w:rsid w:val="005E3394"/>
    <w:rsid w:val="005E40D8"/>
    <w:rsid w:val="005E4FEE"/>
    <w:rsid w:val="005E5131"/>
    <w:rsid w:val="005E6798"/>
    <w:rsid w:val="005E68C1"/>
    <w:rsid w:val="005E7C2F"/>
    <w:rsid w:val="005F002C"/>
    <w:rsid w:val="005F0B8D"/>
    <w:rsid w:val="005F1BA7"/>
    <w:rsid w:val="005F20F9"/>
    <w:rsid w:val="005F216C"/>
    <w:rsid w:val="005F23ED"/>
    <w:rsid w:val="005F2F82"/>
    <w:rsid w:val="005F3889"/>
    <w:rsid w:val="005F466F"/>
    <w:rsid w:val="005F4BAA"/>
    <w:rsid w:val="005F4F0C"/>
    <w:rsid w:val="005F5026"/>
    <w:rsid w:val="005F57B9"/>
    <w:rsid w:val="005F60B4"/>
    <w:rsid w:val="005F612F"/>
    <w:rsid w:val="005F6314"/>
    <w:rsid w:val="005F7249"/>
    <w:rsid w:val="005F728F"/>
    <w:rsid w:val="005F77A0"/>
    <w:rsid w:val="00601C5D"/>
    <w:rsid w:val="0060299F"/>
    <w:rsid w:val="006034F5"/>
    <w:rsid w:val="006041B3"/>
    <w:rsid w:val="0060594D"/>
    <w:rsid w:val="00606456"/>
    <w:rsid w:val="00606804"/>
    <w:rsid w:val="00606B8B"/>
    <w:rsid w:val="006107B3"/>
    <w:rsid w:val="00610E5B"/>
    <w:rsid w:val="00611573"/>
    <w:rsid w:val="00611C60"/>
    <w:rsid w:val="00611CC4"/>
    <w:rsid w:val="00611F8D"/>
    <w:rsid w:val="00612801"/>
    <w:rsid w:val="00612B87"/>
    <w:rsid w:val="00612D9F"/>
    <w:rsid w:val="0061347B"/>
    <w:rsid w:val="00613F08"/>
    <w:rsid w:val="006146A5"/>
    <w:rsid w:val="00614E4B"/>
    <w:rsid w:val="006150EB"/>
    <w:rsid w:val="0061530F"/>
    <w:rsid w:val="00615D1E"/>
    <w:rsid w:val="00615E3B"/>
    <w:rsid w:val="00616E1D"/>
    <w:rsid w:val="00616F5E"/>
    <w:rsid w:val="006172D2"/>
    <w:rsid w:val="006174BE"/>
    <w:rsid w:val="006200B6"/>
    <w:rsid w:val="00620342"/>
    <w:rsid w:val="0062134A"/>
    <w:rsid w:val="00621649"/>
    <w:rsid w:val="006217CB"/>
    <w:rsid w:val="00621A1D"/>
    <w:rsid w:val="00621C45"/>
    <w:rsid w:val="00624503"/>
    <w:rsid w:val="00624C79"/>
    <w:rsid w:val="00625629"/>
    <w:rsid w:val="006256CE"/>
    <w:rsid w:val="00625C11"/>
    <w:rsid w:val="00627DB9"/>
    <w:rsid w:val="006300D3"/>
    <w:rsid w:val="00630224"/>
    <w:rsid w:val="00631C8B"/>
    <w:rsid w:val="00631CAC"/>
    <w:rsid w:val="00631E05"/>
    <w:rsid w:val="006325A2"/>
    <w:rsid w:val="006330C0"/>
    <w:rsid w:val="006336B2"/>
    <w:rsid w:val="00633E3E"/>
    <w:rsid w:val="00635155"/>
    <w:rsid w:val="00637451"/>
    <w:rsid w:val="00637613"/>
    <w:rsid w:val="00637FAB"/>
    <w:rsid w:val="00640B13"/>
    <w:rsid w:val="00640E1C"/>
    <w:rsid w:val="006411B1"/>
    <w:rsid w:val="006414E6"/>
    <w:rsid w:val="006418EC"/>
    <w:rsid w:val="00641CE8"/>
    <w:rsid w:val="00641DAD"/>
    <w:rsid w:val="00641F01"/>
    <w:rsid w:val="0064209E"/>
    <w:rsid w:val="0064249F"/>
    <w:rsid w:val="00642F71"/>
    <w:rsid w:val="00643401"/>
    <w:rsid w:val="0064383C"/>
    <w:rsid w:val="00644C85"/>
    <w:rsid w:val="00645443"/>
    <w:rsid w:val="00645702"/>
    <w:rsid w:val="006479D9"/>
    <w:rsid w:val="006505F7"/>
    <w:rsid w:val="006514E7"/>
    <w:rsid w:val="00651C60"/>
    <w:rsid w:val="006558F9"/>
    <w:rsid w:val="00656749"/>
    <w:rsid w:val="00656F1A"/>
    <w:rsid w:val="00660400"/>
    <w:rsid w:val="006610FF"/>
    <w:rsid w:val="0066130A"/>
    <w:rsid w:val="00661B94"/>
    <w:rsid w:val="00662671"/>
    <w:rsid w:val="00662BFA"/>
    <w:rsid w:val="00662F8A"/>
    <w:rsid w:val="00663DCA"/>
    <w:rsid w:val="0066477D"/>
    <w:rsid w:val="00664F6A"/>
    <w:rsid w:val="00665735"/>
    <w:rsid w:val="00665D2F"/>
    <w:rsid w:val="00666445"/>
    <w:rsid w:val="00666475"/>
    <w:rsid w:val="00666734"/>
    <w:rsid w:val="00666B01"/>
    <w:rsid w:val="00666D04"/>
    <w:rsid w:val="006675EC"/>
    <w:rsid w:val="00667E25"/>
    <w:rsid w:val="0067082B"/>
    <w:rsid w:val="0067206D"/>
    <w:rsid w:val="006731E3"/>
    <w:rsid w:val="00675619"/>
    <w:rsid w:val="0067638A"/>
    <w:rsid w:val="006765AB"/>
    <w:rsid w:val="00677E41"/>
    <w:rsid w:val="00680BB9"/>
    <w:rsid w:val="00680D0B"/>
    <w:rsid w:val="00680EBD"/>
    <w:rsid w:val="0068278C"/>
    <w:rsid w:val="006830D4"/>
    <w:rsid w:val="00683ED3"/>
    <w:rsid w:val="00685D83"/>
    <w:rsid w:val="006868C0"/>
    <w:rsid w:val="00686D3C"/>
    <w:rsid w:val="00687244"/>
    <w:rsid w:val="00687EDF"/>
    <w:rsid w:val="006912DA"/>
    <w:rsid w:val="006915A9"/>
    <w:rsid w:val="00692529"/>
    <w:rsid w:val="00692DA8"/>
    <w:rsid w:val="00693415"/>
    <w:rsid w:val="00694AAE"/>
    <w:rsid w:val="006958FA"/>
    <w:rsid w:val="00695A73"/>
    <w:rsid w:val="00695BE5"/>
    <w:rsid w:val="0069643C"/>
    <w:rsid w:val="006979BF"/>
    <w:rsid w:val="00697E9A"/>
    <w:rsid w:val="006A05E2"/>
    <w:rsid w:val="006A0B6D"/>
    <w:rsid w:val="006A0B75"/>
    <w:rsid w:val="006A1B5A"/>
    <w:rsid w:val="006A281F"/>
    <w:rsid w:val="006A2C2D"/>
    <w:rsid w:val="006A4251"/>
    <w:rsid w:val="006A44A0"/>
    <w:rsid w:val="006A5B08"/>
    <w:rsid w:val="006A61E8"/>
    <w:rsid w:val="006A66F8"/>
    <w:rsid w:val="006A6AB0"/>
    <w:rsid w:val="006A700D"/>
    <w:rsid w:val="006A7706"/>
    <w:rsid w:val="006A77A9"/>
    <w:rsid w:val="006B1612"/>
    <w:rsid w:val="006B2F38"/>
    <w:rsid w:val="006B45C6"/>
    <w:rsid w:val="006B4BFA"/>
    <w:rsid w:val="006B5212"/>
    <w:rsid w:val="006B548E"/>
    <w:rsid w:val="006B6131"/>
    <w:rsid w:val="006B7EE6"/>
    <w:rsid w:val="006C070D"/>
    <w:rsid w:val="006C2017"/>
    <w:rsid w:val="006C2D6E"/>
    <w:rsid w:val="006C316B"/>
    <w:rsid w:val="006C327F"/>
    <w:rsid w:val="006C35DB"/>
    <w:rsid w:val="006C3739"/>
    <w:rsid w:val="006C3776"/>
    <w:rsid w:val="006C3DAC"/>
    <w:rsid w:val="006C454E"/>
    <w:rsid w:val="006C4C79"/>
    <w:rsid w:val="006C5785"/>
    <w:rsid w:val="006C57D3"/>
    <w:rsid w:val="006C5CA5"/>
    <w:rsid w:val="006C6314"/>
    <w:rsid w:val="006C636D"/>
    <w:rsid w:val="006C6919"/>
    <w:rsid w:val="006C6926"/>
    <w:rsid w:val="006C6F1E"/>
    <w:rsid w:val="006C7204"/>
    <w:rsid w:val="006D1E24"/>
    <w:rsid w:val="006D3574"/>
    <w:rsid w:val="006D3969"/>
    <w:rsid w:val="006D3ED6"/>
    <w:rsid w:val="006D40A3"/>
    <w:rsid w:val="006D4715"/>
    <w:rsid w:val="006D4B1F"/>
    <w:rsid w:val="006D6C33"/>
    <w:rsid w:val="006D73B0"/>
    <w:rsid w:val="006D763D"/>
    <w:rsid w:val="006E0CE4"/>
    <w:rsid w:val="006E1E5E"/>
    <w:rsid w:val="006E4787"/>
    <w:rsid w:val="006E4CCC"/>
    <w:rsid w:val="006E4FF8"/>
    <w:rsid w:val="006E5A5C"/>
    <w:rsid w:val="006E6538"/>
    <w:rsid w:val="006E6625"/>
    <w:rsid w:val="006F0AEC"/>
    <w:rsid w:val="006F1779"/>
    <w:rsid w:val="006F19F8"/>
    <w:rsid w:val="006F1DA7"/>
    <w:rsid w:val="006F2060"/>
    <w:rsid w:val="006F2801"/>
    <w:rsid w:val="006F3050"/>
    <w:rsid w:val="006F3722"/>
    <w:rsid w:val="006F3B3B"/>
    <w:rsid w:val="006F4D5F"/>
    <w:rsid w:val="006F5741"/>
    <w:rsid w:val="006F6795"/>
    <w:rsid w:val="006F702F"/>
    <w:rsid w:val="006F787A"/>
    <w:rsid w:val="006F79E9"/>
    <w:rsid w:val="00701E8C"/>
    <w:rsid w:val="00702627"/>
    <w:rsid w:val="00702B0D"/>
    <w:rsid w:val="00704F0D"/>
    <w:rsid w:val="00705425"/>
    <w:rsid w:val="0070651A"/>
    <w:rsid w:val="007076CD"/>
    <w:rsid w:val="00707F17"/>
    <w:rsid w:val="00710157"/>
    <w:rsid w:val="00711072"/>
    <w:rsid w:val="00711513"/>
    <w:rsid w:val="007116E4"/>
    <w:rsid w:val="007117C8"/>
    <w:rsid w:val="00711852"/>
    <w:rsid w:val="00712655"/>
    <w:rsid w:val="00712674"/>
    <w:rsid w:val="00713189"/>
    <w:rsid w:val="00714423"/>
    <w:rsid w:val="00714A2F"/>
    <w:rsid w:val="00714CAB"/>
    <w:rsid w:val="00714DD9"/>
    <w:rsid w:val="00714F6F"/>
    <w:rsid w:val="00715132"/>
    <w:rsid w:val="007156F5"/>
    <w:rsid w:val="00715F54"/>
    <w:rsid w:val="007168F6"/>
    <w:rsid w:val="007179FE"/>
    <w:rsid w:val="00717A58"/>
    <w:rsid w:val="007207A0"/>
    <w:rsid w:val="00720B07"/>
    <w:rsid w:val="007218C3"/>
    <w:rsid w:val="007228F4"/>
    <w:rsid w:val="007241FC"/>
    <w:rsid w:val="007243F8"/>
    <w:rsid w:val="00724945"/>
    <w:rsid w:val="00725462"/>
    <w:rsid w:val="00726492"/>
    <w:rsid w:val="0072687B"/>
    <w:rsid w:val="00730BE3"/>
    <w:rsid w:val="00732D8D"/>
    <w:rsid w:val="0073308E"/>
    <w:rsid w:val="007341CF"/>
    <w:rsid w:val="0073456F"/>
    <w:rsid w:val="00735EB9"/>
    <w:rsid w:val="00737467"/>
    <w:rsid w:val="00737B4B"/>
    <w:rsid w:val="00737F97"/>
    <w:rsid w:val="00740236"/>
    <w:rsid w:val="00741DD5"/>
    <w:rsid w:val="00743CFC"/>
    <w:rsid w:val="00743F5A"/>
    <w:rsid w:val="00746026"/>
    <w:rsid w:val="00746EE9"/>
    <w:rsid w:val="0074762E"/>
    <w:rsid w:val="0075038D"/>
    <w:rsid w:val="007510C1"/>
    <w:rsid w:val="007511E9"/>
    <w:rsid w:val="00751AE2"/>
    <w:rsid w:val="00751C15"/>
    <w:rsid w:val="00752B7D"/>
    <w:rsid w:val="00753151"/>
    <w:rsid w:val="00753505"/>
    <w:rsid w:val="0075432D"/>
    <w:rsid w:val="007556E0"/>
    <w:rsid w:val="0075594E"/>
    <w:rsid w:val="00757AF5"/>
    <w:rsid w:val="00757CA4"/>
    <w:rsid w:val="0076103F"/>
    <w:rsid w:val="007617FA"/>
    <w:rsid w:val="0076273A"/>
    <w:rsid w:val="0076305C"/>
    <w:rsid w:val="00763061"/>
    <w:rsid w:val="00763AC0"/>
    <w:rsid w:val="00764635"/>
    <w:rsid w:val="0076488F"/>
    <w:rsid w:val="00766B60"/>
    <w:rsid w:val="0077007F"/>
    <w:rsid w:val="00770D55"/>
    <w:rsid w:val="007716B6"/>
    <w:rsid w:val="00771F86"/>
    <w:rsid w:val="007728A2"/>
    <w:rsid w:val="00773781"/>
    <w:rsid w:val="007744AD"/>
    <w:rsid w:val="0077458F"/>
    <w:rsid w:val="007746A1"/>
    <w:rsid w:val="00774C21"/>
    <w:rsid w:val="00777C0A"/>
    <w:rsid w:val="007815E6"/>
    <w:rsid w:val="007817B6"/>
    <w:rsid w:val="0078188A"/>
    <w:rsid w:val="00782DB8"/>
    <w:rsid w:val="00782FEE"/>
    <w:rsid w:val="007832E9"/>
    <w:rsid w:val="00784770"/>
    <w:rsid w:val="00785084"/>
    <w:rsid w:val="00786348"/>
    <w:rsid w:val="00786D9E"/>
    <w:rsid w:val="007877AB"/>
    <w:rsid w:val="007877D5"/>
    <w:rsid w:val="00790047"/>
    <w:rsid w:val="007910F7"/>
    <w:rsid w:val="00791622"/>
    <w:rsid w:val="00791A34"/>
    <w:rsid w:val="00791CFD"/>
    <w:rsid w:val="00791E69"/>
    <w:rsid w:val="007929B4"/>
    <w:rsid w:val="00794DF4"/>
    <w:rsid w:val="007953F0"/>
    <w:rsid w:val="00795F22"/>
    <w:rsid w:val="00796CCB"/>
    <w:rsid w:val="007A175C"/>
    <w:rsid w:val="007A1A6B"/>
    <w:rsid w:val="007A1A9F"/>
    <w:rsid w:val="007A22FF"/>
    <w:rsid w:val="007A361F"/>
    <w:rsid w:val="007A38C7"/>
    <w:rsid w:val="007A463A"/>
    <w:rsid w:val="007A4AA7"/>
    <w:rsid w:val="007A5619"/>
    <w:rsid w:val="007A5F97"/>
    <w:rsid w:val="007A66C1"/>
    <w:rsid w:val="007A6AE8"/>
    <w:rsid w:val="007A6B71"/>
    <w:rsid w:val="007A75FE"/>
    <w:rsid w:val="007A78A8"/>
    <w:rsid w:val="007A7FCB"/>
    <w:rsid w:val="007B0491"/>
    <w:rsid w:val="007B057B"/>
    <w:rsid w:val="007B0BAC"/>
    <w:rsid w:val="007B0F68"/>
    <w:rsid w:val="007B16A6"/>
    <w:rsid w:val="007B218E"/>
    <w:rsid w:val="007B3149"/>
    <w:rsid w:val="007B432B"/>
    <w:rsid w:val="007B5036"/>
    <w:rsid w:val="007B6278"/>
    <w:rsid w:val="007B6419"/>
    <w:rsid w:val="007B703A"/>
    <w:rsid w:val="007B7131"/>
    <w:rsid w:val="007B7660"/>
    <w:rsid w:val="007C07A8"/>
    <w:rsid w:val="007C0D9D"/>
    <w:rsid w:val="007C24C4"/>
    <w:rsid w:val="007C3369"/>
    <w:rsid w:val="007C4A06"/>
    <w:rsid w:val="007C4A3F"/>
    <w:rsid w:val="007C4C1C"/>
    <w:rsid w:val="007C5755"/>
    <w:rsid w:val="007C7480"/>
    <w:rsid w:val="007D254F"/>
    <w:rsid w:val="007D38DB"/>
    <w:rsid w:val="007D411F"/>
    <w:rsid w:val="007D43F3"/>
    <w:rsid w:val="007D4699"/>
    <w:rsid w:val="007D55FF"/>
    <w:rsid w:val="007D6736"/>
    <w:rsid w:val="007D702C"/>
    <w:rsid w:val="007D70E5"/>
    <w:rsid w:val="007D7152"/>
    <w:rsid w:val="007D772E"/>
    <w:rsid w:val="007E05A9"/>
    <w:rsid w:val="007E0769"/>
    <w:rsid w:val="007E07B6"/>
    <w:rsid w:val="007E0A86"/>
    <w:rsid w:val="007E0CA3"/>
    <w:rsid w:val="007E12E8"/>
    <w:rsid w:val="007E1A8D"/>
    <w:rsid w:val="007E262A"/>
    <w:rsid w:val="007E2B79"/>
    <w:rsid w:val="007E3150"/>
    <w:rsid w:val="007E7E11"/>
    <w:rsid w:val="007F0F41"/>
    <w:rsid w:val="007F169F"/>
    <w:rsid w:val="007F306F"/>
    <w:rsid w:val="007F3375"/>
    <w:rsid w:val="007F6722"/>
    <w:rsid w:val="007F6996"/>
    <w:rsid w:val="007F7554"/>
    <w:rsid w:val="0080007B"/>
    <w:rsid w:val="00800580"/>
    <w:rsid w:val="008009FF"/>
    <w:rsid w:val="0080180B"/>
    <w:rsid w:val="0080185D"/>
    <w:rsid w:val="00801B42"/>
    <w:rsid w:val="0080277F"/>
    <w:rsid w:val="00802FD2"/>
    <w:rsid w:val="008035E3"/>
    <w:rsid w:val="00803645"/>
    <w:rsid w:val="00805C93"/>
    <w:rsid w:val="0080646B"/>
    <w:rsid w:val="008072D4"/>
    <w:rsid w:val="00807B0E"/>
    <w:rsid w:val="00807BCD"/>
    <w:rsid w:val="00810316"/>
    <w:rsid w:val="00810C97"/>
    <w:rsid w:val="00810E84"/>
    <w:rsid w:val="00813087"/>
    <w:rsid w:val="00813C16"/>
    <w:rsid w:val="00815B1A"/>
    <w:rsid w:val="008163A1"/>
    <w:rsid w:val="00816614"/>
    <w:rsid w:val="00816620"/>
    <w:rsid w:val="0081732F"/>
    <w:rsid w:val="008173AA"/>
    <w:rsid w:val="00821B06"/>
    <w:rsid w:val="008227B9"/>
    <w:rsid w:val="00822871"/>
    <w:rsid w:val="00823BA6"/>
    <w:rsid w:val="00823BF8"/>
    <w:rsid w:val="00824B53"/>
    <w:rsid w:val="00825EB1"/>
    <w:rsid w:val="00825F17"/>
    <w:rsid w:val="0082728A"/>
    <w:rsid w:val="00830214"/>
    <w:rsid w:val="00830B76"/>
    <w:rsid w:val="008312B8"/>
    <w:rsid w:val="00832641"/>
    <w:rsid w:val="00832C2E"/>
    <w:rsid w:val="00832E46"/>
    <w:rsid w:val="00833425"/>
    <w:rsid w:val="0083474E"/>
    <w:rsid w:val="00837ECC"/>
    <w:rsid w:val="00840B52"/>
    <w:rsid w:val="00840EA0"/>
    <w:rsid w:val="0084207A"/>
    <w:rsid w:val="008420EB"/>
    <w:rsid w:val="008428D4"/>
    <w:rsid w:val="00843D83"/>
    <w:rsid w:val="00844633"/>
    <w:rsid w:val="00845281"/>
    <w:rsid w:val="00846062"/>
    <w:rsid w:val="0084619B"/>
    <w:rsid w:val="0084635F"/>
    <w:rsid w:val="00846A98"/>
    <w:rsid w:val="00846DB4"/>
    <w:rsid w:val="0084705D"/>
    <w:rsid w:val="0085023C"/>
    <w:rsid w:val="00850BEA"/>
    <w:rsid w:val="00851C66"/>
    <w:rsid w:val="00852484"/>
    <w:rsid w:val="00852963"/>
    <w:rsid w:val="00852A47"/>
    <w:rsid w:val="00852D1A"/>
    <w:rsid w:val="00852E57"/>
    <w:rsid w:val="008533B2"/>
    <w:rsid w:val="0085545F"/>
    <w:rsid w:val="00855AC3"/>
    <w:rsid w:val="00855DD4"/>
    <w:rsid w:val="00855FA8"/>
    <w:rsid w:val="0085627B"/>
    <w:rsid w:val="0086008B"/>
    <w:rsid w:val="00860699"/>
    <w:rsid w:val="00860BFC"/>
    <w:rsid w:val="00860C7B"/>
    <w:rsid w:val="008611FF"/>
    <w:rsid w:val="00861638"/>
    <w:rsid w:val="00861FB6"/>
    <w:rsid w:val="008629B6"/>
    <w:rsid w:val="00863311"/>
    <w:rsid w:val="00864B0D"/>
    <w:rsid w:val="00866FEA"/>
    <w:rsid w:val="00870002"/>
    <w:rsid w:val="00870F1D"/>
    <w:rsid w:val="008717BD"/>
    <w:rsid w:val="00871F69"/>
    <w:rsid w:val="008722E5"/>
    <w:rsid w:val="0087275B"/>
    <w:rsid w:val="00873FFF"/>
    <w:rsid w:val="008741E8"/>
    <w:rsid w:val="00874B24"/>
    <w:rsid w:val="00874B8A"/>
    <w:rsid w:val="008754EB"/>
    <w:rsid w:val="00875676"/>
    <w:rsid w:val="00875D20"/>
    <w:rsid w:val="00875D54"/>
    <w:rsid w:val="00875F68"/>
    <w:rsid w:val="0087618B"/>
    <w:rsid w:val="0087730E"/>
    <w:rsid w:val="008778A2"/>
    <w:rsid w:val="008779E9"/>
    <w:rsid w:val="0088000D"/>
    <w:rsid w:val="00880BE2"/>
    <w:rsid w:val="00880DBE"/>
    <w:rsid w:val="00880FE3"/>
    <w:rsid w:val="00881074"/>
    <w:rsid w:val="008816BF"/>
    <w:rsid w:val="0088341A"/>
    <w:rsid w:val="008837BA"/>
    <w:rsid w:val="00884775"/>
    <w:rsid w:val="008849BF"/>
    <w:rsid w:val="008878CB"/>
    <w:rsid w:val="00887E8A"/>
    <w:rsid w:val="00887F75"/>
    <w:rsid w:val="00890BCD"/>
    <w:rsid w:val="008927D5"/>
    <w:rsid w:val="008932A8"/>
    <w:rsid w:val="00893678"/>
    <w:rsid w:val="00894693"/>
    <w:rsid w:val="00895F3F"/>
    <w:rsid w:val="0089678B"/>
    <w:rsid w:val="008972F7"/>
    <w:rsid w:val="0089787D"/>
    <w:rsid w:val="00897DAC"/>
    <w:rsid w:val="00897F13"/>
    <w:rsid w:val="00897F65"/>
    <w:rsid w:val="008A1733"/>
    <w:rsid w:val="008A1D39"/>
    <w:rsid w:val="008A1E16"/>
    <w:rsid w:val="008A2629"/>
    <w:rsid w:val="008A26F8"/>
    <w:rsid w:val="008A39C4"/>
    <w:rsid w:val="008A5A51"/>
    <w:rsid w:val="008A6502"/>
    <w:rsid w:val="008B18FD"/>
    <w:rsid w:val="008B206D"/>
    <w:rsid w:val="008B2B8D"/>
    <w:rsid w:val="008B3FE6"/>
    <w:rsid w:val="008B4311"/>
    <w:rsid w:val="008B431E"/>
    <w:rsid w:val="008B4FEB"/>
    <w:rsid w:val="008B5708"/>
    <w:rsid w:val="008B5EF5"/>
    <w:rsid w:val="008B6145"/>
    <w:rsid w:val="008B7FE5"/>
    <w:rsid w:val="008C0C67"/>
    <w:rsid w:val="008C111D"/>
    <w:rsid w:val="008C178B"/>
    <w:rsid w:val="008C1BC7"/>
    <w:rsid w:val="008C2A4D"/>
    <w:rsid w:val="008C37BA"/>
    <w:rsid w:val="008C3840"/>
    <w:rsid w:val="008C70AE"/>
    <w:rsid w:val="008C7266"/>
    <w:rsid w:val="008C75BE"/>
    <w:rsid w:val="008C781C"/>
    <w:rsid w:val="008C7855"/>
    <w:rsid w:val="008D0081"/>
    <w:rsid w:val="008D03E0"/>
    <w:rsid w:val="008D0E03"/>
    <w:rsid w:val="008D1946"/>
    <w:rsid w:val="008D1CF6"/>
    <w:rsid w:val="008D2353"/>
    <w:rsid w:val="008D3078"/>
    <w:rsid w:val="008D3A42"/>
    <w:rsid w:val="008D48C8"/>
    <w:rsid w:val="008D5679"/>
    <w:rsid w:val="008D5A1D"/>
    <w:rsid w:val="008D5C77"/>
    <w:rsid w:val="008D61DF"/>
    <w:rsid w:val="008E0010"/>
    <w:rsid w:val="008E00EE"/>
    <w:rsid w:val="008E0C4F"/>
    <w:rsid w:val="008E1082"/>
    <w:rsid w:val="008E1562"/>
    <w:rsid w:val="008E2F98"/>
    <w:rsid w:val="008E32C0"/>
    <w:rsid w:val="008E3586"/>
    <w:rsid w:val="008E3BE6"/>
    <w:rsid w:val="008E3EE4"/>
    <w:rsid w:val="008E3F6F"/>
    <w:rsid w:val="008E4538"/>
    <w:rsid w:val="008E4874"/>
    <w:rsid w:val="008E49D5"/>
    <w:rsid w:val="008E58DE"/>
    <w:rsid w:val="008E5E74"/>
    <w:rsid w:val="008F004B"/>
    <w:rsid w:val="008F4E02"/>
    <w:rsid w:val="008F56EC"/>
    <w:rsid w:val="008F5B84"/>
    <w:rsid w:val="008F697F"/>
    <w:rsid w:val="008F777C"/>
    <w:rsid w:val="00900307"/>
    <w:rsid w:val="0090060E"/>
    <w:rsid w:val="00901B48"/>
    <w:rsid w:val="00902408"/>
    <w:rsid w:val="00903041"/>
    <w:rsid w:val="00903101"/>
    <w:rsid w:val="00905185"/>
    <w:rsid w:val="00905370"/>
    <w:rsid w:val="00906503"/>
    <w:rsid w:val="00907680"/>
    <w:rsid w:val="009077E8"/>
    <w:rsid w:val="009077FF"/>
    <w:rsid w:val="009103C1"/>
    <w:rsid w:val="00911BA0"/>
    <w:rsid w:val="00911D21"/>
    <w:rsid w:val="00914503"/>
    <w:rsid w:val="00916C5B"/>
    <w:rsid w:val="00916E62"/>
    <w:rsid w:val="0092084A"/>
    <w:rsid w:val="00921E2A"/>
    <w:rsid w:val="00921E50"/>
    <w:rsid w:val="0092333A"/>
    <w:rsid w:val="009233C8"/>
    <w:rsid w:val="0092350F"/>
    <w:rsid w:val="0092382C"/>
    <w:rsid w:val="009254F1"/>
    <w:rsid w:val="00925D45"/>
    <w:rsid w:val="00925D89"/>
    <w:rsid w:val="00927629"/>
    <w:rsid w:val="009302EE"/>
    <w:rsid w:val="00930321"/>
    <w:rsid w:val="009304CD"/>
    <w:rsid w:val="00930B74"/>
    <w:rsid w:val="0093175D"/>
    <w:rsid w:val="00931DA4"/>
    <w:rsid w:val="00931FB8"/>
    <w:rsid w:val="00932F4B"/>
    <w:rsid w:val="00932FA6"/>
    <w:rsid w:val="00934DE7"/>
    <w:rsid w:val="0093500C"/>
    <w:rsid w:val="00937277"/>
    <w:rsid w:val="009379AD"/>
    <w:rsid w:val="00937AC8"/>
    <w:rsid w:val="0094038E"/>
    <w:rsid w:val="00940D99"/>
    <w:rsid w:val="00941D0C"/>
    <w:rsid w:val="00943DA6"/>
    <w:rsid w:val="00945F08"/>
    <w:rsid w:val="0094774A"/>
    <w:rsid w:val="00950C71"/>
    <w:rsid w:val="00951230"/>
    <w:rsid w:val="00952287"/>
    <w:rsid w:val="00952C61"/>
    <w:rsid w:val="00952E75"/>
    <w:rsid w:val="00953518"/>
    <w:rsid w:val="00955CE1"/>
    <w:rsid w:val="00956633"/>
    <w:rsid w:val="00956D35"/>
    <w:rsid w:val="00957742"/>
    <w:rsid w:val="00957C81"/>
    <w:rsid w:val="00962957"/>
    <w:rsid w:val="00962FAF"/>
    <w:rsid w:val="00963822"/>
    <w:rsid w:val="00963E4D"/>
    <w:rsid w:val="00963ED1"/>
    <w:rsid w:val="00965D3C"/>
    <w:rsid w:val="00965DEC"/>
    <w:rsid w:val="0096602C"/>
    <w:rsid w:val="00966182"/>
    <w:rsid w:val="009661FA"/>
    <w:rsid w:val="00966853"/>
    <w:rsid w:val="00966B34"/>
    <w:rsid w:val="00970D3C"/>
    <w:rsid w:val="00971B9D"/>
    <w:rsid w:val="00971CA4"/>
    <w:rsid w:val="009727C5"/>
    <w:rsid w:val="00972928"/>
    <w:rsid w:val="00974FE6"/>
    <w:rsid w:val="00975F09"/>
    <w:rsid w:val="00976D44"/>
    <w:rsid w:val="0098063F"/>
    <w:rsid w:val="00980F02"/>
    <w:rsid w:val="0098201D"/>
    <w:rsid w:val="0098258C"/>
    <w:rsid w:val="009827CB"/>
    <w:rsid w:val="0098340C"/>
    <w:rsid w:val="00983518"/>
    <w:rsid w:val="00983604"/>
    <w:rsid w:val="009838B2"/>
    <w:rsid w:val="009839C4"/>
    <w:rsid w:val="00984F6F"/>
    <w:rsid w:val="009853D3"/>
    <w:rsid w:val="0098572E"/>
    <w:rsid w:val="009863D3"/>
    <w:rsid w:val="00986813"/>
    <w:rsid w:val="0098690A"/>
    <w:rsid w:val="0098733C"/>
    <w:rsid w:val="009873DC"/>
    <w:rsid w:val="009876B2"/>
    <w:rsid w:val="00991447"/>
    <w:rsid w:val="009917AE"/>
    <w:rsid w:val="00991FA2"/>
    <w:rsid w:val="00992E4A"/>
    <w:rsid w:val="00992FA8"/>
    <w:rsid w:val="00993858"/>
    <w:rsid w:val="00993FA5"/>
    <w:rsid w:val="00994596"/>
    <w:rsid w:val="0099463C"/>
    <w:rsid w:val="009946B9"/>
    <w:rsid w:val="00994D79"/>
    <w:rsid w:val="00995B69"/>
    <w:rsid w:val="0099603A"/>
    <w:rsid w:val="009972B7"/>
    <w:rsid w:val="009A0DAC"/>
    <w:rsid w:val="009A0F50"/>
    <w:rsid w:val="009A1129"/>
    <w:rsid w:val="009A184D"/>
    <w:rsid w:val="009A2F08"/>
    <w:rsid w:val="009A31D4"/>
    <w:rsid w:val="009A43F5"/>
    <w:rsid w:val="009A47FB"/>
    <w:rsid w:val="009A5DB0"/>
    <w:rsid w:val="009A61B8"/>
    <w:rsid w:val="009A6F8A"/>
    <w:rsid w:val="009A70FF"/>
    <w:rsid w:val="009A7438"/>
    <w:rsid w:val="009B0C1E"/>
    <w:rsid w:val="009B1E34"/>
    <w:rsid w:val="009B2760"/>
    <w:rsid w:val="009B33ED"/>
    <w:rsid w:val="009B3539"/>
    <w:rsid w:val="009B3775"/>
    <w:rsid w:val="009B409E"/>
    <w:rsid w:val="009B435E"/>
    <w:rsid w:val="009B4749"/>
    <w:rsid w:val="009B5947"/>
    <w:rsid w:val="009B6748"/>
    <w:rsid w:val="009C0737"/>
    <w:rsid w:val="009C0BC2"/>
    <w:rsid w:val="009C1319"/>
    <w:rsid w:val="009C1B32"/>
    <w:rsid w:val="009C26A7"/>
    <w:rsid w:val="009C2E4B"/>
    <w:rsid w:val="009C37E7"/>
    <w:rsid w:val="009C436E"/>
    <w:rsid w:val="009C446B"/>
    <w:rsid w:val="009C4750"/>
    <w:rsid w:val="009C60D0"/>
    <w:rsid w:val="009C654E"/>
    <w:rsid w:val="009C6D08"/>
    <w:rsid w:val="009C6D90"/>
    <w:rsid w:val="009C7E11"/>
    <w:rsid w:val="009D0301"/>
    <w:rsid w:val="009D0828"/>
    <w:rsid w:val="009D0AF9"/>
    <w:rsid w:val="009D1C07"/>
    <w:rsid w:val="009D1CC4"/>
    <w:rsid w:val="009D289C"/>
    <w:rsid w:val="009D2B2D"/>
    <w:rsid w:val="009D3253"/>
    <w:rsid w:val="009D39FA"/>
    <w:rsid w:val="009D4093"/>
    <w:rsid w:val="009D4A1E"/>
    <w:rsid w:val="009D4D93"/>
    <w:rsid w:val="009D5F38"/>
    <w:rsid w:val="009D5FDA"/>
    <w:rsid w:val="009D67CD"/>
    <w:rsid w:val="009D7270"/>
    <w:rsid w:val="009D7598"/>
    <w:rsid w:val="009E0DEA"/>
    <w:rsid w:val="009E0E38"/>
    <w:rsid w:val="009E274F"/>
    <w:rsid w:val="009E2C7A"/>
    <w:rsid w:val="009E3597"/>
    <w:rsid w:val="009E5ED4"/>
    <w:rsid w:val="009E6120"/>
    <w:rsid w:val="009E6B4E"/>
    <w:rsid w:val="009E6C25"/>
    <w:rsid w:val="009E7330"/>
    <w:rsid w:val="009F060B"/>
    <w:rsid w:val="009F0DDF"/>
    <w:rsid w:val="009F0F30"/>
    <w:rsid w:val="009F12EE"/>
    <w:rsid w:val="009F155A"/>
    <w:rsid w:val="009F1A10"/>
    <w:rsid w:val="009F1F93"/>
    <w:rsid w:val="009F2931"/>
    <w:rsid w:val="009F2A36"/>
    <w:rsid w:val="009F2C5C"/>
    <w:rsid w:val="009F2DF8"/>
    <w:rsid w:val="009F34D1"/>
    <w:rsid w:val="009F4A4D"/>
    <w:rsid w:val="009F4EF4"/>
    <w:rsid w:val="009F5E3B"/>
    <w:rsid w:val="009F60E9"/>
    <w:rsid w:val="009F6275"/>
    <w:rsid w:val="009F7F8B"/>
    <w:rsid w:val="00A00023"/>
    <w:rsid w:val="00A003E6"/>
    <w:rsid w:val="00A01134"/>
    <w:rsid w:val="00A027A8"/>
    <w:rsid w:val="00A03872"/>
    <w:rsid w:val="00A03EAC"/>
    <w:rsid w:val="00A05C83"/>
    <w:rsid w:val="00A05EB1"/>
    <w:rsid w:val="00A06708"/>
    <w:rsid w:val="00A0760D"/>
    <w:rsid w:val="00A077D4"/>
    <w:rsid w:val="00A0789E"/>
    <w:rsid w:val="00A10D29"/>
    <w:rsid w:val="00A12C11"/>
    <w:rsid w:val="00A13C4C"/>
    <w:rsid w:val="00A14013"/>
    <w:rsid w:val="00A146D0"/>
    <w:rsid w:val="00A15200"/>
    <w:rsid w:val="00A15649"/>
    <w:rsid w:val="00A15734"/>
    <w:rsid w:val="00A17508"/>
    <w:rsid w:val="00A203C8"/>
    <w:rsid w:val="00A204B0"/>
    <w:rsid w:val="00A21041"/>
    <w:rsid w:val="00A21202"/>
    <w:rsid w:val="00A21A08"/>
    <w:rsid w:val="00A21B89"/>
    <w:rsid w:val="00A21C1F"/>
    <w:rsid w:val="00A22B78"/>
    <w:rsid w:val="00A238D7"/>
    <w:rsid w:val="00A24095"/>
    <w:rsid w:val="00A240BB"/>
    <w:rsid w:val="00A24819"/>
    <w:rsid w:val="00A24B66"/>
    <w:rsid w:val="00A24ECF"/>
    <w:rsid w:val="00A25EDF"/>
    <w:rsid w:val="00A26F33"/>
    <w:rsid w:val="00A2705E"/>
    <w:rsid w:val="00A3024E"/>
    <w:rsid w:val="00A30C14"/>
    <w:rsid w:val="00A30FAC"/>
    <w:rsid w:val="00A3195D"/>
    <w:rsid w:val="00A31A42"/>
    <w:rsid w:val="00A321DA"/>
    <w:rsid w:val="00A3278D"/>
    <w:rsid w:val="00A327EA"/>
    <w:rsid w:val="00A3280E"/>
    <w:rsid w:val="00A339BF"/>
    <w:rsid w:val="00A3504D"/>
    <w:rsid w:val="00A356D5"/>
    <w:rsid w:val="00A35CBC"/>
    <w:rsid w:val="00A3700C"/>
    <w:rsid w:val="00A37A44"/>
    <w:rsid w:val="00A40440"/>
    <w:rsid w:val="00A41475"/>
    <w:rsid w:val="00A44BCB"/>
    <w:rsid w:val="00A44F6D"/>
    <w:rsid w:val="00A45888"/>
    <w:rsid w:val="00A46D78"/>
    <w:rsid w:val="00A47B91"/>
    <w:rsid w:val="00A50242"/>
    <w:rsid w:val="00A50C0C"/>
    <w:rsid w:val="00A50EB0"/>
    <w:rsid w:val="00A5116D"/>
    <w:rsid w:val="00A514C2"/>
    <w:rsid w:val="00A5164F"/>
    <w:rsid w:val="00A51D6E"/>
    <w:rsid w:val="00A52642"/>
    <w:rsid w:val="00A526BC"/>
    <w:rsid w:val="00A52FDF"/>
    <w:rsid w:val="00A54402"/>
    <w:rsid w:val="00A54998"/>
    <w:rsid w:val="00A54A05"/>
    <w:rsid w:val="00A54ED3"/>
    <w:rsid w:val="00A60A03"/>
    <w:rsid w:val="00A613AC"/>
    <w:rsid w:val="00A62061"/>
    <w:rsid w:val="00A62B95"/>
    <w:rsid w:val="00A6371D"/>
    <w:rsid w:val="00A65011"/>
    <w:rsid w:val="00A6565C"/>
    <w:rsid w:val="00A659D5"/>
    <w:rsid w:val="00A6603F"/>
    <w:rsid w:val="00A66FA9"/>
    <w:rsid w:val="00A708C4"/>
    <w:rsid w:val="00A70DC6"/>
    <w:rsid w:val="00A70DC8"/>
    <w:rsid w:val="00A7289A"/>
    <w:rsid w:val="00A73942"/>
    <w:rsid w:val="00A73B0D"/>
    <w:rsid w:val="00A73B72"/>
    <w:rsid w:val="00A748C4"/>
    <w:rsid w:val="00A74ADB"/>
    <w:rsid w:val="00A758DA"/>
    <w:rsid w:val="00A76420"/>
    <w:rsid w:val="00A81304"/>
    <w:rsid w:val="00A83162"/>
    <w:rsid w:val="00A83D1B"/>
    <w:rsid w:val="00A84359"/>
    <w:rsid w:val="00A84B9D"/>
    <w:rsid w:val="00A85FA5"/>
    <w:rsid w:val="00A8604B"/>
    <w:rsid w:val="00A86199"/>
    <w:rsid w:val="00A865B3"/>
    <w:rsid w:val="00A86B2C"/>
    <w:rsid w:val="00A87960"/>
    <w:rsid w:val="00A925C1"/>
    <w:rsid w:val="00A92884"/>
    <w:rsid w:val="00A931DC"/>
    <w:rsid w:val="00A94598"/>
    <w:rsid w:val="00A94C32"/>
    <w:rsid w:val="00A960E3"/>
    <w:rsid w:val="00A96D39"/>
    <w:rsid w:val="00AA07A1"/>
    <w:rsid w:val="00AA0CA1"/>
    <w:rsid w:val="00AA1554"/>
    <w:rsid w:val="00AA209C"/>
    <w:rsid w:val="00AA25C2"/>
    <w:rsid w:val="00AA2FC6"/>
    <w:rsid w:val="00AA3463"/>
    <w:rsid w:val="00AA3C2D"/>
    <w:rsid w:val="00AA40AD"/>
    <w:rsid w:val="00AA4D09"/>
    <w:rsid w:val="00AA4FFD"/>
    <w:rsid w:val="00AA5754"/>
    <w:rsid w:val="00AA5908"/>
    <w:rsid w:val="00AA6D6B"/>
    <w:rsid w:val="00AA6DB0"/>
    <w:rsid w:val="00AA7105"/>
    <w:rsid w:val="00AA74A7"/>
    <w:rsid w:val="00AB0BCB"/>
    <w:rsid w:val="00AB0E89"/>
    <w:rsid w:val="00AB2C88"/>
    <w:rsid w:val="00AB3AC8"/>
    <w:rsid w:val="00AB3EDB"/>
    <w:rsid w:val="00AB47A2"/>
    <w:rsid w:val="00AB5164"/>
    <w:rsid w:val="00AB56D8"/>
    <w:rsid w:val="00AB5CBB"/>
    <w:rsid w:val="00AB693A"/>
    <w:rsid w:val="00AB720C"/>
    <w:rsid w:val="00AB7B5E"/>
    <w:rsid w:val="00AC0811"/>
    <w:rsid w:val="00AC1B39"/>
    <w:rsid w:val="00AC1FB6"/>
    <w:rsid w:val="00AC2066"/>
    <w:rsid w:val="00AC3F72"/>
    <w:rsid w:val="00AC50FF"/>
    <w:rsid w:val="00AC529B"/>
    <w:rsid w:val="00AC7304"/>
    <w:rsid w:val="00AC75F6"/>
    <w:rsid w:val="00AC7691"/>
    <w:rsid w:val="00AD04FE"/>
    <w:rsid w:val="00AD0B14"/>
    <w:rsid w:val="00AD0E52"/>
    <w:rsid w:val="00AD1119"/>
    <w:rsid w:val="00AD18C5"/>
    <w:rsid w:val="00AD1D93"/>
    <w:rsid w:val="00AD354A"/>
    <w:rsid w:val="00AD392E"/>
    <w:rsid w:val="00AD401E"/>
    <w:rsid w:val="00AD43B2"/>
    <w:rsid w:val="00AD4488"/>
    <w:rsid w:val="00AD501A"/>
    <w:rsid w:val="00AD5EDA"/>
    <w:rsid w:val="00AD67FC"/>
    <w:rsid w:val="00AD7B26"/>
    <w:rsid w:val="00AD7D63"/>
    <w:rsid w:val="00AD7D70"/>
    <w:rsid w:val="00AE0207"/>
    <w:rsid w:val="00AE0D0F"/>
    <w:rsid w:val="00AE10E9"/>
    <w:rsid w:val="00AE1BAA"/>
    <w:rsid w:val="00AE217C"/>
    <w:rsid w:val="00AE2B09"/>
    <w:rsid w:val="00AE2CF8"/>
    <w:rsid w:val="00AE3FFF"/>
    <w:rsid w:val="00AE526D"/>
    <w:rsid w:val="00AE6625"/>
    <w:rsid w:val="00AE77B0"/>
    <w:rsid w:val="00AE7829"/>
    <w:rsid w:val="00AF172F"/>
    <w:rsid w:val="00AF240C"/>
    <w:rsid w:val="00AF2BE6"/>
    <w:rsid w:val="00AF3A22"/>
    <w:rsid w:val="00AF3F35"/>
    <w:rsid w:val="00AF4989"/>
    <w:rsid w:val="00AF6239"/>
    <w:rsid w:val="00AF6711"/>
    <w:rsid w:val="00AF7017"/>
    <w:rsid w:val="00AF76EC"/>
    <w:rsid w:val="00AF7BCF"/>
    <w:rsid w:val="00AF7D5B"/>
    <w:rsid w:val="00B004FA"/>
    <w:rsid w:val="00B00D84"/>
    <w:rsid w:val="00B00EA8"/>
    <w:rsid w:val="00B029E7"/>
    <w:rsid w:val="00B02BDA"/>
    <w:rsid w:val="00B02C8C"/>
    <w:rsid w:val="00B02F92"/>
    <w:rsid w:val="00B032A1"/>
    <w:rsid w:val="00B04192"/>
    <w:rsid w:val="00B04F08"/>
    <w:rsid w:val="00B06B80"/>
    <w:rsid w:val="00B077CC"/>
    <w:rsid w:val="00B07FB7"/>
    <w:rsid w:val="00B1038B"/>
    <w:rsid w:val="00B1092D"/>
    <w:rsid w:val="00B11232"/>
    <w:rsid w:val="00B11587"/>
    <w:rsid w:val="00B11A67"/>
    <w:rsid w:val="00B12648"/>
    <w:rsid w:val="00B13203"/>
    <w:rsid w:val="00B13CB7"/>
    <w:rsid w:val="00B13DFA"/>
    <w:rsid w:val="00B15480"/>
    <w:rsid w:val="00B15580"/>
    <w:rsid w:val="00B15768"/>
    <w:rsid w:val="00B15ACE"/>
    <w:rsid w:val="00B16686"/>
    <w:rsid w:val="00B17C93"/>
    <w:rsid w:val="00B17CF1"/>
    <w:rsid w:val="00B20DE6"/>
    <w:rsid w:val="00B21C42"/>
    <w:rsid w:val="00B222E0"/>
    <w:rsid w:val="00B23364"/>
    <w:rsid w:val="00B2362D"/>
    <w:rsid w:val="00B23EA6"/>
    <w:rsid w:val="00B24183"/>
    <w:rsid w:val="00B249FB"/>
    <w:rsid w:val="00B24C1D"/>
    <w:rsid w:val="00B2525B"/>
    <w:rsid w:val="00B25905"/>
    <w:rsid w:val="00B27B02"/>
    <w:rsid w:val="00B305FA"/>
    <w:rsid w:val="00B30A50"/>
    <w:rsid w:val="00B31BDC"/>
    <w:rsid w:val="00B31F4F"/>
    <w:rsid w:val="00B33CC1"/>
    <w:rsid w:val="00B33D5B"/>
    <w:rsid w:val="00B33EDC"/>
    <w:rsid w:val="00B3411C"/>
    <w:rsid w:val="00B341D2"/>
    <w:rsid w:val="00B342EB"/>
    <w:rsid w:val="00B34320"/>
    <w:rsid w:val="00B35E7A"/>
    <w:rsid w:val="00B3659D"/>
    <w:rsid w:val="00B37948"/>
    <w:rsid w:val="00B405CE"/>
    <w:rsid w:val="00B42701"/>
    <w:rsid w:val="00B43E52"/>
    <w:rsid w:val="00B448F1"/>
    <w:rsid w:val="00B45217"/>
    <w:rsid w:val="00B46456"/>
    <w:rsid w:val="00B464A3"/>
    <w:rsid w:val="00B46DB4"/>
    <w:rsid w:val="00B4723C"/>
    <w:rsid w:val="00B50005"/>
    <w:rsid w:val="00B511F9"/>
    <w:rsid w:val="00B52EB1"/>
    <w:rsid w:val="00B53C37"/>
    <w:rsid w:val="00B53FB6"/>
    <w:rsid w:val="00B54425"/>
    <w:rsid w:val="00B54BA5"/>
    <w:rsid w:val="00B550DB"/>
    <w:rsid w:val="00B55476"/>
    <w:rsid w:val="00B555B8"/>
    <w:rsid w:val="00B56479"/>
    <w:rsid w:val="00B578BD"/>
    <w:rsid w:val="00B57FC2"/>
    <w:rsid w:val="00B606C1"/>
    <w:rsid w:val="00B607F1"/>
    <w:rsid w:val="00B614B8"/>
    <w:rsid w:val="00B61E6B"/>
    <w:rsid w:val="00B628CF"/>
    <w:rsid w:val="00B6403A"/>
    <w:rsid w:val="00B6416B"/>
    <w:rsid w:val="00B64A0F"/>
    <w:rsid w:val="00B6581E"/>
    <w:rsid w:val="00B65A77"/>
    <w:rsid w:val="00B65D23"/>
    <w:rsid w:val="00B66093"/>
    <w:rsid w:val="00B668A7"/>
    <w:rsid w:val="00B66BD4"/>
    <w:rsid w:val="00B67910"/>
    <w:rsid w:val="00B70F37"/>
    <w:rsid w:val="00B712C7"/>
    <w:rsid w:val="00B71D6D"/>
    <w:rsid w:val="00B72274"/>
    <w:rsid w:val="00B727C3"/>
    <w:rsid w:val="00B72935"/>
    <w:rsid w:val="00B74869"/>
    <w:rsid w:val="00B75177"/>
    <w:rsid w:val="00B75A97"/>
    <w:rsid w:val="00B75DB6"/>
    <w:rsid w:val="00B77F15"/>
    <w:rsid w:val="00B809DD"/>
    <w:rsid w:val="00B81B9B"/>
    <w:rsid w:val="00B8288A"/>
    <w:rsid w:val="00B83361"/>
    <w:rsid w:val="00B83ADD"/>
    <w:rsid w:val="00B83C6E"/>
    <w:rsid w:val="00B8417B"/>
    <w:rsid w:val="00B86232"/>
    <w:rsid w:val="00B87253"/>
    <w:rsid w:val="00B87400"/>
    <w:rsid w:val="00B901BD"/>
    <w:rsid w:val="00B90691"/>
    <w:rsid w:val="00B91001"/>
    <w:rsid w:val="00B91E4C"/>
    <w:rsid w:val="00B928DC"/>
    <w:rsid w:val="00B92BAF"/>
    <w:rsid w:val="00B93069"/>
    <w:rsid w:val="00B937BD"/>
    <w:rsid w:val="00B93FC6"/>
    <w:rsid w:val="00B9448A"/>
    <w:rsid w:val="00B953A0"/>
    <w:rsid w:val="00B959E5"/>
    <w:rsid w:val="00B96D4B"/>
    <w:rsid w:val="00BA038C"/>
    <w:rsid w:val="00BA049A"/>
    <w:rsid w:val="00BA0B0F"/>
    <w:rsid w:val="00BA260F"/>
    <w:rsid w:val="00BA2C08"/>
    <w:rsid w:val="00BA30B5"/>
    <w:rsid w:val="00BA560E"/>
    <w:rsid w:val="00BA5662"/>
    <w:rsid w:val="00BA5874"/>
    <w:rsid w:val="00BA5C37"/>
    <w:rsid w:val="00BA6128"/>
    <w:rsid w:val="00BA7F1B"/>
    <w:rsid w:val="00BB041A"/>
    <w:rsid w:val="00BB0B34"/>
    <w:rsid w:val="00BB1691"/>
    <w:rsid w:val="00BB2E04"/>
    <w:rsid w:val="00BB5348"/>
    <w:rsid w:val="00BB59D3"/>
    <w:rsid w:val="00BB6429"/>
    <w:rsid w:val="00BB737A"/>
    <w:rsid w:val="00BB7CE5"/>
    <w:rsid w:val="00BC0741"/>
    <w:rsid w:val="00BC11EF"/>
    <w:rsid w:val="00BC12AB"/>
    <w:rsid w:val="00BC1D21"/>
    <w:rsid w:val="00BC2519"/>
    <w:rsid w:val="00BC2876"/>
    <w:rsid w:val="00BC299E"/>
    <w:rsid w:val="00BC3083"/>
    <w:rsid w:val="00BC4392"/>
    <w:rsid w:val="00BD2655"/>
    <w:rsid w:val="00BD3614"/>
    <w:rsid w:val="00BD49A3"/>
    <w:rsid w:val="00BD6921"/>
    <w:rsid w:val="00BD73CB"/>
    <w:rsid w:val="00BD7441"/>
    <w:rsid w:val="00BD7E4F"/>
    <w:rsid w:val="00BE0793"/>
    <w:rsid w:val="00BE2884"/>
    <w:rsid w:val="00BE2A0F"/>
    <w:rsid w:val="00BE3946"/>
    <w:rsid w:val="00BE4343"/>
    <w:rsid w:val="00BE4715"/>
    <w:rsid w:val="00BE4E08"/>
    <w:rsid w:val="00BE56B9"/>
    <w:rsid w:val="00BE5740"/>
    <w:rsid w:val="00BE5938"/>
    <w:rsid w:val="00BE63E9"/>
    <w:rsid w:val="00BE6936"/>
    <w:rsid w:val="00BE75CE"/>
    <w:rsid w:val="00BE769B"/>
    <w:rsid w:val="00BE78B4"/>
    <w:rsid w:val="00BF2371"/>
    <w:rsid w:val="00BF3BA8"/>
    <w:rsid w:val="00BF57DC"/>
    <w:rsid w:val="00BF580F"/>
    <w:rsid w:val="00BF6218"/>
    <w:rsid w:val="00BF6455"/>
    <w:rsid w:val="00BF7A38"/>
    <w:rsid w:val="00C00EB6"/>
    <w:rsid w:val="00C011F7"/>
    <w:rsid w:val="00C017D3"/>
    <w:rsid w:val="00C0187E"/>
    <w:rsid w:val="00C018EF"/>
    <w:rsid w:val="00C01D62"/>
    <w:rsid w:val="00C0357B"/>
    <w:rsid w:val="00C04680"/>
    <w:rsid w:val="00C04AC0"/>
    <w:rsid w:val="00C057FD"/>
    <w:rsid w:val="00C05B0D"/>
    <w:rsid w:val="00C07AC6"/>
    <w:rsid w:val="00C10007"/>
    <w:rsid w:val="00C10682"/>
    <w:rsid w:val="00C10A73"/>
    <w:rsid w:val="00C1202B"/>
    <w:rsid w:val="00C12155"/>
    <w:rsid w:val="00C12723"/>
    <w:rsid w:val="00C12A84"/>
    <w:rsid w:val="00C12D62"/>
    <w:rsid w:val="00C131DB"/>
    <w:rsid w:val="00C138CF"/>
    <w:rsid w:val="00C1455E"/>
    <w:rsid w:val="00C15CF0"/>
    <w:rsid w:val="00C17208"/>
    <w:rsid w:val="00C17D62"/>
    <w:rsid w:val="00C2016C"/>
    <w:rsid w:val="00C22172"/>
    <w:rsid w:val="00C228D1"/>
    <w:rsid w:val="00C2356D"/>
    <w:rsid w:val="00C2375F"/>
    <w:rsid w:val="00C23B89"/>
    <w:rsid w:val="00C2471B"/>
    <w:rsid w:val="00C249E9"/>
    <w:rsid w:val="00C24E26"/>
    <w:rsid w:val="00C25075"/>
    <w:rsid w:val="00C2513F"/>
    <w:rsid w:val="00C251EA"/>
    <w:rsid w:val="00C257C1"/>
    <w:rsid w:val="00C267AF"/>
    <w:rsid w:val="00C26CB0"/>
    <w:rsid w:val="00C2738A"/>
    <w:rsid w:val="00C31337"/>
    <w:rsid w:val="00C31B6E"/>
    <w:rsid w:val="00C33550"/>
    <w:rsid w:val="00C33810"/>
    <w:rsid w:val="00C33A8B"/>
    <w:rsid w:val="00C350EB"/>
    <w:rsid w:val="00C356ED"/>
    <w:rsid w:val="00C35ECE"/>
    <w:rsid w:val="00C40F7C"/>
    <w:rsid w:val="00C41D3C"/>
    <w:rsid w:val="00C43FE2"/>
    <w:rsid w:val="00C4439C"/>
    <w:rsid w:val="00C4654C"/>
    <w:rsid w:val="00C466B2"/>
    <w:rsid w:val="00C46E3F"/>
    <w:rsid w:val="00C47153"/>
    <w:rsid w:val="00C4789D"/>
    <w:rsid w:val="00C47A25"/>
    <w:rsid w:val="00C511C4"/>
    <w:rsid w:val="00C52262"/>
    <w:rsid w:val="00C53E65"/>
    <w:rsid w:val="00C53F57"/>
    <w:rsid w:val="00C55321"/>
    <w:rsid w:val="00C55E81"/>
    <w:rsid w:val="00C561AE"/>
    <w:rsid w:val="00C569DF"/>
    <w:rsid w:val="00C57ACB"/>
    <w:rsid w:val="00C57DF4"/>
    <w:rsid w:val="00C6123F"/>
    <w:rsid w:val="00C617D5"/>
    <w:rsid w:val="00C63357"/>
    <w:rsid w:val="00C63A64"/>
    <w:rsid w:val="00C63D6B"/>
    <w:rsid w:val="00C656C4"/>
    <w:rsid w:val="00C6586D"/>
    <w:rsid w:val="00C666D3"/>
    <w:rsid w:val="00C66745"/>
    <w:rsid w:val="00C66D16"/>
    <w:rsid w:val="00C67476"/>
    <w:rsid w:val="00C7007A"/>
    <w:rsid w:val="00C70909"/>
    <w:rsid w:val="00C7104D"/>
    <w:rsid w:val="00C7163F"/>
    <w:rsid w:val="00C71A39"/>
    <w:rsid w:val="00C72E98"/>
    <w:rsid w:val="00C74327"/>
    <w:rsid w:val="00C77C2A"/>
    <w:rsid w:val="00C81948"/>
    <w:rsid w:val="00C81EE5"/>
    <w:rsid w:val="00C823BB"/>
    <w:rsid w:val="00C8256D"/>
    <w:rsid w:val="00C83129"/>
    <w:rsid w:val="00C8392C"/>
    <w:rsid w:val="00C8504B"/>
    <w:rsid w:val="00C855D9"/>
    <w:rsid w:val="00C87453"/>
    <w:rsid w:val="00C90004"/>
    <w:rsid w:val="00C90BDF"/>
    <w:rsid w:val="00C91390"/>
    <w:rsid w:val="00C92FA0"/>
    <w:rsid w:val="00C94864"/>
    <w:rsid w:val="00C94AB6"/>
    <w:rsid w:val="00C95BFA"/>
    <w:rsid w:val="00C97552"/>
    <w:rsid w:val="00C97925"/>
    <w:rsid w:val="00C97B3F"/>
    <w:rsid w:val="00CA05D2"/>
    <w:rsid w:val="00CA1669"/>
    <w:rsid w:val="00CA17DD"/>
    <w:rsid w:val="00CA2E38"/>
    <w:rsid w:val="00CA2E53"/>
    <w:rsid w:val="00CA441A"/>
    <w:rsid w:val="00CA4BB3"/>
    <w:rsid w:val="00CA5C62"/>
    <w:rsid w:val="00CA61E5"/>
    <w:rsid w:val="00CA6243"/>
    <w:rsid w:val="00CA6FB0"/>
    <w:rsid w:val="00CA70A7"/>
    <w:rsid w:val="00CA71BC"/>
    <w:rsid w:val="00CA7501"/>
    <w:rsid w:val="00CB0191"/>
    <w:rsid w:val="00CB0E6B"/>
    <w:rsid w:val="00CB109F"/>
    <w:rsid w:val="00CB1484"/>
    <w:rsid w:val="00CB1A96"/>
    <w:rsid w:val="00CB1DD0"/>
    <w:rsid w:val="00CB28CF"/>
    <w:rsid w:val="00CB5C83"/>
    <w:rsid w:val="00CB5FE5"/>
    <w:rsid w:val="00CB69F2"/>
    <w:rsid w:val="00CB6DE0"/>
    <w:rsid w:val="00CB6F03"/>
    <w:rsid w:val="00CB7445"/>
    <w:rsid w:val="00CC02EB"/>
    <w:rsid w:val="00CC0981"/>
    <w:rsid w:val="00CC1C16"/>
    <w:rsid w:val="00CC20F9"/>
    <w:rsid w:val="00CC2798"/>
    <w:rsid w:val="00CC48A5"/>
    <w:rsid w:val="00CC6075"/>
    <w:rsid w:val="00CC6640"/>
    <w:rsid w:val="00CC6781"/>
    <w:rsid w:val="00CC6A16"/>
    <w:rsid w:val="00CC7467"/>
    <w:rsid w:val="00CD0552"/>
    <w:rsid w:val="00CD0E17"/>
    <w:rsid w:val="00CD1FCB"/>
    <w:rsid w:val="00CD2DE0"/>
    <w:rsid w:val="00CD31BA"/>
    <w:rsid w:val="00CD3BC0"/>
    <w:rsid w:val="00CD5967"/>
    <w:rsid w:val="00CD5F78"/>
    <w:rsid w:val="00CE25F0"/>
    <w:rsid w:val="00CE299A"/>
    <w:rsid w:val="00CE2CEE"/>
    <w:rsid w:val="00CE31C3"/>
    <w:rsid w:val="00CE336C"/>
    <w:rsid w:val="00CE41B5"/>
    <w:rsid w:val="00CE420C"/>
    <w:rsid w:val="00CE4D9B"/>
    <w:rsid w:val="00CE5A8C"/>
    <w:rsid w:val="00CE5ABD"/>
    <w:rsid w:val="00CE61C7"/>
    <w:rsid w:val="00CE634F"/>
    <w:rsid w:val="00CE69F2"/>
    <w:rsid w:val="00CE706E"/>
    <w:rsid w:val="00CF00D4"/>
    <w:rsid w:val="00CF071E"/>
    <w:rsid w:val="00CF0727"/>
    <w:rsid w:val="00CF1F05"/>
    <w:rsid w:val="00CF2712"/>
    <w:rsid w:val="00CF36EF"/>
    <w:rsid w:val="00CF3761"/>
    <w:rsid w:val="00CF39D2"/>
    <w:rsid w:val="00CF3C2A"/>
    <w:rsid w:val="00CF4BC2"/>
    <w:rsid w:val="00CF4DAF"/>
    <w:rsid w:val="00CF4E71"/>
    <w:rsid w:val="00CF55A0"/>
    <w:rsid w:val="00CF5FB9"/>
    <w:rsid w:val="00CF6DD8"/>
    <w:rsid w:val="00CF7D8C"/>
    <w:rsid w:val="00D00E7A"/>
    <w:rsid w:val="00D0113F"/>
    <w:rsid w:val="00D01BC1"/>
    <w:rsid w:val="00D02C3A"/>
    <w:rsid w:val="00D0457F"/>
    <w:rsid w:val="00D05260"/>
    <w:rsid w:val="00D055E9"/>
    <w:rsid w:val="00D05D79"/>
    <w:rsid w:val="00D05E22"/>
    <w:rsid w:val="00D06433"/>
    <w:rsid w:val="00D06B19"/>
    <w:rsid w:val="00D06F1A"/>
    <w:rsid w:val="00D077AE"/>
    <w:rsid w:val="00D078C8"/>
    <w:rsid w:val="00D10552"/>
    <w:rsid w:val="00D1056B"/>
    <w:rsid w:val="00D10F74"/>
    <w:rsid w:val="00D12A4E"/>
    <w:rsid w:val="00D12AF4"/>
    <w:rsid w:val="00D13E87"/>
    <w:rsid w:val="00D1412D"/>
    <w:rsid w:val="00D14875"/>
    <w:rsid w:val="00D14CEE"/>
    <w:rsid w:val="00D15F70"/>
    <w:rsid w:val="00D16979"/>
    <w:rsid w:val="00D16BAC"/>
    <w:rsid w:val="00D17477"/>
    <w:rsid w:val="00D178E8"/>
    <w:rsid w:val="00D200E4"/>
    <w:rsid w:val="00D2193A"/>
    <w:rsid w:val="00D21A57"/>
    <w:rsid w:val="00D230A6"/>
    <w:rsid w:val="00D23431"/>
    <w:rsid w:val="00D235B2"/>
    <w:rsid w:val="00D23854"/>
    <w:rsid w:val="00D250AD"/>
    <w:rsid w:val="00D258BB"/>
    <w:rsid w:val="00D25F76"/>
    <w:rsid w:val="00D26160"/>
    <w:rsid w:val="00D266C5"/>
    <w:rsid w:val="00D266E5"/>
    <w:rsid w:val="00D26BF6"/>
    <w:rsid w:val="00D270D1"/>
    <w:rsid w:val="00D27DFD"/>
    <w:rsid w:val="00D3075E"/>
    <w:rsid w:val="00D30A5B"/>
    <w:rsid w:val="00D30CDE"/>
    <w:rsid w:val="00D31049"/>
    <w:rsid w:val="00D31464"/>
    <w:rsid w:val="00D3325F"/>
    <w:rsid w:val="00D346D4"/>
    <w:rsid w:val="00D3584A"/>
    <w:rsid w:val="00D35CF8"/>
    <w:rsid w:val="00D36070"/>
    <w:rsid w:val="00D36514"/>
    <w:rsid w:val="00D36C7D"/>
    <w:rsid w:val="00D36FBF"/>
    <w:rsid w:val="00D40444"/>
    <w:rsid w:val="00D4076B"/>
    <w:rsid w:val="00D40D44"/>
    <w:rsid w:val="00D425D7"/>
    <w:rsid w:val="00D43824"/>
    <w:rsid w:val="00D4393B"/>
    <w:rsid w:val="00D43AD9"/>
    <w:rsid w:val="00D44CBE"/>
    <w:rsid w:val="00D44D13"/>
    <w:rsid w:val="00D44D2A"/>
    <w:rsid w:val="00D45617"/>
    <w:rsid w:val="00D47E9A"/>
    <w:rsid w:val="00D50023"/>
    <w:rsid w:val="00D5014D"/>
    <w:rsid w:val="00D510DA"/>
    <w:rsid w:val="00D51109"/>
    <w:rsid w:val="00D52AF0"/>
    <w:rsid w:val="00D52E3B"/>
    <w:rsid w:val="00D53511"/>
    <w:rsid w:val="00D54A61"/>
    <w:rsid w:val="00D5535D"/>
    <w:rsid w:val="00D57460"/>
    <w:rsid w:val="00D57AD2"/>
    <w:rsid w:val="00D60656"/>
    <w:rsid w:val="00D6111F"/>
    <w:rsid w:val="00D61791"/>
    <w:rsid w:val="00D61EEA"/>
    <w:rsid w:val="00D627F2"/>
    <w:rsid w:val="00D62B95"/>
    <w:rsid w:val="00D62B98"/>
    <w:rsid w:val="00D62CEE"/>
    <w:rsid w:val="00D63E3C"/>
    <w:rsid w:val="00D63F85"/>
    <w:rsid w:val="00D6546D"/>
    <w:rsid w:val="00D65B14"/>
    <w:rsid w:val="00D65D0D"/>
    <w:rsid w:val="00D66C40"/>
    <w:rsid w:val="00D70D57"/>
    <w:rsid w:val="00D71A2C"/>
    <w:rsid w:val="00D71E2A"/>
    <w:rsid w:val="00D72483"/>
    <w:rsid w:val="00D727D8"/>
    <w:rsid w:val="00D73B08"/>
    <w:rsid w:val="00D74CBB"/>
    <w:rsid w:val="00D751EB"/>
    <w:rsid w:val="00D75E7A"/>
    <w:rsid w:val="00D76D9A"/>
    <w:rsid w:val="00D77249"/>
    <w:rsid w:val="00D77377"/>
    <w:rsid w:val="00D773C1"/>
    <w:rsid w:val="00D77A92"/>
    <w:rsid w:val="00D77B92"/>
    <w:rsid w:val="00D80FD0"/>
    <w:rsid w:val="00D8104F"/>
    <w:rsid w:val="00D81C77"/>
    <w:rsid w:val="00D81EEC"/>
    <w:rsid w:val="00D8268E"/>
    <w:rsid w:val="00D829CE"/>
    <w:rsid w:val="00D82D0A"/>
    <w:rsid w:val="00D833A5"/>
    <w:rsid w:val="00D84085"/>
    <w:rsid w:val="00D857A8"/>
    <w:rsid w:val="00D8693A"/>
    <w:rsid w:val="00D86977"/>
    <w:rsid w:val="00D86F0F"/>
    <w:rsid w:val="00D87F16"/>
    <w:rsid w:val="00D91433"/>
    <w:rsid w:val="00D91A13"/>
    <w:rsid w:val="00D9288B"/>
    <w:rsid w:val="00D9307E"/>
    <w:rsid w:val="00D95526"/>
    <w:rsid w:val="00D96A88"/>
    <w:rsid w:val="00D96C52"/>
    <w:rsid w:val="00D974F6"/>
    <w:rsid w:val="00D9750E"/>
    <w:rsid w:val="00D976E6"/>
    <w:rsid w:val="00DA0534"/>
    <w:rsid w:val="00DA1831"/>
    <w:rsid w:val="00DA1A45"/>
    <w:rsid w:val="00DA267B"/>
    <w:rsid w:val="00DA45E9"/>
    <w:rsid w:val="00DA53D2"/>
    <w:rsid w:val="00DA560D"/>
    <w:rsid w:val="00DA70B4"/>
    <w:rsid w:val="00DA7B7F"/>
    <w:rsid w:val="00DA7CA8"/>
    <w:rsid w:val="00DA7F6C"/>
    <w:rsid w:val="00DB1CE4"/>
    <w:rsid w:val="00DB2BC7"/>
    <w:rsid w:val="00DB2DE0"/>
    <w:rsid w:val="00DB312B"/>
    <w:rsid w:val="00DB337C"/>
    <w:rsid w:val="00DB5593"/>
    <w:rsid w:val="00DB6102"/>
    <w:rsid w:val="00DB6BF1"/>
    <w:rsid w:val="00DB6CE4"/>
    <w:rsid w:val="00DB6D48"/>
    <w:rsid w:val="00DB7D9F"/>
    <w:rsid w:val="00DC057F"/>
    <w:rsid w:val="00DC0740"/>
    <w:rsid w:val="00DC12A4"/>
    <w:rsid w:val="00DC131E"/>
    <w:rsid w:val="00DC2E29"/>
    <w:rsid w:val="00DC4216"/>
    <w:rsid w:val="00DC44CB"/>
    <w:rsid w:val="00DC44E3"/>
    <w:rsid w:val="00DC5946"/>
    <w:rsid w:val="00DC5A3D"/>
    <w:rsid w:val="00DC63F5"/>
    <w:rsid w:val="00DC6A41"/>
    <w:rsid w:val="00DC7815"/>
    <w:rsid w:val="00DD0FF3"/>
    <w:rsid w:val="00DD1B2F"/>
    <w:rsid w:val="00DD2821"/>
    <w:rsid w:val="00DD28E9"/>
    <w:rsid w:val="00DD3F1D"/>
    <w:rsid w:val="00DD47B6"/>
    <w:rsid w:val="00DD48B3"/>
    <w:rsid w:val="00DD493C"/>
    <w:rsid w:val="00DD4B67"/>
    <w:rsid w:val="00DD4ECD"/>
    <w:rsid w:val="00DD5316"/>
    <w:rsid w:val="00DD6BE6"/>
    <w:rsid w:val="00DD72E5"/>
    <w:rsid w:val="00DD745C"/>
    <w:rsid w:val="00DE0680"/>
    <w:rsid w:val="00DE18A6"/>
    <w:rsid w:val="00DE2140"/>
    <w:rsid w:val="00DE27BA"/>
    <w:rsid w:val="00DE33B3"/>
    <w:rsid w:val="00DE38EC"/>
    <w:rsid w:val="00DE3E4F"/>
    <w:rsid w:val="00DE3FDA"/>
    <w:rsid w:val="00DE5B7B"/>
    <w:rsid w:val="00DE5C8C"/>
    <w:rsid w:val="00DE6E96"/>
    <w:rsid w:val="00DE7048"/>
    <w:rsid w:val="00DE763A"/>
    <w:rsid w:val="00DE7B53"/>
    <w:rsid w:val="00DE7B96"/>
    <w:rsid w:val="00DF051F"/>
    <w:rsid w:val="00DF1292"/>
    <w:rsid w:val="00DF2AE1"/>
    <w:rsid w:val="00DF2B48"/>
    <w:rsid w:val="00DF2C5A"/>
    <w:rsid w:val="00DF4333"/>
    <w:rsid w:val="00DF45E4"/>
    <w:rsid w:val="00DF6238"/>
    <w:rsid w:val="00DF6A02"/>
    <w:rsid w:val="00E00252"/>
    <w:rsid w:val="00E003DE"/>
    <w:rsid w:val="00E01EFE"/>
    <w:rsid w:val="00E033EB"/>
    <w:rsid w:val="00E05429"/>
    <w:rsid w:val="00E05491"/>
    <w:rsid w:val="00E05A24"/>
    <w:rsid w:val="00E05B06"/>
    <w:rsid w:val="00E06598"/>
    <w:rsid w:val="00E067A6"/>
    <w:rsid w:val="00E1015E"/>
    <w:rsid w:val="00E10D3C"/>
    <w:rsid w:val="00E11988"/>
    <w:rsid w:val="00E12079"/>
    <w:rsid w:val="00E12476"/>
    <w:rsid w:val="00E128C3"/>
    <w:rsid w:val="00E12ECC"/>
    <w:rsid w:val="00E138AF"/>
    <w:rsid w:val="00E14266"/>
    <w:rsid w:val="00E15243"/>
    <w:rsid w:val="00E15833"/>
    <w:rsid w:val="00E161D2"/>
    <w:rsid w:val="00E169F4"/>
    <w:rsid w:val="00E16F9E"/>
    <w:rsid w:val="00E174DA"/>
    <w:rsid w:val="00E21E6F"/>
    <w:rsid w:val="00E22899"/>
    <w:rsid w:val="00E228B8"/>
    <w:rsid w:val="00E23D0C"/>
    <w:rsid w:val="00E23E50"/>
    <w:rsid w:val="00E25382"/>
    <w:rsid w:val="00E253E0"/>
    <w:rsid w:val="00E259E7"/>
    <w:rsid w:val="00E262E2"/>
    <w:rsid w:val="00E27E5B"/>
    <w:rsid w:val="00E30389"/>
    <w:rsid w:val="00E30500"/>
    <w:rsid w:val="00E30E0B"/>
    <w:rsid w:val="00E32226"/>
    <w:rsid w:val="00E328B1"/>
    <w:rsid w:val="00E342F9"/>
    <w:rsid w:val="00E345E6"/>
    <w:rsid w:val="00E3530B"/>
    <w:rsid w:val="00E35525"/>
    <w:rsid w:val="00E3599F"/>
    <w:rsid w:val="00E423BB"/>
    <w:rsid w:val="00E42C74"/>
    <w:rsid w:val="00E438B9"/>
    <w:rsid w:val="00E44823"/>
    <w:rsid w:val="00E44B00"/>
    <w:rsid w:val="00E46EA4"/>
    <w:rsid w:val="00E474BA"/>
    <w:rsid w:val="00E47CE9"/>
    <w:rsid w:val="00E50C51"/>
    <w:rsid w:val="00E50E2F"/>
    <w:rsid w:val="00E5162F"/>
    <w:rsid w:val="00E51B23"/>
    <w:rsid w:val="00E51F9D"/>
    <w:rsid w:val="00E524CB"/>
    <w:rsid w:val="00E527D1"/>
    <w:rsid w:val="00E52D91"/>
    <w:rsid w:val="00E545E4"/>
    <w:rsid w:val="00E54F9F"/>
    <w:rsid w:val="00E54FC8"/>
    <w:rsid w:val="00E5539D"/>
    <w:rsid w:val="00E553F4"/>
    <w:rsid w:val="00E555BF"/>
    <w:rsid w:val="00E55A02"/>
    <w:rsid w:val="00E600CA"/>
    <w:rsid w:val="00E60AA3"/>
    <w:rsid w:val="00E61D18"/>
    <w:rsid w:val="00E61EC7"/>
    <w:rsid w:val="00E62302"/>
    <w:rsid w:val="00E6275C"/>
    <w:rsid w:val="00E63CF3"/>
    <w:rsid w:val="00E64101"/>
    <w:rsid w:val="00E642E3"/>
    <w:rsid w:val="00E647C6"/>
    <w:rsid w:val="00E64A75"/>
    <w:rsid w:val="00E6516A"/>
    <w:rsid w:val="00E65CA7"/>
    <w:rsid w:val="00E66CB8"/>
    <w:rsid w:val="00E67565"/>
    <w:rsid w:val="00E67E9F"/>
    <w:rsid w:val="00E67F84"/>
    <w:rsid w:val="00E70EA2"/>
    <w:rsid w:val="00E715FF"/>
    <w:rsid w:val="00E71B79"/>
    <w:rsid w:val="00E72CEC"/>
    <w:rsid w:val="00E73CC1"/>
    <w:rsid w:val="00E74706"/>
    <w:rsid w:val="00E75736"/>
    <w:rsid w:val="00E75F05"/>
    <w:rsid w:val="00E76617"/>
    <w:rsid w:val="00E76ADB"/>
    <w:rsid w:val="00E76BAC"/>
    <w:rsid w:val="00E76C13"/>
    <w:rsid w:val="00E76EC2"/>
    <w:rsid w:val="00E76FA4"/>
    <w:rsid w:val="00E7794A"/>
    <w:rsid w:val="00E8015D"/>
    <w:rsid w:val="00E80D27"/>
    <w:rsid w:val="00E83653"/>
    <w:rsid w:val="00E83EA1"/>
    <w:rsid w:val="00E83FAA"/>
    <w:rsid w:val="00E8473F"/>
    <w:rsid w:val="00E85BEA"/>
    <w:rsid w:val="00E85D29"/>
    <w:rsid w:val="00E8697F"/>
    <w:rsid w:val="00E87698"/>
    <w:rsid w:val="00E877B4"/>
    <w:rsid w:val="00E87FDA"/>
    <w:rsid w:val="00E90004"/>
    <w:rsid w:val="00E9098E"/>
    <w:rsid w:val="00E90D5D"/>
    <w:rsid w:val="00E912A3"/>
    <w:rsid w:val="00E91E2D"/>
    <w:rsid w:val="00E945FB"/>
    <w:rsid w:val="00E951A6"/>
    <w:rsid w:val="00E95839"/>
    <w:rsid w:val="00E97396"/>
    <w:rsid w:val="00EA039B"/>
    <w:rsid w:val="00EA0E55"/>
    <w:rsid w:val="00EA1279"/>
    <w:rsid w:val="00EA1457"/>
    <w:rsid w:val="00EA30A6"/>
    <w:rsid w:val="00EA3FAA"/>
    <w:rsid w:val="00EA4E24"/>
    <w:rsid w:val="00EA66E1"/>
    <w:rsid w:val="00EA69B6"/>
    <w:rsid w:val="00EB1364"/>
    <w:rsid w:val="00EB15F0"/>
    <w:rsid w:val="00EB17DA"/>
    <w:rsid w:val="00EB273D"/>
    <w:rsid w:val="00EB2D26"/>
    <w:rsid w:val="00EB306E"/>
    <w:rsid w:val="00EB48A8"/>
    <w:rsid w:val="00EB4D67"/>
    <w:rsid w:val="00EB563B"/>
    <w:rsid w:val="00EB5E79"/>
    <w:rsid w:val="00EB67CA"/>
    <w:rsid w:val="00EB77FA"/>
    <w:rsid w:val="00EC01A9"/>
    <w:rsid w:val="00EC08AF"/>
    <w:rsid w:val="00EC0AF6"/>
    <w:rsid w:val="00EC1B83"/>
    <w:rsid w:val="00EC1F59"/>
    <w:rsid w:val="00EC30C4"/>
    <w:rsid w:val="00EC30CC"/>
    <w:rsid w:val="00EC3688"/>
    <w:rsid w:val="00EC59F0"/>
    <w:rsid w:val="00EC5E85"/>
    <w:rsid w:val="00EC604A"/>
    <w:rsid w:val="00EC61D9"/>
    <w:rsid w:val="00EC7317"/>
    <w:rsid w:val="00EC7E71"/>
    <w:rsid w:val="00EC7F4C"/>
    <w:rsid w:val="00ED0A2D"/>
    <w:rsid w:val="00ED1B8E"/>
    <w:rsid w:val="00ED21E7"/>
    <w:rsid w:val="00ED22AE"/>
    <w:rsid w:val="00ED2F89"/>
    <w:rsid w:val="00ED2FCF"/>
    <w:rsid w:val="00ED3323"/>
    <w:rsid w:val="00ED3481"/>
    <w:rsid w:val="00ED37ED"/>
    <w:rsid w:val="00ED3B1B"/>
    <w:rsid w:val="00ED489B"/>
    <w:rsid w:val="00ED5137"/>
    <w:rsid w:val="00ED5755"/>
    <w:rsid w:val="00ED646E"/>
    <w:rsid w:val="00ED741E"/>
    <w:rsid w:val="00EE0AB3"/>
    <w:rsid w:val="00EE1100"/>
    <w:rsid w:val="00EE2311"/>
    <w:rsid w:val="00EE27EF"/>
    <w:rsid w:val="00EE33D7"/>
    <w:rsid w:val="00EE4A68"/>
    <w:rsid w:val="00EE4B65"/>
    <w:rsid w:val="00EE5079"/>
    <w:rsid w:val="00EE593B"/>
    <w:rsid w:val="00EE775F"/>
    <w:rsid w:val="00EF04E7"/>
    <w:rsid w:val="00EF1A13"/>
    <w:rsid w:val="00EF34EF"/>
    <w:rsid w:val="00EF422C"/>
    <w:rsid w:val="00EF4A84"/>
    <w:rsid w:val="00EF5B5B"/>
    <w:rsid w:val="00EF6038"/>
    <w:rsid w:val="00EF62D3"/>
    <w:rsid w:val="00EF65D4"/>
    <w:rsid w:val="00EF6D2F"/>
    <w:rsid w:val="00EF6DD2"/>
    <w:rsid w:val="00EF7B03"/>
    <w:rsid w:val="00F00256"/>
    <w:rsid w:val="00F00434"/>
    <w:rsid w:val="00F03C4B"/>
    <w:rsid w:val="00F03CF6"/>
    <w:rsid w:val="00F0519A"/>
    <w:rsid w:val="00F0528E"/>
    <w:rsid w:val="00F05298"/>
    <w:rsid w:val="00F05C14"/>
    <w:rsid w:val="00F06ABC"/>
    <w:rsid w:val="00F07504"/>
    <w:rsid w:val="00F07567"/>
    <w:rsid w:val="00F07E50"/>
    <w:rsid w:val="00F10354"/>
    <w:rsid w:val="00F10997"/>
    <w:rsid w:val="00F1115C"/>
    <w:rsid w:val="00F153C6"/>
    <w:rsid w:val="00F155BD"/>
    <w:rsid w:val="00F15659"/>
    <w:rsid w:val="00F16857"/>
    <w:rsid w:val="00F16D7B"/>
    <w:rsid w:val="00F20261"/>
    <w:rsid w:val="00F20689"/>
    <w:rsid w:val="00F20AD1"/>
    <w:rsid w:val="00F20DC5"/>
    <w:rsid w:val="00F2131D"/>
    <w:rsid w:val="00F215D2"/>
    <w:rsid w:val="00F217D4"/>
    <w:rsid w:val="00F2259D"/>
    <w:rsid w:val="00F2262D"/>
    <w:rsid w:val="00F2273E"/>
    <w:rsid w:val="00F22AE3"/>
    <w:rsid w:val="00F23F7D"/>
    <w:rsid w:val="00F26306"/>
    <w:rsid w:val="00F27207"/>
    <w:rsid w:val="00F3060C"/>
    <w:rsid w:val="00F31372"/>
    <w:rsid w:val="00F3188B"/>
    <w:rsid w:val="00F320CE"/>
    <w:rsid w:val="00F32296"/>
    <w:rsid w:val="00F32638"/>
    <w:rsid w:val="00F33854"/>
    <w:rsid w:val="00F33CC0"/>
    <w:rsid w:val="00F34141"/>
    <w:rsid w:val="00F346A3"/>
    <w:rsid w:val="00F34BBE"/>
    <w:rsid w:val="00F34FE0"/>
    <w:rsid w:val="00F35B6D"/>
    <w:rsid w:val="00F36A15"/>
    <w:rsid w:val="00F377DC"/>
    <w:rsid w:val="00F40B5B"/>
    <w:rsid w:val="00F4121F"/>
    <w:rsid w:val="00F417CB"/>
    <w:rsid w:val="00F41B4C"/>
    <w:rsid w:val="00F41BF6"/>
    <w:rsid w:val="00F41CA6"/>
    <w:rsid w:val="00F427ED"/>
    <w:rsid w:val="00F427FC"/>
    <w:rsid w:val="00F42B59"/>
    <w:rsid w:val="00F4340B"/>
    <w:rsid w:val="00F449FC"/>
    <w:rsid w:val="00F44C99"/>
    <w:rsid w:val="00F44D3B"/>
    <w:rsid w:val="00F45F0A"/>
    <w:rsid w:val="00F46375"/>
    <w:rsid w:val="00F470B4"/>
    <w:rsid w:val="00F500B1"/>
    <w:rsid w:val="00F511FC"/>
    <w:rsid w:val="00F513DD"/>
    <w:rsid w:val="00F51F72"/>
    <w:rsid w:val="00F52F5B"/>
    <w:rsid w:val="00F53566"/>
    <w:rsid w:val="00F5374E"/>
    <w:rsid w:val="00F53DDA"/>
    <w:rsid w:val="00F53ED1"/>
    <w:rsid w:val="00F54532"/>
    <w:rsid w:val="00F5458A"/>
    <w:rsid w:val="00F54B0F"/>
    <w:rsid w:val="00F54CE3"/>
    <w:rsid w:val="00F55822"/>
    <w:rsid w:val="00F56832"/>
    <w:rsid w:val="00F6005E"/>
    <w:rsid w:val="00F6189B"/>
    <w:rsid w:val="00F63C70"/>
    <w:rsid w:val="00F64154"/>
    <w:rsid w:val="00F64945"/>
    <w:rsid w:val="00F64D4C"/>
    <w:rsid w:val="00F6549B"/>
    <w:rsid w:val="00F65C9D"/>
    <w:rsid w:val="00F65F20"/>
    <w:rsid w:val="00F66494"/>
    <w:rsid w:val="00F664B2"/>
    <w:rsid w:val="00F700E3"/>
    <w:rsid w:val="00F702DD"/>
    <w:rsid w:val="00F703AD"/>
    <w:rsid w:val="00F7120A"/>
    <w:rsid w:val="00F715CF"/>
    <w:rsid w:val="00F71E0C"/>
    <w:rsid w:val="00F720E2"/>
    <w:rsid w:val="00F736CB"/>
    <w:rsid w:val="00F73FAA"/>
    <w:rsid w:val="00F74E71"/>
    <w:rsid w:val="00F75D23"/>
    <w:rsid w:val="00F767DF"/>
    <w:rsid w:val="00F76C94"/>
    <w:rsid w:val="00F76CDC"/>
    <w:rsid w:val="00F8315C"/>
    <w:rsid w:val="00F84219"/>
    <w:rsid w:val="00F84A72"/>
    <w:rsid w:val="00F8506F"/>
    <w:rsid w:val="00F854C8"/>
    <w:rsid w:val="00F8594D"/>
    <w:rsid w:val="00F86012"/>
    <w:rsid w:val="00F8643A"/>
    <w:rsid w:val="00F866A8"/>
    <w:rsid w:val="00F87E20"/>
    <w:rsid w:val="00F91887"/>
    <w:rsid w:val="00F91BD8"/>
    <w:rsid w:val="00F92E71"/>
    <w:rsid w:val="00F9319F"/>
    <w:rsid w:val="00F935A4"/>
    <w:rsid w:val="00F938B4"/>
    <w:rsid w:val="00F94247"/>
    <w:rsid w:val="00F9437D"/>
    <w:rsid w:val="00F946D9"/>
    <w:rsid w:val="00F94C14"/>
    <w:rsid w:val="00F94F37"/>
    <w:rsid w:val="00F94FFE"/>
    <w:rsid w:val="00F96A56"/>
    <w:rsid w:val="00F96DA8"/>
    <w:rsid w:val="00FA0183"/>
    <w:rsid w:val="00FA14C0"/>
    <w:rsid w:val="00FA153E"/>
    <w:rsid w:val="00FA178E"/>
    <w:rsid w:val="00FA278D"/>
    <w:rsid w:val="00FA3154"/>
    <w:rsid w:val="00FA320E"/>
    <w:rsid w:val="00FA537A"/>
    <w:rsid w:val="00FA597D"/>
    <w:rsid w:val="00FA5F16"/>
    <w:rsid w:val="00FA74C5"/>
    <w:rsid w:val="00FA79C7"/>
    <w:rsid w:val="00FA7CDB"/>
    <w:rsid w:val="00FB1E63"/>
    <w:rsid w:val="00FB32C2"/>
    <w:rsid w:val="00FB38AF"/>
    <w:rsid w:val="00FB5225"/>
    <w:rsid w:val="00FB5B3F"/>
    <w:rsid w:val="00FB5CD0"/>
    <w:rsid w:val="00FB63C7"/>
    <w:rsid w:val="00FB71C4"/>
    <w:rsid w:val="00FB7358"/>
    <w:rsid w:val="00FB7A3C"/>
    <w:rsid w:val="00FB7D1A"/>
    <w:rsid w:val="00FC0C89"/>
    <w:rsid w:val="00FC1EC1"/>
    <w:rsid w:val="00FC22A6"/>
    <w:rsid w:val="00FC3C97"/>
    <w:rsid w:val="00FC45BD"/>
    <w:rsid w:val="00FC478E"/>
    <w:rsid w:val="00FC5F24"/>
    <w:rsid w:val="00FC614C"/>
    <w:rsid w:val="00FC717E"/>
    <w:rsid w:val="00FC746B"/>
    <w:rsid w:val="00FC7955"/>
    <w:rsid w:val="00FD09CF"/>
    <w:rsid w:val="00FD0A93"/>
    <w:rsid w:val="00FD196D"/>
    <w:rsid w:val="00FD1D94"/>
    <w:rsid w:val="00FD2302"/>
    <w:rsid w:val="00FD304B"/>
    <w:rsid w:val="00FD4B8D"/>
    <w:rsid w:val="00FD50CA"/>
    <w:rsid w:val="00FD6886"/>
    <w:rsid w:val="00FD6A18"/>
    <w:rsid w:val="00FD7F50"/>
    <w:rsid w:val="00FE005E"/>
    <w:rsid w:val="00FE0E66"/>
    <w:rsid w:val="00FE16F0"/>
    <w:rsid w:val="00FE1755"/>
    <w:rsid w:val="00FE1819"/>
    <w:rsid w:val="00FE1B91"/>
    <w:rsid w:val="00FE1DB5"/>
    <w:rsid w:val="00FE28B8"/>
    <w:rsid w:val="00FE2B7D"/>
    <w:rsid w:val="00FE39BB"/>
    <w:rsid w:val="00FE3AFF"/>
    <w:rsid w:val="00FE3B8D"/>
    <w:rsid w:val="00FE4E08"/>
    <w:rsid w:val="00FE5B21"/>
    <w:rsid w:val="00FE5DDF"/>
    <w:rsid w:val="00FE5FEB"/>
    <w:rsid w:val="00FE6B12"/>
    <w:rsid w:val="00FE780D"/>
    <w:rsid w:val="00FE7D09"/>
    <w:rsid w:val="00FF424C"/>
    <w:rsid w:val="00FF4DE0"/>
    <w:rsid w:val="00FF636D"/>
    <w:rsid w:val="00FF64F2"/>
    <w:rsid w:val="00FF6C7B"/>
    <w:rsid w:val="00FF748B"/>
    <w:rsid w:val="01031673"/>
    <w:rsid w:val="011A4D5A"/>
    <w:rsid w:val="01591183"/>
    <w:rsid w:val="017E4684"/>
    <w:rsid w:val="019B6E5B"/>
    <w:rsid w:val="01A572C2"/>
    <w:rsid w:val="01AA7E2D"/>
    <w:rsid w:val="01AF5332"/>
    <w:rsid w:val="01B76060"/>
    <w:rsid w:val="01BD5EE1"/>
    <w:rsid w:val="01D7458E"/>
    <w:rsid w:val="0223372C"/>
    <w:rsid w:val="024E7BB8"/>
    <w:rsid w:val="02724107"/>
    <w:rsid w:val="02873BB9"/>
    <w:rsid w:val="02A12EA7"/>
    <w:rsid w:val="02E3014B"/>
    <w:rsid w:val="02FE0706"/>
    <w:rsid w:val="03085CCB"/>
    <w:rsid w:val="03134554"/>
    <w:rsid w:val="033A0DA9"/>
    <w:rsid w:val="036411A9"/>
    <w:rsid w:val="036909A2"/>
    <w:rsid w:val="037B774D"/>
    <w:rsid w:val="037E62D4"/>
    <w:rsid w:val="03B32626"/>
    <w:rsid w:val="03CD03D1"/>
    <w:rsid w:val="044847DB"/>
    <w:rsid w:val="04920992"/>
    <w:rsid w:val="04A520D3"/>
    <w:rsid w:val="04B10A95"/>
    <w:rsid w:val="04E079E3"/>
    <w:rsid w:val="0529637E"/>
    <w:rsid w:val="05763644"/>
    <w:rsid w:val="0578754B"/>
    <w:rsid w:val="05812923"/>
    <w:rsid w:val="05B027D2"/>
    <w:rsid w:val="05CE051B"/>
    <w:rsid w:val="05F186D1"/>
    <w:rsid w:val="05F53D8C"/>
    <w:rsid w:val="061C7244"/>
    <w:rsid w:val="06447858"/>
    <w:rsid w:val="069138E3"/>
    <w:rsid w:val="06C92B82"/>
    <w:rsid w:val="06EB0D9B"/>
    <w:rsid w:val="07240178"/>
    <w:rsid w:val="07386069"/>
    <w:rsid w:val="073A3B94"/>
    <w:rsid w:val="07517424"/>
    <w:rsid w:val="07807799"/>
    <w:rsid w:val="078C5B39"/>
    <w:rsid w:val="079945A2"/>
    <w:rsid w:val="07BA496F"/>
    <w:rsid w:val="07D7585B"/>
    <w:rsid w:val="07FE3355"/>
    <w:rsid w:val="083C630F"/>
    <w:rsid w:val="0842770C"/>
    <w:rsid w:val="0880670A"/>
    <w:rsid w:val="089A287F"/>
    <w:rsid w:val="08C25FDC"/>
    <w:rsid w:val="08F905C3"/>
    <w:rsid w:val="09000665"/>
    <w:rsid w:val="09367DA4"/>
    <w:rsid w:val="09372EA4"/>
    <w:rsid w:val="093E0CAD"/>
    <w:rsid w:val="09865064"/>
    <w:rsid w:val="09991DF2"/>
    <w:rsid w:val="09B20931"/>
    <w:rsid w:val="09BD01B5"/>
    <w:rsid w:val="09E03747"/>
    <w:rsid w:val="0A0671CD"/>
    <w:rsid w:val="0A2E6355"/>
    <w:rsid w:val="0A305AF7"/>
    <w:rsid w:val="0A3D0E73"/>
    <w:rsid w:val="0AC576BE"/>
    <w:rsid w:val="0AD400B9"/>
    <w:rsid w:val="0AEA7909"/>
    <w:rsid w:val="0AEF24C8"/>
    <w:rsid w:val="0B4F3CCC"/>
    <w:rsid w:val="0B660459"/>
    <w:rsid w:val="0B8615FF"/>
    <w:rsid w:val="0B8C1EB1"/>
    <w:rsid w:val="0C136957"/>
    <w:rsid w:val="0C4B4CC5"/>
    <w:rsid w:val="0C6002A2"/>
    <w:rsid w:val="0C7F00FE"/>
    <w:rsid w:val="0C803340"/>
    <w:rsid w:val="0C910FD7"/>
    <w:rsid w:val="0CA83894"/>
    <w:rsid w:val="0CB26A0B"/>
    <w:rsid w:val="0CE11D04"/>
    <w:rsid w:val="0CE403CA"/>
    <w:rsid w:val="0D49063B"/>
    <w:rsid w:val="0DA60AB5"/>
    <w:rsid w:val="0DAA0122"/>
    <w:rsid w:val="0DAD20B0"/>
    <w:rsid w:val="0DB2104F"/>
    <w:rsid w:val="0DC91529"/>
    <w:rsid w:val="0DD92A95"/>
    <w:rsid w:val="0DE7211A"/>
    <w:rsid w:val="0DEB4692"/>
    <w:rsid w:val="0DED3EA0"/>
    <w:rsid w:val="0E2B27FF"/>
    <w:rsid w:val="0E5D6A96"/>
    <w:rsid w:val="0E942590"/>
    <w:rsid w:val="0F1738A1"/>
    <w:rsid w:val="0F4A5AE6"/>
    <w:rsid w:val="0F653D3B"/>
    <w:rsid w:val="0F8A0EB4"/>
    <w:rsid w:val="0FB16810"/>
    <w:rsid w:val="0FC301A2"/>
    <w:rsid w:val="0FCE4061"/>
    <w:rsid w:val="102B2AA8"/>
    <w:rsid w:val="10310CE2"/>
    <w:rsid w:val="10504CF7"/>
    <w:rsid w:val="10714446"/>
    <w:rsid w:val="107E671F"/>
    <w:rsid w:val="10966B53"/>
    <w:rsid w:val="10B03A48"/>
    <w:rsid w:val="10F61066"/>
    <w:rsid w:val="11294667"/>
    <w:rsid w:val="1143322B"/>
    <w:rsid w:val="114627C9"/>
    <w:rsid w:val="11500BEC"/>
    <w:rsid w:val="11C25DB7"/>
    <w:rsid w:val="11E456F8"/>
    <w:rsid w:val="11E55183"/>
    <w:rsid w:val="121D7032"/>
    <w:rsid w:val="124401BA"/>
    <w:rsid w:val="12576090"/>
    <w:rsid w:val="127F4D54"/>
    <w:rsid w:val="129D361A"/>
    <w:rsid w:val="12BF1861"/>
    <w:rsid w:val="13000B05"/>
    <w:rsid w:val="132F4978"/>
    <w:rsid w:val="133522CA"/>
    <w:rsid w:val="136C166A"/>
    <w:rsid w:val="137711CB"/>
    <w:rsid w:val="13881016"/>
    <w:rsid w:val="13AC7923"/>
    <w:rsid w:val="13BC5284"/>
    <w:rsid w:val="14277A2E"/>
    <w:rsid w:val="14390E5E"/>
    <w:rsid w:val="145A16C6"/>
    <w:rsid w:val="1484529B"/>
    <w:rsid w:val="148C02DD"/>
    <w:rsid w:val="14B3232E"/>
    <w:rsid w:val="14D64C4E"/>
    <w:rsid w:val="150064B8"/>
    <w:rsid w:val="15395FCB"/>
    <w:rsid w:val="153C17DB"/>
    <w:rsid w:val="15554F18"/>
    <w:rsid w:val="15556A44"/>
    <w:rsid w:val="15782045"/>
    <w:rsid w:val="15A64D79"/>
    <w:rsid w:val="15AF35F5"/>
    <w:rsid w:val="15FC66F9"/>
    <w:rsid w:val="15FE489C"/>
    <w:rsid w:val="161F4683"/>
    <w:rsid w:val="162A7FE1"/>
    <w:rsid w:val="16342523"/>
    <w:rsid w:val="165C75B9"/>
    <w:rsid w:val="167116DE"/>
    <w:rsid w:val="167D4E04"/>
    <w:rsid w:val="167D7483"/>
    <w:rsid w:val="16B52C7E"/>
    <w:rsid w:val="171337F7"/>
    <w:rsid w:val="177E673D"/>
    <w:rsid w:val="17AA3A42"/>
    <w:rsid w:val="17B02D5B"/>
    <w:rsid w:val="17C535D7"/>
    <w:rsid w:val="17D276F8"/>
    <w:rsid w:val="184A3AAF"/>
    <w:rsid w:val="184C7B40"/>
    <w:rsid w:val="1850302E"/>
    <w:rsid w:val="187D5CFC"/>
    <w:rsid w:val="188361BF"/>
    <w:rsid w:val="18A70482"/>
    <w:rsid w:val="19477264"/>
    <w:rsid w:val="194F0CA6"/>
    <w:rsid w:val="195E21C5"/>
    <w:rsid w:val="19C46D56"/>
    <w:rsid w:val="19E53D51"/>
    <w:rsid w:val="19F23FD0"/>
    <w:rsid w:val="1A044B71"/>
    <w:rsid w:val="1A0E783C"/>
    <w:rsid w:val="1A2024D1"/>
    <w:rsid w:val="1A8E701D"/>
    <w:rsid w:val="1AB10FCD"/>
    <w:rsid w:val="1ABA4597"/>
    <w:rsid w:val="1ACE4F42"/>
    <w:rsid w:val="1AE53164"/>
    <w:rsid w:val="1AFD0547"/>
    <w:rsid w:val="1B101C96"/>
    <w:rsid w:val="1B1875ED"/>
    <w:rsid w:val="1B231BC3"/>
    <w:rsid w:val="1B2A217A"/>
    <w:rsid w:val="1B372A94"/>
    <w:rsid w:val="1B3939DF"/>
    <w:rsid w:val="1B672584"/>
    <w:rsid w:val="1B6C5935"/>
    <w:rsid w:val="1B8B2B71"/>
    <w:rsid w:val="1B9350FE"/>
    <w:rsid w:val="1B966833"/>
    <w:rsid w:val="1B9C25FF"/>
    <w:rsid w:val="1BAD66BE"/>
    <w:rsid w:val="1BBC1952"/>
    <w:rsid w:val="1BD20B74"/>
    <w:rsid w:val="1BDA3F76"/>
    <w:rsid w:val="1BE36C4D"/>
    <w:rsid w:val="1C194427"/>
    <w:rsid w:val="1C1C5CEC"/>
    <w:rsid w:val="1C2D7FD8"/>
    <w:rsid w:val="1C2E2131"/>
    <w:rsid w:val="1C5460E1"/>
    <w:rsid w:val="1C5706D9"/>
    <w:rsid w:val="1CD8293A"/>
    <w:rsid w:val="1CD96BE2"/>
    <w:rsid w:val="1CF45F16"/>
    <w:rsid w:val="1D2812AE"/>
    <w:rsid w:val="1D4D5877"/>
    <w:rsid w:val="1D7757E7"/>
    <w:rsid w:val="1D7F7FF1"/>
    <w:rsid w:val="1D850C9D"/>
    <w:rsid w:val="1DB62CA8"/>
    <w:rsid w:val="1DDC7B43"/>
    <w:rsid w:val="1DEC9A83"/>
    <w:rsid w:val="1DFBCB9E"/>
    <w:rsid w:val="1E063786"/>
    <w:rsid w:val="1E10461D"/>
    <w:rsid w:val="1E4D32E3"/>
    <w:rsid w:val="1E5C118E"/>
    <w:rsid w:val="1E5E3272"/>
    <w:rsid w:val="1E875225"/>
    <w:rsid w:val="1E8D2251"/>
    <w:rsid w:val="1EB97598"/>
    <w:rsid w:val="1ECB008E"/>
    <w:rsid w:val="1F07796A"/>
    <w:rsid w:val="1F2943A4"/>
    <w:rsid w:val="1F2E270A"/>
    <w:rsid w:val="1F3C41C2"/>
    <w:rsid w:val="1F54662A"/>
    <w:rsid w:val="1F593414"/>
    <w:rsid w:val="1FA56B94"/>
    <w:rsid w:val="1FB61579"/>
    <w:rsid w:val="1FDA63BB"/>
    <w:rsid w:val="201B00B0"/>
    <w:rsid w:val="20571A9E"/>
    <w:rsid w:val="205A2AE6"/>
    <w:rsid w:val="20AA0BD6"/>
    <w:rsid w:val="20BF70D3"/>
    <w:rsid w:val="20D125E5"/>
    <w:rsid w:val="21011EAE"/>
    <w:rsid w:val="21343C17"/>
    <w:rsid w:val="216B169E"/>
    <w:rsid w:val="21CA27D3"/>
    <w:rsid w:val="226909F4"/>
    <w:rsid w:val="22764801"/>
    <w:rsid w:val="22B04D29"/>
    <w:rsid w:val="22F10571"/>
    <w:rsid w:val="22F643F8"/>
    <w:rsid w:val="233A315C"/>
    <w:rsid w:val="238D4A0E"/>
    <w:rsid w:val="239E30F5"/>
    <w:rsid w:val="23F8522E"/>
    <w:rsid w:val="24036136"/>
    <w:rsid w:val="2423463D"/>
    <w:rsid w:val="24634140"/>
    <w:rsid w:val="2465711B"/>
    <w:rsid w:val="24AE65B6"/>
    <w:rsid w:val="24CF2147"/>
    <w:rsid w:val="24EB799F"/>
    <w:rsid w:val="252A07EB"/>
    <w:rsid w:val="252A6E60"/>
    <w:rsid w:val="2535371B"/>
    <w:rsid w:val="25450FC9"/>
    <w:rsid w:val="254A6A83"/>
    <w:rsid w:val="25910727"/>
    <w:rsid w:val="25BF6D06"/>
    <w:rsid w:val="25CB11E0"/>
    <w:rsid w:val="25D54FCA"/>
    <w:rsid w:val="267454C1"/>
    <w:rsid w:val="26D94183"/>
    <w:rsid w:val="272F17CB"/>
    <w:rsid w:val="27315DD3"/>
    <w:rsid w:val="2799330E"/>
    <w:rsid w:val="27A977C5"/>
    <w:rsid w:val="27D33278"/>
    <w:rsid w:val="281D23C9"/>
    <w:rsid w:val="28A473D7"/>
    <w:rsid w:val="28B225B5"/>
    <w:rsid w:val="28BE1EB8"/>
    <w:rsid w:val="28D24539"/>
    <w:rsid w:val="28D647E3"/>
    <w:rsid w:val="2947366F"/>
    <w:rsid w:val="29A51283"/>
    <w:rsid w:val="29B6081C"/>
    <w:rsid w:val="2A092A3C"/>
    <w:rsid w:val="2A137134"/>
    <w:rsid w:val="2A2C58AE"/>
    <w:rsid w:val="2A3C5E7B"/>
    <w:rsid w:val="2A577D69"/>
    <w:rsid w:val="2A665C9E"/>
    <w:rsid w:val="2A953374"/>
    <w:rsid w:val="2A9F5945"/>
    <w:rsid w:val="2AA00F59"/>
    <w:rsid w:val="2AD920D9"/>
    <w:rsid w:val="2B33424F"/>
    <w:rsid w:val="2B6A7885"/>
    <w:rsid w:val="2B7326BE"/>
    <w:rsid w:val="2B910C1E"/>
    <w:rsid w:val="2BC57D4F"/>
    <w:rsid w:val="2BDE39D9"/>
    <w:rsid w:val="2BE41B4A"/>
    <w:rsid w:val="2BF00B4C"/>
    <w:rsid w:val="2BF6265D"/>
    <w:rsid w:val="2C137599"/>
    <w:rsid w:val="2C42133B"/>
    <w:rsid w:val="2C7E5EE2"/>
    <w:rsid w:val="2CD234CF"/>
    <w:rsid w:val="2CD877CC"/>
    <w:rsid w:val="2D1C25B9"/>
    <w:rsid w:val="2D290A26"/>
    <w:rsid w:val="2D3B1ABA"/>
    <w:rsid w:val="2DBB64EC"/>
    <w:rsid w:val="2DD77B0B"/>
    <w:rsid w:val="2DD97B58"/>
    <w:rsid w:val="2E167AB8"/>
    <w:rsid w:val="2E6D24D3"/>
    <w:rsid w:val="2E7B70DC"/>
    <w:rsid w:val="2E7F7504"/>
    <w:rsid w:val="2ED4266C"/>
    <w:rsid w:val="2EDD5573"/>
    <w:rsid w:val="2EF81E19"/>
    <w:rsid w:val="2F03405B"/>
    <w:rsid w:val="2F2366E0"/>
    <w:rsid w:val="2F473B2B"/>
    <w:rsid w:val="2F6529D8"/>
    <w:rsid w:val="2F8A79DF"/>
    <w:rsid w:val="2FA72901"/>
    <w:rsid w:val="2FAE1404"/>
    <w:rsid w:val="2FAE2AF9"/>
    <w:rsid w:val="2FCA7E7D"/>
    <w:rsid w:val="2FDA29D9"/>
    <w:rsid w:val="2FF84ACE"/>
    <w:rsid w:val="301B6F89"/>
    <w:rsid w:val="30234019"/>
    <w:rsid w:val="3094195F"/>
    <w:rsid w:val="30C45EC8"/>
    <w:rsid w:val="30E772EF"/>
    <w:rsid w:val="30F4754C"/>
    <w:rsid w:val="318F1CB4"/>
    <w:rsid w:val="31AA0C0A"/>
    <w:rsid w:val="31BB1DAB"/>
    <w:rsid w:val="31CD7699"/>
    <w:rsid w:val="31F9418B"/>
    <w:rsid w:val="320F2A7B"/>
    <w:rsid w:val="324C3F04"/>
    <w:rsid w:val="328107C5"/>
    <w:rsid w:val="328323C6"/>
    <w:rsid w:val="3286219E"/>
    <w:rsid w:val="32A7158A"/>
    <w:rsid w:val="32BC205E"/>
    <w:rsid w:val="337D24B6"/>
    <w:rsid w:val="33863EA5"/>
    <w:rsid w:val="33AC21EB"/>
    <w:rsid w:val="33BB2CD6"/>
    <w:rsid w:val="33D91DD4"/>
    <w:rsid w:val="33DA0EC0"/>
    <w:rsid w:val="33E42A56"/>
    <w:rsid w:val="33E762F4"/>
    <w:rsid w:val="341A77C9"/>
    <w:rsid w:val="345362A0"/>
    <w:rsid w:val="34E73CAC"/>
    <w:rsid w:val="35104918"/>
    <w:rsid w:val="351C0EE5"/>
    <w:rsid w:val="3545073D"/>
    <w:rsid w:val="35FA1FB7"/>
    <w:rsid w:val="35FE7470"/>
    <w:rsid w:val="360B4F40"/>
    <w:rsid w:val="3610620E"/>
    <w:rsid w:val="363B3D8B"/>
    <w:rsid w:val="36AF433D"/>
    <w:rsid w:val="36B43330"/>
    <w:rsid w:val="36B66A56"/>
    <w:rsid w:val="375D2E2F"/>
    <w:rsid w:val="376D3D8A"/>
    <w:rsid w:val="377F85F7"/>
    <w:rsid w:val="3796167F"/>
    <w:rsid w:val="37A313FC"/>
    <w:rsid w:val="37B224FC"/>
    <w:rsid w:val="37C67E4C"/>
    <w:rsid w:val="37D10366"/>
    <w:rsid w:val="37F12364"/>
    <w:rsid w:val="385829D9"/>
    <w:rsid w:val="38634262"/>
    <w:rsid w:val="386C7793"/>
    <w:rsid w:val="39361621"/>
    <w:rsid w:val="39A03481"/>
    <w:rsid w:val="3A0A5A94"/>
    <w:rsid w:val="3A0E6C6E"/>
    <w:rsid w:val="3A2122C5"/>
    <w:rsid w:val="3A2908E1"/>
    <w:rsid w:val="3A2E75F3"/>
    <w:rsid w:val="3A3DCE49"/>
    <w:rsid w:val="3A5E059F"/>
    <w:rsid w:val="3A63625D"/>
    <w:rsid w:val="3A7502AF"/>
    <w:rsid w:val="3AF51D2E"/>
    <w:rsid w:val="3B023329"/>
    <w:rsid w:val="3B0502BE"/>
    <w:rsid w:val="3B1E672F"/>
    <w:rsid w:val="3B7F5CF5"/>
    <w:rsid w:val="3B8B3A23"/>
    <w:rsid w:val="3B990D34"/>
    <w:rsid w:val="3B9B58DB"/>
    <w:rsid w:val="3BAEBDBF"/>
    <w:rsid w:val="3BBD4BDD"/>
    <w:rsid w:val="3C213FF7"/>
    <w:rsid w:val="3C30419D"/>
    <w:rsid w:val="3C3834BC"/>
    <w:rsid w:val="3C616837"/>
    <w:rsid w:val="3C703BEB"/>
    <w:rsid w:val="3C9227A7"/>
    <w:rsid w:val="3CE24B4C"/>
    <w:rsid w:val="3D2E1904"/>
    <w:rsid w:val="3D73A09B"/>
    <w:rsid w:val="3DDE3401"/>
    <w:rsid w:val="3E3F2FCA"/>
    <w:rsid w:val="3E6A3DFC"/>
    <w:rsid w:val="3E8A2508"/>
    <w:rsid w:val="3EA71D7F"/>
    <w:rsid w:val="3EAC3B39"/>
    <w:rsid w:val="3EE86984"/>
    <w:rsid w:val="3EFE3307"/>
    <w:rsid w:val="3F11417D"/>
    <w:rsid w:val="3F1B309B"/>
    <w:rsid w:val="3F3361BD"/>
    <w:rsid w:val="3F4C6BDC"/>
    <w:rsid w:val="3F557254"/>
    <w:rsid w:val="3F571E32"/>
    <w:rsid w:val="3F6648D9"/>
    <w:rsid w:val="3F755890"/>
    <w:rsid w:val="3F9332E3"/>
    <w:rsid w:val="3F9C4EB3"/>
    <w:rsid w:val="3FB9241C"/>
    <w:rsid w:val="3FE33CB2"/>
    <w:rsid w:val="3FEF8F70"/>
    <w:rsid w:val="40766E08"/>
    <w:rsid w:val="408C12BD"/>
    <w:rsid w:val="40B83554"/>
    <w:rsid w:val="40E373B2"/>
    <w:rsid w:val="40F45458"/>
    <w:rsid w:val="40FD63BF"/>
    <w:rsid w:val="411419D0"/>
    <w:rsid w:val="416D20C1"/>
    <w:rsid w:val="41744039"/>
    <w:rsid w:val="41BC078A"/>
    <w:rsid w:val="41CD5F20"/>
    <w:rsid w:val="41FF372C"/>
    <w:rsid w:val="4220325F"/>
    <w:rsid w:val="42767EF1"/>
    <w:rsid w:val="427C6750"/>
    <w:rsid w:val="42AD5460"/>
    <w:rsid w:val="42B95D01"/>
    <w:rsid w:val="42BA6C0A"/>
    <w:rsid w:val="42E64558"/>
    <w:rsid w:val="431C247E"/>
    <w:rsid w:val="43203DF2"/>
    <w:rsid w:val="43226E7B"/>
    <w:rsid w:val="434F77FF"/>
    <w:rsid w:val="437C064B"/>
    <w:rsid w:val="43950263"/>
    <w:rsid w:val="43A974EA"/>
    <w:rsid w:val="43C053B1"/>
    <w:rsid w:val="43C8731D"/>
    <w:rsid w:val="43F66D90"/>
    <w:rsid w:val="443C5B8E"/>
    <w:rsid w:val="443D6C48"/>
    <w:rsid w:val="446E1913"/>
    <w:rsid w:val="44752510"/>
    <w:rsid w:val="448771F8"/>
    <w:rsid w:val="44972096"/>
    <w:rsid w:val="44BC72E2"/>
    <w:rsid w:val="44DD1033"/>
    <w:rsid w:val="44EE7AE3"/>
    <w:rsid w:val="450902C3"/>
    <w:rsid w:val="454C34AC"/>
    <w:rsid w:val="455D485B"/>
    <w:rsid w:val="45902473"/>
    <w:rsid w:val="45AF66F3"/>
    <w:rsid w:val="45F020BA"/>
    <w:rsid w:val="461F261F"/>
    <w:rsid w:val="465157C7"/>
    <w:rsid w:val="46A43BC1"/>
    <w:rsid w:val="46C10611"/>
    <w:rsid w:val="46C51BF8"/>
    <w:rsid w:val="47286544"/>
    <w:rsid w:val="476A6995"/>
    <w:rsid w:val="47AA302A"/>
    <w:rsid w:val="47B36129"/>
    <w:rsid w:val="47B47236"/>
    <w:rsid w:val="47E063AC"/>
    <w:rsid w:val="47EE579B"/>
    <w:rsid w:val="481351B0"/>
    <w:rsid w:val="481C2575"/>
    <w:rsid w:val="48622A3D"/>
    <w:rsid w:val="4867497F"/>
    <w:rsid w:val="487E577F"/>
    <w:rsid w:val="48857B56"/>
    <w:rsid w:val="48A40D33"/>
    <w:rsid w:val="48CC36A0"/>
    <w:rsid w:val="49071B2A"/>
    <w:rsid w:val="490800F5"/>
    <w:rsid w:val="491054AA"/>
    <w:rsid w:val="49D92699"/>
    <w:rsid w:val="49E7590E"/>
    <w:rsid w:val="4A037229"/>
    <w:rsid w:val="4A14355C"/>
    <w:rsid w:val="4A3D1F42"/>
    <w:rsid w:val="4A523EC6"/>
    <w:rsid w:val="4A8600EE"/>
    <w:rsid w:val="4AAA0E60"/>
    <w:rsid w:val="4AEA6C89"/>
    <w:rsid w:val="4AEC533E"/>
    <w:rsid w:val="4AEC69C0"/>
    <w:rsid w:val="4B036F48"/>
    <w:rsid w:val="4B3D39E3"/>
    <w:rsid w:val="4B402DCD"/>
    <w:rsid w:val="4B426EBD"/>
    <w:rsid w:val="4B5F3B70"/>
    <w:rsid w:val="4B67645A"/>
    <w:rsid w:val="4B9832C2"/>
    <w:rsid w:val="4BBC3761"/>
    <w:rsid w:val="4BE54CF1"/>
    <w:rsid w:val="4BF432B8"/>
    <w:rsid w:val="4C0203D7"/>
    <w:rsid w:val="4C1748E0"/>
    <w:rsid w:val="4C4D2D4A"/>
    <w:rsid w:val="4C8011B4"/>
    <w:rsid w:val="4CA31E28"/>
    <w:rsid w:val="4CA97AB4"/>
    <w:rsid w:val="4CB7107B"/>
    <w:rsid w:val="4CBB7E1C"/>
    <w:rsid w:val="4D0C7ED9"/>
    <w:rsid w:val="4DAE3645"/>
    <w:rsid w:val="4E2065B9"/>
    <w:rsid w:val="4E3F346D"/>
    <w:rsid w:val="4E645D08"/>
    <w:rsid w:val="4ECC7EDB"/>
    <w:rsid w:val="4EFA3E33"/>
    <w:rsid w:val="4F741450"/>
    <w:rsid w:val="4F8E3C5A"/>
    <w:rsid w:val="4F8E54C1"/>
    <w:rsid w:val="4F8E5B53"/>
    <w:rsid w:val="4FA47EEA"/>
    <w:rsid w:val="502F4C40"/>
    <w:rsid w:val="503825F9"/>
    <w:rsid w:val="505521CD"/>
    <w:rsid w:val="508539B7"/>
    <w:rsid w:val="50E36135"/>
    <w:rsid w:val="514900B1"/>
    <w:rsid w:val="515208AC"/>
    <w:rsid w:val="51A63CB5"/>
    <w:rsid w:val="51C16649"/>
    <w:rsid w:val="51C56629"/>
    <w:rsid w:val="52484CBE"/>
    <w:rsid w:val="52721B1B"/>
    <w:rsid w:val="529D6645"/>
    <w:rsid w:val="52B7373D"/>
    <w:rsid w:val="52D244AD"/>
    <w:rsid w:val="52D844E6"/>
    <w:rsid w:val="52DB26BC"/>
    <w:rsid w:val="52FA2008"/>
    <w:rsid w:val="5306147E"/>
    <w:rsid w:val="53072C41"/>
    <w:rsid w:val="53324972"/>
    <w:rsid w:val="53472D43"/>
    <w:rsid w:val="53526B9F"/>
    <w:rsid w:val="537E7E86"/>
    <w:rsid w:val="53CD0004"/>
    <w:rsid w:val="53E458B8"/>
    <w:rsid w:val="54275FF2"/>
    <w:rsid w:val="55073BC3"/>
    <w:rsid w:val="55081FD6"/>
    <w:rsid w:val="551A298B"/>
    <w:rsid w:val="555F21B0"/>
    <w:rsid w:val="557B10EC"/>
    <w:rsid w:val="559F7783"/>
    <w:rsid w:val="55C904F4"/>
    <w:rsid w:val="55D31C6A"/>
    <w:rsid w:val="55E036B6"/>
    <w:rsid w:val="55E17DAE"/>
    <w:rsid w:val="56226E50"/>
    <w:rsid w:val="564B3B0F"/>
    <w:rsid w:val="566F44BB"/>
    <w:rsid w:val="5677154E"/>
    <w:rsid w:val="56A81994"/>
    <w:rsid w:val="56DF6C36"/>
    <w:rsid w:val="56E01034"/>
    <w:rsid w:val="56EE4CE0"/>
    <w:rsid w:val="56FD1504"/>
    <w:rsid w:val="56FD550F"/>
    <w:rsid w:val="573A49B9"/>
    <w:rsid w:val="57446315"/>
    <w:rsid w:val="57672288"/>
    <w:rsid w:val="57777920"/>
    <w:rsid w:val="57887955"/>
    <w:rsid w:val="58435433"/>
    <w:rsid w:val="58746757"/>
    <w:rsid w:val="5885204F"/>
    <w:rsid w:val="588D6265"/>
    <w:rsid w:val="58BB08ED"/>
    <w:rsid w:val="58DA29EE"/>
    <w:rsid w:val="59043705"/>
    <w:rsid w:val="591E5B38"/>
    <w:rsid w:val="593503BB"/>
    <w:rsid w:val="594124FF"/>
    <w:rsid w:val="594B2301"/>
    <w:rsid w:val="59961C59"/>
    <w:rsid w:val="59974DE6"/>
    <w:rsid w:val="59C65771"/>
    <w:rsid w:val="59EF5E45"/>
    <w:rsid w:val="5A146C55"/>
    <w:rsid w:val="5A1E3EC9"/>
    <w:rsid w:val="5A303702"/>
    <w:rsid w:val="5A5D3036"/>
    <w:rsid w:val="5A783781"/>
    <w:rsid w:val="5A7A6B08"/>
    <w:rsid w:val="5A9C2031"/>
    <w:rsid w:val="5B1000D8"/>
    <w:rsid w:val="5B123B5B"/>
    <w:rsid w:val="5B355C5F"/>
    <w:rsid w:val="5B57B184"/>
    <w:rsid w:val="5B621759"/>
    <w:rsid w:val="5BD333AC"/>
    <w:rsid w:val="5BF30816"/>
    <w:rsid w:val="5C03285F"/>
    <w:rsid w:val="5C115F48"/>
    <w:rsid w:val="5C162652"/>
    <w:rsid w:val="5C1B042B"/>
    <w:rsid w:val="5C3D3EC6"/>
    <w:rsid w:val="5C7E7355"/>
    <w:rsid w:val="5CC93458"/>
    <w:rsid w:val="5D672430"/>
    <w:rsid w:val="5DF83818"/>
    <w:rsid w:val="5E0F3DF9"/>
    <w:rsid w:val="5E2B3502"/>
    <w:rsid w:val="5E3B00DE"/>
    <w:rsid w:val="5E567D56"/>
    <w:rsid w:val="5E5A46B1"/>
    <w:rsid w:val="5E5B259F"/>
    <w:rsid w:val="5EAE7D77"/>
    <w:rsid w:val="5EAF2F21"/>
    <w:rsid w:val="5EDC3512"/>
    <w:rsid w:val="5F33BB8B"/>
    <w:rsid w:val="5F3614B0"/>
    <w:rsid w:val="5F3C79EC"/>
    <w:rsid w:val="5FAA7CB5"/>
    <w:rsid w:val="5FC16BA1"/>
    <w:rsid w:val="5FCF0583"/>
    <w:rsid w:val="5FEF52B2"/>
    <w:rsid w:val="5FF98581"/>
    <w:rsid w:val="5FFEFAAF"/>
    <w:rsid w:val="60077C83"/>
    <w:rsid w:val="600A2A58"/>
    <w:rsid w:val="602A179C"/>
    <w:rsid w:val="603A0EE5"/>
    <w:rsid w:val="605060C1"/>
    <w:rsid w:val="605A3989"/>
    <w:rsid w:val="607436C8"/>
    <w:rsid w:val="60B50256"/>
    <w:rsid w:val="60B57EE1"/>
    <w:rsid w:val="60F3336C"/>
    <w:rsid w:val="6116361C"/>
    <w:rsid w:val="61556215"/>
    <w:rsid w:val="615A17F1"/>
    <w:rsid w:val="61883264"/>
    <w:rsid w:val="61A73A0C"/>
    <w:rsid w:val="61B5557F"/>
    <w:rsid w:val="61C12720"/>
    <w:rsid w:val="61CA776D"/>
    <w:rsid w:val="620E5FF8"/>
    <w:rsid w:val="626C2906"/>
    <w:rsid w:val="6286690E"/>
    <w:rsid w:val="628D1DDC"/>
    <w:rsid w:val="62C26C68"/>
    <w:rsid w:val="62E14864"/>
    <w:rsid w:val="62E17D7B"/>
    <w:rsid w:val="6305308B"/>
    <w:rsid w:val="637A0658"/>
    <w:rsid w:val="637F18B0"/>
    <w:rsid w:val="63A92A75"/>
    <w:rsid w:val="63E213BE"/>
    <w:rsid w:val="64374C26"/>
    <w:rsid w:val="645C449C"/>
    <w:rsid w:val="6488138E"/>
    <w:rsid w:val="64891552"/>
    <w:rsid w:val="64942F87"/>
    <w:rsid w:val="64C60513"/>
    <w:rsid w:val="64D13E75"/>
    <w:rsid w:val="64F6698C"/>
    <w:rsid w:val="654E7056"/>
    <w:rsid w:val="65673DF2"/>
    <w:rsid w:val="657C687A"/>
    <w:rsid w:val="65965811"/>
    <w:rsid w:val="65B5656A"/>
    <w:rsid w:val="65D73942"/>
    <w:rsid w:val="65DB7995"/>
    <w:rsid w:val="6621763B"/>
    <w:rsid w:val="66403BC4"/>
    <w:rsid w:val="66577AE6"/>
    <w:rsid w:val="666201D0"/>
    <w:rsid w:val="666530F7"/>
    <w:rsid w:val="66840BE0"/>
    <w:rsid w:val="66A27171"/>
    <w:rsid w:val="66A41664"/>
    <w:rsid w:val="66A67B24"/>
    <w:rsid w:val="66C664AB"/>
    <w:rsid w:val="66DF3E29"/>
    <w:rsid w:val="66DF64B9"/>
    <w:rsid w:val="66FA0527"/>
    <w:rsid w:val="67064B36"/>
    <w:rsid w:val="673F3E2C"/>
    <w:rsid w:val="67530EA0"/>
    <w:rsid w:val="676470CE"/>
    <w:rsid w:val="677683B7"/>
    <w:rsid w:val="678021DF"/>
    <w:rsid w:val="678E4F5D"/>
    <w:rsid w:val="67A02363"/>
    <w:rsid w:val="67A17048"/>
    <w:rsid w:val="67A81B24"/>
    <w:rsid w:val="67B35234"/>
    <w:rsid w:val="67C047EF"/>
    <w:rsid w:val="67C21CE4"/>
    <w:rsid w:val="67C37D5D"/>
    <w:rsid w:val="67D93482"/>
    <w:rsid w:val="67DE5B76"/>
    <w:rsid w:val="67F1512B"/>
    <w:rsid w:val="67FC34BB"/>
    <w:rsid w:val="68046AA3"/>
    <w:rsid w:val="68072D81"/>
    <w:rsid w:val="68112FCA"/>
    <w:rsid w:val="681442AE"/>
    <w:rsid w:val="681F736B"/>
    <w:rsid w:val="68334494"/>
    <w:rsid w:val="68335FDC"/>
    <w:rsid w:val="686434FE"/>
    <w:rsid w:val="68696EB1"/>
    <w:rsid w:val="68795E76"/>
    <w:rsid w:val="68A56B5F"/>
    <w:rsid w:val="68BF68A9"/>
    <w:rsid w:val="68CB7E7A"/>
    <w:rsid w:val="68D32C1E"/>
    <w:rsid w:val="68E96ECE"/>
    <w:rsid w:val="696D6A24"/>
    <w:rsid w:val="69907117"/>
    <w:rsid w:val="69D4001D"/>
    <w:rsid w:val="6A043260"/>
    <w:rsid w:val="6A131E06"/>
    <w:rsid w:val="6A2D5507"/>
    <w:rsid w:val="6A3A4C5F"/>
    <w:rsid w:val="6A4616AF"/>
    <w:rsid w:val="6A471166"/>
    <w:rsid w:val="6A62644C"/>
    <w:rsid w:val="6A711008"/>
    <w:rsid w:val="6AB748CD"/>
    <w:rsid w:val="6AD97C6D"/>
    <w:rsid w:val="6AFE275E"/>
    <w:rsid w:val="6B064B96"/>
    <w:rsid w:val="6B100FDF"/>
    <w:rsid w:val="6B204474"/>
    <w:rsid w:val="6B22293E"/>
    <w:rsid w:val="6B6961A0"/>
    <w:rsid w:val="6B900247"/>
    <w:rsid w:val="6BBC4AD4"/>
    <w:rsid w:val="6C07486C"/>
    <w:rsid w:val="6C0C17E7"/>
    <w:rsid w:val="6C1B6551"/>
    <w:rsid w:val="6C1D1A10"/>
    <w:rsid w:val="6C2E2729"/>
    <w:rsid w:val="6C5422C7"/>
    <w:rsid w:val="6C9674AB"/>
    <w:rsid w:val="6CB627B8"/>
    <w:rsid w:val="6CE15F80"/>
    <w:rsid w:val="6D1159A2"/>
    <w:rsid w:val="6D336A02"/>
    <w:rsid w:val="6D3F74CE"/>
    <w:rsid w:val="6D467160"/>
    <w:rsid w:val="6D4B0377"/>
    <w:rsid w:val="6D4F1056"/>
    <w:rsid w:val="6D605399"/>
    <w:rsid w:val="6DB84C76"/>
    <w:rsid w:val="6DCF434C"/>
    <w:rsid w:val="6DEA03C6"/>
    <w:rsid w:val="6E0D0B0F"/>
    <w:rsid w:val="6E4E5C51"/>
    <w:rsid w:val="6EC21D3B"/>
    <w:rsid w:val="6ED1430D"/>
    <w:rsid w:val="6EFF0DD8"/>
    <w:rsid w:val="6F4067B7"/>
    <w:rsid w:val="6F5B358B"/>
    <w:rsid w:val="6F877AFE"/>
    <w:rsid w:val="6F96850C"/>
    <w:rsid w:val="6FD71255"/>
    <w:rsid w:val="700F4FBB"/>
    <w:rsid w:val="70620BD3"/>
    <w:rsid w:val="707556A3"/>
    <w:rsid w:val="70891654"/>
    <w:rsid w:val="70B04F4F"/>
    <w:rsid w:val="70B8767B"/>
    <w:rsid w:val="70C8281B"/>
    <w:rsid w:val="70FF7CF9"/>
    <w:rsid w:val="711B149B"/>
    <w:rsid w:val="715700E9"/>
    <w:rsid w:val="71AA030C"/>
    <w:rsid w:val="71DB02E2"/>
    <w:rsid w:val="71DE3886"/>
    <w:rsid w:val="721647D0"/>
    <w:rsid w:val="726F3674"/>
    <w:rsid w:val="72744078"/>
    <w:rsid w:val="72796507"/>
    <w:rsid w:val="729328F8"/>
    <w:rsid w:val="72BB43B3"/>
    <w:rsid w:val="73077CAA"/>
    <w:rsid w:val="731B5CAB"/>
    <w:rsid w:val="731F2A10"/>
    <w:rsid w:val="732771E1"/>
    <w:rsid w:val="73883560"/>
    <w:rsid w:val="738A2DE8"/>
    <w:rsid w:val="73994CFD"/>
    <w:rsid w:val="73A462A3"/>
    <w:rsid w:val="73CF54FE"/>
    <w:rsid w:val="73D75975"/>
    <w:rsid w:val="740022F2"/>
    <w:rsid w:val="742669C9"/>
    <w:rsid w:val="74416441"/>
    <w:rsid w:val="747D61D5"/>
    <w:rsid w:val="7492114D"/>
    <w:rsid w:val="74C81746"/>
    <w:rsid w:val="74DC173A"/>
    <w:rsid w:val="74E91185"/>
    <w:rsid w:val="75226588"/>
    <w:rsid w:val="75273484"/>
    <w:rsid w:val="755559E0"/>
    <w:rsid w:val="758A6552"/>
    <w:rsid w:val="75A4525D"/>
    <w:rsid w:val="75B13CF6"/>
    <w:rsid w:val="75B675A3"/>
    <w:rsid w:val="75F50690"/>
    <w:rsid w:val="75F605A8"/>
    <w:rsid w:val="76387F19"/>
    <w:rsid w:val="76977D2F"/>
    <w:rsid w:val="76AA3287"/>
    <w:rsid w:val="76BE18B8"/>
    <w:rsid w:val="77395ACF"/>
    <w:rsid w:val="773B0084"/>
    <w:rsid w:val="777147D9"/>
    <w:rsid w:val="77791B39"/>
    <w:rsid w:val="777E0893"/>
    <w:rsid w:val="779C6F09"/>
    <w:rsid w:val="77E054E8"/>
    <w:rsid w:val="77ECA3E2"/>
    <w:rsid w:val="77F22A44"/>
    <w:rsid w:val="77F91C5F"/>
    <w:rsid w:val="780530EF"/>
    <w:rsid w:val="78316DBD"/>
    <w:rsid w:val="786763B3"/>
    <w:rsid w:val="78C625DB"/>
    <w:rsid w:val="78C774D6"/>
    <w:rsid w:val="78D41EBB"/>
    <w:rsid w:val="78F40B19"/>
    <w:rsid w:val="790931EB"/>
    <w:rsid w:val="7945606C"/>
    <w:rsid w:val="796D21F3"/>
    <w:rsid w:val="797A7BCD"/>
    <w:rsid w:val="79EF5E1E"/>
    <w:rsid w:val="7A1D5443"/>
    <w:rsid w:val="7A2B7977"/>
    <w:rsid w:val="7A317BB9"/>
    <w:rsid w:val="7A5B069F"/>
    <w:rsid w:val="7A5F102B"/>
    <w:rsid w:val="7A60326D"/>
    <w:rsid w:val="7A835A05"/>
    <w:rsid w:val="7AB47064"/>
    <w:rsid w:val="7AE83BB3"/>
    <w:rsid w:val="7AFC487E"/>
    <w:rsid w:val="7B306C2F"/>
    <w:rsid w:val="7BBD4F42"/>
    <w:rsid w:val="7BFB4E3F"/>
    <w:rsid w:val="7C225B08"/>
    <w:rsid w:val="7C236559"/>
    <w:rsid w:val="7C3002CC"/>
    <w:rsid w:val="7C36A8BC"/>
    <w:rsid w:val="7C455CA4"/>
    <w:rsid w:val="7C703E5B"/>
    <w:rsid w:val="7CAA2EC0"/>
    <w:rsid w:val="7CBF7C75"/>
    <w:rsid w:val="7CC0706A"/>
    <w:rsid w:val="7CD65A9A"/>
    <w:rsid w:val="7CE73AD5"/>
    <w:rsid w:val="7D1A3E96"/>
    <w:rsid w:val="7D615DB9"/>
    <w:rsid w:val="7D74289E"/>
    <w:rsid w:val="7D792FD6"/>
    <w:rsid w:val="7DA3099F"/>
    <w:rsid w:val="7DAE64D9"/>
    <w:rsid w:val="7DF696FE"/>
    <w:rsid w:val="7DFF7D24"/>
    <w:rsid w:val="7E367BC1"/>
    <w:rsid w:val="7E7D2889"/>
    <w:rsid w:val="7EA74C91"/>
    <w:rsid w:val="7EA77352"/>
    <w:rsid w:val="7EEF521D"/>
    <w:rsid w:val="7EEF9A6F"/>
    <w:rsid w:val="7F1B2861"/>
    <w:rsid w:val="7F22122D"/>
    <w:rsid w:val="7F2A517E"/>
    <w:rsid w:val="7F364F61"/>
    <w:rsid w:val="7F663A76"/>
    <w:rsid w:val="7F693A59"/>
    <w:rsid w:val="7F7B3B0F"/>
    <w:rsid w:val="7F97E66E"/>
    <w:rsid w:val="7F9F58D6"/>
    <w:rsid w:val="7FBF6A29"/>
    <w:rsid w:val="7FE1E17D"/>
    <w:rsid w:val="7FEC023B"/>
    <w:rsid w:val="7FEDD3E5"/>
    <w:rsid w:val="7FEF72DB"/>
    <w:rsid w:val="7FEFCC8E"/>
    <w:rsid w:val="7FFB9E3D"/>
    <w:rsid w:val="7FFDF2EF"/>
    <w:rsid w:val="7FFF334A"/>
    <w:rsid w:val="7FFF6D3E"/>
    <w:rsid w:val="8FD14F4A"/>
    <w:rsid w:val="9BDD6B49"/>
    <w:rsid w:val="A8DF0A62"/>
    <w:rsid w:val="A93FE687"/>
    <w:rsid w:val="B7FD8F24"/>
    <w:rsid w:val="BCCF6467"/>
    <w:rsid w:val="BCD71ABC"/>
    <w:rsid w:val="BDFD82AF"/>
    <w:rsid w:val="BEADB718"/>
    <w:rsid w:val="BFEE48A2"/>
    <w:rsid w:val="C1FEFFBC"/>
    <w:rsid w:val="CDFE2331"/>
    <w:rsid w:val="D36DDD4D"/>
    <w:rsid w:val="D5BF61B5"/>
    <w:rsid w:val="DDEE9081"/>
    <w:rsid w:val="DED62258"/>
    <w:rsid w:val="DEF34F3F"/>
    <w:rsid w:val="DFAE3685"/>
    <w:rsid w:val="DFF9F571"/>
    <w:rsid w:val="E3CF9AA0"/>
    <w:rsid w:val="E7BBC4E0"/>
    <w:rsid w:val="E7FB6575"/>
    <w:rsid w:val="EDFFA6DC"/>
    <w:rsid w:val="EFCBC318"/>
    <w:rsid w:val="EFDF28BA"/>
    <w:rsid w:val="EFFC1D3A"/>
    <w:rsid w:val="F1FFD28A"/>
    <w:rsid w:val="F777C8DF"/>
    <w:rsid w:val="FAE49CD5"/>
    <w:rsid w:val="FBAA3E8B"/>
    <w:rsid w:val="FBCFA242"/>
    <w:rsid w:val="FDF9852D"/>
    <w:rsid w:val="FEBF37AF"/>
    <w:rsid w:val="FFA70237"/>
    <w:rsid w:val="FFF64952"/>
    <w:rsid w:val="FFF6FAC1"/>
    <w:rsid w:val="FFFF9C5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49"/>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50"/>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52"/>
    <w:qFormat/>
    <w:uiPriority w:val="0"/>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3">
    <w:name w:val="heading 4"/>
    <w:basedOn w:val="1"/>
    <w:next w:val="1"/>
    <w:link w:val="53"/>
    <w:qFormat/>
    <w:uiPriority w:val="0"/>
    <w:pPr>
      <w:keepNext/>
      <w:outlineLvl w:val="3"/>
    </w:pPr>
    <w:rPr>
      <w:sz w:val="28"/>
      <w:szCs w:val="20"/>
    </w:rPr>
  </w:style>
  <w:style w:type="paragraph" w:styleId="7">
    <w:name w:val="heading 5"/>
    <w:basedOn w:val="1"/>
    <w:next w:val="1"/>
    <w:link w:val="54"/>
    <w:qFormat/>
    <w:uiPriority w:val="0"/>
    <w:pPr>
      <w:keepNext/>
      <w:keepLines/>
      <w:spacing w:before="280" w:after="290" w:line="376" w:lineRule="auto"/>
      <w:outlineLvl w:val="4"/>
    </w:pPr>
    <w:rPr>
      <w:b/>
      <w:bCs/>
      <w:sz w:val="28"/>
      <w:szCs w:val="28"/>
    </w:rPr>
  </w:style>
  <w:style w:type="paragraph" w:styleId="8">
    <w:name w:val="heading 6"/>
    <w:basedOn w:val="1"/>
    <w:next w:val="1"/>
    <w:link w:val="55"/>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1"/>
    <w:link w:val="56"/>
    <w:qFormat/>
    <w:uiPriority w:val="0"/>
    <w:pPr>
      <w:keepNext/>
      <w:keepLines/>
      <w:spacing w:before="240" w:after="64" w:line="320" w:lineRule="auto"/>
      <w:outlineLvl w:val="6"/>
    </w:pPr>
    <w:rPr>
      <w:b/>
      <w:bCs/>
      <w:sz w:val="24"/>
    </w:rPr>
  </w:style>
  <w:style w:type="paragraph" w:styleId="10">
    <w:name w:val="heading 8"/>
    <w:basedOn w:val="1"/>
    <w:next w:val="1"/>
    <w:link w:val="57"/>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link w:val="58"/>
    <w:qFormat/>
    <w:uiPriority w:val="0"/>
    <w:pPr>
      <w:keepNext/>
      <w:keepLines/>
      <w:spacing w:before="240" w:after="64" w:line="320" w:lineRule="auto"/>
      <w:outlineLvl w:val="8"/>
    </w:pPr>
    <w:rPr>
      <w:rFonts w:ascii="Arial" w:hAnsi="Arial" w:eastAsia="黑体"/>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63"/>
    <w:qFormat/>
    <w:uiPriority w:val="99"/>
    <w:rPr>
      <w:sz w:val="28"/>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Normal Indent"/>
    <w:basedOn w:val="1"/>
    <w:link w:val="51"/>
    <w:qFormat/>
    <w:uiPriority w:val="0"/>
    <w:pPr>
      <w:autoSpaceDE w:val="0"/>
      <w:autoSpaceDN w:val="0"/>
      <w:adjustRightInd w:val="0"/>
      <w:spacing w:line="315" w:lineRule="atLeast"/>
      <w:ind w:firstLine="420"/>
      <w:jc w:val="left"/>
    </w:pPr>
    <w:rPr>
      <w:rFonts w:ascii="KaiTi_GB2312" w:eastAsia="KaiTi_GB2312"/>
      <w:kern w:val="0"/>
      <w:sz w:val="28"/>
      <w:szCs w:val="20"/>
    </w:rPr>
  </w:style>
  <w:style w:type="paragraph" w:styleId="14">
    <w:name w:val="Document Map"/>
    <w:basedOn w:val="1"/>
    <w:link w:val="61"/>
    <w:semiHidden/>
    <w:qFormat/>
    <w:uiPriority w:val="0"/>
    <w:rPr>
      <w:rFonts w:ascii="宋体"/>
      <w:sz w:val="18"/>
      <w:szCs w:val="18"/>
    </w:rPr>
  </w:style>
  <w:style w:type="paragraph" w:styleId="15">
    <w:name w:val="annotation text"/>
    <w:basedOn w:val="1"/>
    <w:link w:val="59"/>
    <w:unhideWhenUsed/>
    <w:qFormat/>
    <w:uiPriority w:val="99"/>
    <w:pPr>
      <w:jc w:val="left"/>
    </w:pPr>
  </w:style>
  <w:style w:type="paragraph" w:styleId="16">
    <w:name w:val="Body Text 3"/>
    <w:basedOn w:val="1"/>
    <w:link w:val="62"/>
    <w:unhideWhenUsed/>
    <w:qFormat/>
    <w:uiPriority w:val="99"/>
    <w:pPr>
      <w:spacing w:after="120"/>
    </w:pPr>
    <w:rPr>
      <w:sz w:val="16"/>
      <w:szCs w:val="16"/>
    </w:rPr>
  </w:style>
  <w:style w:type="paragraph" w:styleId="17">
    <w:name w:val="Body Text Indent"/>
    <w:basedOn w:val="1"/>
    <w:link w:val="64"/>
    <w:qFormat/>
    <w:uiPriority w:val="0"/>
    <w:pPr>
      <w:autoSpaceDE w:val="0"/>
      <w:autoSpaceDN w:val="0"/>
      <w:adjustRightInd w:val="0"/>
      <w:spacing w:after="120" w:line="360" w:lineRule="atLeast"/>
      <w:ind w:left="900"/>
    </w:pPr>
    <w:rPr>
      <w:rFonts w:ascii="KaiTi_GB2312" w:eastAsia="KaiTi_GB2312"/>
      <w:kern w:val="0"/>
      <w:sz w:val="28"/>
      <w:szCs w:val="20"/>
    </w:rPr>
  </w:style>
  <w:style w:type="paragraph" w:styleId="18">
    <w:name w:val="List 2"/>
    <w:basedOn w:val="1"/>
    <w:qFormat/>
    <w:uiPriority w:val="0"/>
    <w:pPr>
      <w:ind w:left="100" w:leftChars="200" w:hanging="200" w:hangingChars="200"/>
    </w:p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napToGrid w:val="0"/>
      <w:spacing w:line="440" w:lineRule="exact"/>
      <w:ind w:left="442"/>
      <w:jc w:val="left"/>
    </w:pPr>
    <w:rPr>
      <w:rFonts w:asciiTheme="minorHAnsi" w:hAnsiTheme="minorHAnsi" w:cstheme="minorBidi"/>
      <w:kern w:val="0"/>
      <w:szCs w:val="22"/>
    </w:rPr>
  </w:style>
  <w:style w:type="paragraph" w:styleId="21">
    <w:name w:val="Plain Text"/>
    <w:basedOn w:val="1"/>
    <w:link w:val="65"/>
    <w:qFormat/>
    <w:uiPriority w:val="0"/>
    <w:rPr>
      <w:rFonts w:ascii="宋体" w:hAnsi="Courier New"/>
      <w:szCs w:val="20"/>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6"/>
    <w:qFormat/>
    <w:uiPriority w:val="0"/>
    <w:pPr>
      <w:ind w:left="100" w:leftChars="2500"/>
    </w:pPr>
    <w:rPr>
      <w:szCs w:val="20"/>
    </w:rPr>
  </w:style>
  <w:style w:type="paragraph" w:styleId="24">
    <w:name w:val="Body Text Indent 2"/>
    <w:basedOn w:val="1"/>
    <w:link w:val="67"/>
    <w:qFormat/>
    <w:uiPriority w:val="0"/>
    <w:pPr>
      <w:spacing w:line="480" w:lineRule="auto"/>
      <w:ind w:firstLine="480" w:firstLineChars="200"/>
    </w:pPr>
    <w:rPr>
      <w:rFonts w:ascii="FangSong_GB2312" w:hAnsi="宋体" w:eastAsia="FangSong_GB2312"/>
      <w:sz w:val="24"/>
    </w:rPr>
  </w:style>
  <w:style w:type="paragraph" w:styleId="25">
    <w:name w:val="Balloon Text"/>
    <w:basedOn w:val="1"/>
    <w:link w:val="68"/>
    <w:unhideWhenUsed/>
    <w:qFormat/>
    <w:uiPriority w:val="0"/>
    <w:rPr>
      <w:sz w:val="18"/>
      <w:szCs w:val="18"/>
    </w:rPr>
  </w:style>
  <w:style w:type="paragraph" w:styleId="26">
    <w:name w:val="footer"/>
    <w:basedOn w:val="1"/>
    <w:link w:val="69"/>
    <w:unhideWhenUsed/>
    <w:qFormat/>
    <w:uiPriority w:val="0"/>
    <w:pPr>
      <w:tabs>
        <w:tab w:val="center" w:pos="4153"/>
        <w:tab w:val="right" w:pos="8306"/>
      </w:tabs>
      <w:snapToGrid w:val="0"/>
      <w:jc w:val="left"/>
    </w:pPr>
    <w:rPr>
      <w:sz w:val="18"/>
      <w:szCs w:val="18"/>
    </w:rPr>
  </w:style>
  <w:style w:type="paragraph" w:styleId="27">
    <w:name w:val="header"/>
    <w:basedOn w:val="1"/>
    <w:link w:val="70"/>
    <w:unhideWhenUsed/>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left" w:pos="567"/>
        <w:tab w:val="left" w:pos="709"/>
        <w:tab w:val="right" w:leader="dot" w:pos="8505"/>
      </w:tabs>
      <w:snapToGrid w:val="0"/>
      <w:spacing w:line="440" w:lineRule="exact"/>
      <w:jc w:val="left"/>
    </w:pPr>
    <w:rPr>
      <w:rFonts w:ascii="宋体" w:hAnsi="宋体"/>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index heading"/>
    <w:basedOn w:val="1"/>
    <w:next w:val="31"/>
    <w:qFormat/>
    <w:uiPriority w:val="0"/>
    <w:rPr>
      <w:szCs w:val="20"/>
    </w:rPr>
  </w:style>
  <w:style w:type="paragraph" w:styleId="31">
    <w:name w:val="index 1"/>
    <w:basedOn w:val="1"/>
    <w:next w:val="1"/>
    <w:qFormat/>
    <w:uiPriority w:val="0"/>
  </w:style>
  <w:style w:type="paragraph" w:styleId="32">
    <w:name w:val="Subtitle"/>
    <w:basedOn w:val="1"/>
    <w:next w:val="1"/>
    <w:link w:val="71"/>
    <w:qFormat/>
    <w:uiPriority w:val="0"/>
    <w:pPr>
      <w:spacing w:before="240" w:after="60" w:line="312" w:lineRule="auto"/>
      <w:jc w:val="center"/>
      <w:outlineLvl w:val="1"/>
    </w:pPr>
    <w:rPr>
      <w:rFonts w:ascii="Cambria" w:hAnsi="Cambria" w:cs="黑体"/>
      <w:b/>
      <w:bCs/>
      <w:kern w:val="28"/>
      <w:sz w:val="32"/>
      <w:szCs w:val="32"/>
    </w:rPr>
  </w:style>
  <w:style w:type="paragraph" w:styleId="33">
    <w:name w:val="toc 6"/>
    <w:basedOn w:val="1"/>
    <w:next w:val="1"/>
    <w:unhideWhenUsed/>
    <w:qFormat/>
    <w:uiPriority w:val="39"/>
    <w:pPr>
      <w:ind w:left="2100" w:leftChars="1000"/>
    </w:pPr>
    <w:rPr>
      <w:rFonts w:ascii="Calibri" w:hAnsi="Calibri"/>
      <w:szCs w:val="22"/>
    </w:rPr>
  </w:style>
  <w:style w:type="paragraph" w:styleId="34">
    <w:name w:val="Body Text Indent 3"/>
    <w:basedOn w:val="1"/>
    <w:link w:val="72"/>
    <w:qFormat/>
    <w:uiPriority w:val="0"/>
    <w:pPr>
      <w:spacing w:after="120" w:line="360" w:lineRule="atLeast"/>
      <w:ind w:firstLine="720" w:firstLineChars="300"/>
    </w:pPr>
    <w:rPr>
      <w:sz w:val="24"/>
      <w:szCs w:val="20"/>
    </w:rPr>
  </w:style>
  <w:style w:type="paragraph" w:styleId="35">
    <w:name w:val="toc 2"/>
    <w:basedOn w:val="1"/>
    <w:next w:val="1"/>
    <w:qFormat/>
    <w:uiPriority w:val="39"/>
    <w:pPr>
      <w:tabs>
        <w:tab w:val="left" w:pos="567"/>
        <w:tab w:val="right" w:leader="dot" w:pos="8505"/>
        <w:tab w:val="right" w:leader="dot" w:pos="9628"/>
      </w:tabs>
      <w:spacing w:line="440" w:lineRule="exact"/>
    </w:pPr>
  </w:style>
  <w:style w:type="paragraph" w:styleId="36">
    <w:name w:val="toc 9"/>
    <w:basedOn w:val="1"/>
    <w:next w:val="1"/>
    <w:unhideWhenUsed/>
    <w:qFormat/>
    <w:uiPriority w:val="39"/>
    <w:pPr>
      <w:ind w:left="3360" w:leftChars="1600"/>
    </w:pPr>
    <w:rPr>
      <w:rFonts w:ascii="Calibri" w:hAnsi="Calibri"/>
      <w:szCs w:val="22"/>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Title"/>
    <w:basedOn w:val="1"/>
    <w:next w:val="1"/>
    <w:link w:val="73"/>
    <w:qFormat/>
    <w:uiPriority w:val="0"/>
    <w:pPr>
      <w:spacing w:before="240" w:after="60"/>
      <w:jc w:val="center"/>
      <w:outlineLvl w:val="0"/>
    </w:pPr>
    <w:rPr>
      <w:rFonts w:ascii="Cambria" w:hAnsi="Cambria"/>
      <w:b/>
      <w:bCs/>
      <w:sz w:val="32"/>
      <w:szCs w:val="32"/>
    </w:rPr>
  </w:style>
  <w:style w:type="paragraph" w:styleId="39">
    <w:name w:val="annotation subject"/>
    <w:basedOn w:val="15"/>
    <w:next w:val="15"/>
    <w:link w:val="60"/>
    <w:semiHidden/>
    <w:qFormat/>
    <w:uiPriority w:val="0"/>
    <w:rPr>
      <w:b/>
      <w:bCs/>
      <w:szCs w:val="20"/>
    </w:rPr>
  </w:style>
  <w:style w:type="paragraph" w:styleId="40">
    <w:name w:val="Body Text First Indent"/>
    <w:basedOn w:val="2"/>
    <w:qFormat/>
    <w:uiPriority w:val="0"/>
    <w:pPr>
      <w:ind w:firstLine="420" w:firstLineChars="100"/>
    </w:pPr>
  </w:style>
  <w:style w:type="table" w:styleId="42">
    <w:name w:val="Table Grid"/>
    <w:basedOn w:val="4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basedOn w:val="43"/>
    <w:qFormat/>
    <w:uiPriority w:val="22"/>
    <w:rPr>
      <w:b/>
    </w:rPr>
  </w:style>
  <w:style w:type="character" w:styleId="45">
    <w:name w:val="page number"/>
    <w:basedOn w:val="43"/>
    <w:qFormat/>
    <w:uiPriority w:val="0"/>
  </w:style>
  <w:style w:type="character" w:styleId="46">
    <w:name w:val="FollowedHyperlink"/>
    <w:qFormat/>
    <w:uiPriority w:val="0"/>
    <w:rPr>
      <w:color w:val="800080"/>
      <w:u w:val="single"/>
    </w:rPr>
  </w:style>
  <w:style w:type="character" w:styleId="47">
    <w:name w:val="Hyperlink"/>
    <w:qFormat/>
    <w:uiPriority w:val="99"/>
    <w:rPr>
      <w:color w:val="0000FF"/>
      <w:u w:val="single"/>
    </w:rPr>
  </w:style>
  <w:style w:type="character" w:styleId="48">
    <w:name w:val="annotation reference"/>
    <w:qFormat/>
    <w:uiPriority w:val="0"/>
    <w:rPr>
      <w:sz w:val="21"/>
      <w:szCs w:val="21"/>
    </w:rPr>
  </w:style>
  <w:style w:type="character" w:customStyle="1" w:styleId="49">
    <w:name w:val="标题 1 字符"/>
    <w:basedOn w:val="43"/>
    <w:link w:val="4"/>
    <w:qFormat/>
    <w:uiPriority w:val="0"/>
    <w:rPr>
      <w:rFonts w:ascii="Times New Roman" w:hAnsi="Times New Roman" w:eastAsia="宋体" w:cs="Times New Roman"/>
      <w:b/>
      <w:bCs/>
      <w:kern w:val="44"/>
      <w:sz w:val="44"/>
      <w:szCs w:val="44"/>
    </w:rPr>
  </w:style>
  <w:style w:type="character" w:customStyle="1" w:styleId="50">
    <w:name w:val="标题 2 字符"/>
    <w:basedOn w:val="43"/>
    <w:link w:val="5"/>
    <w:qFormat/>
    <w:uiPriority w:val="0"/>
    <w:rPr>
      <w:rFonts w:ascii="Arial" w:hAnsi="Arial" w:eastAsia="黑体"/>
      <w:b/>
      <w:bCs/>
      <w:kern w:val="2"/>
      <w:sz w:val="32"/>
      <w:szCs w:val="32"/>
    </w:rPr>
  </w:style>
  <w:style w:type="character" w:customStyle="1" w:styleId="51">
    <w:name w:val="正文缩进 字符"/>
    <w:link w:val="13"/>
    <w:qFormat/>
    <w:uiPriority w:val="0"/>
    <w:rPr>
      <w:rFonts w:ascii="KaiTi_GB2312" w:eastAsia="KaiTi_GB2312"/>
      <w:sz w:val="28"/>
    </w:rPr>
  </w:style>
  <w:style w:type="character" w:customStyle="1" w:styleId="52">
    <w:name w:val="标题 3 字符"/>
    <w:basedOn w:val="43"/>
    <w:link w:val="6"/>
    <w:qFormat/>
    <w:uiPriority w:val="0"/>
    <w:rPr>
      <w:rFonts w:ascii="黑体" w:eastAsia="黑体"/>
      <w:sz w:val="28"/>
    </w:rPr>
  </w:style>
  <w:style w:type="character" w:customStyle="1" w:styleId="53">
    <w:name w:val="标题 4 字符"/>
    <w:basedOn w:val="43"/>
    <w:link w:val="3"/>
    <w:qFormat/>
    <w:uiPriority w:val="0"/>
    <w:rPr>
      <w:rFonts w:ascii="Times New Roman" w:hAnsi="Times New Roman" w:eastAsia="宋体" w:cs="Times New Roman"/>
      <w:sz w:val="28"/>
      <w:szCs w:val="20"/>
    </w:rPr>
  </w:style>
  <w:style w:type="character" w:customStyle="1" w:styleId="54">
    <w:name w:val="标题 5 字符"/>
    <w:basedOn w:val="43"/>
    <w:link w:val="7"/>
    <w:qFormat/>
    <w:uiPriority w:val="0"/>
    <w:rPr>
      <w:rFonts w:ascii="Times New Roman" w:hAnsi="Times New Roman" w:eastAsia="宋体" w:cs="Times New Roman"/>
      <w:b/>
      <w:bCs/>
      <w:sz w:val="28"/>
      <w:szCs w:val="28"/>
    </w:rPr>
  </w:style>
  <w:style w:type="character" w:customStyle="1" w:styleId="55">
    <w:name w:val="标题 6 字符"/>
    <w:basedOn w:val="43"/>
    <w:link w:val="8"/>
    <w:qFormat/>
    <w:uiPriority w:val="0"/>
    <w:rPr>
      <w:rFonts w:ascii="Arial" w:hAnsi="Arial" w:eastAsia="黑体" w:cs="Times New Roman"/>
      <w:b/>
      <w:bCs/>
      <w:sz w:val="24"/>
      <w:szCs w:val="24"/>
    </w:rPr>
  </w:style>
  <w:style w:type="character" w:customStyle="1" w:styleId="56">
    <w:name w:val="标题 7 字符"/>
    <w:basedOn w:val="43"/>
    <w:link w:val="9"/>
    <w:qFormat/>
    <w:uiPriority w:val="0"/>
    <w:rPr>
      <w:rFonts w:ascii="Times New Roman" w:hAnsi="Times New Roman" w:eastAsia="宋体" w:cs="Times New Roman"/>
      <w:b/>
      <w:bCs/>
      <w:sz w:val="24"/>
      <w:szCs w:val="24"/>
    </w:rPr>
  </w:style>
  <w:style w:type="character" w:customStyle="1" w:styleId="57">
    <w:name w:val="标题 8 字符"/>
    <w:basedOn w:val="43"/>
    <w:link w:val="10"/>
    <w:qFormat/>
    <w:uiPriority w:val="0"/>
    <w:rPr>
      <w:rFonts w:ascii="Arial" w:hAnsi="Arial" w:eastAsia="黑体" w:cs="Times New Roman"/>
      <w:sz w:val="24"/>
      <w:szCs w:val="24"/>
    </w:rPr>
  </w:style>
  <w:style w:type="character" w:customStyle="1" w:styleId="58">
    <w:name w:val="标题 9 字符"/>
    <w:basedOn w:val="43"/>
    <w:link w:val="11"/>
    <w:qFormat/>
    <w:uiPriority w:val="0"/>
    <w:rPr>
      <w:rFonts w:ascii="Arial" w:hAnsi="Arial" w:eastAsia="黑体" w:cs="Times New Roman"/>
      <w:szCs w:val="21"/>
    </w:rPr>
  </w:style>
  <w:style w:type="character" w:customStyle="1" w:styleId="59">
    <w:name w:val="批注文字 字符"/>
    <w:basedOn w:val="43"/>
    <w:link w:val="15"/>
    <w:qFormat/>
    <w:uiPriority w:val="99"/>
    <w:rPr>
      <w:rFonts w:ascii="Times New Roman" w:hAnsi="Times New Roman" w:eastAsia="宋体" w:cs="Times New Roman"/>
      <w:szCs w:val="24"/>
    </w:rPr>
  </w:style>
  <w:style w:type="character" w:customStyle="1" w:styleId="60">
    <w:name w:val="批注主题 字符"/>
    <w:basedOn w:val="59"/>
    <w:link w:val="39"/>
    <w:semiHidden/>
    <w:qFormat/>
    <w:uiPriority w:val="0"/>
    <w:rPr>
      <w:rFonts w:ascii="Times New Roman" w:hAnsi="Times New Roman" w:eastAsia="宋体" w:cs="Times New Roman"/>
      <w:b/>
      <w:bCs/>
      <w:szCs w:val="20"/>
    </w:rPr>
  </w:style>
  <w:style w:type="character" w:customStyle="1" w:styleId="61">
    <w:name w:val="文档结构图 字符"/>
    <w:basedOn w:val="43"/>
    <w:link w:val="14"/>
    <w:semiHidden/>
    <w:qFormat/>
    <w:uiPriority w:val="0"/>
    <w:rPr>
      <w:rFonts w:ascii="宋体" w:hAnsi="Times New Roman" w:eastAsia="宋体" w:cs="Times New Roman"/>
      <w:sz w:val="18"/>
      <w:szCs w:val="18"/>
    </w:rPr>
  </w:style>
  <w:style w:type="character" w:customStyle="1" w:styleId="62">
    <w:name w:val="正文文本 3 字符"/>
    <w:basedOn w:val="43"/>
    <w:link w:val="16"/>
    <w:semiHidden/>
    <w:qFormat/>
    <w:uiPriority w:val="99"/>
    <w:rPr>
      <w:rFonts w:ascii="Times New Roman" w:hAnsi="Times New Roman" w:eastAsia="宋体" w:cs="Times New Roman"/>
      <w:sz w:val="16"/>
      <w:szCs w:val="16"/>
    </w:rPr>
  </w:style>
  <w:style w:type="character" w:customStyle="1" w:styleId="63">
    <w:name w:val="正文文本 字符"/>
    <w:basedOn w:val="43"/>
    <w:link w:val="2"/>
    <w:qFormat/>
    <w:uiPriority w:val="0"/>
    <w:rPr>
      <w:rFonts w:ascii="Times New Roman" w:hAnsi="Times New Roman" w:eastAsia="宋体" w:cs="Times New Roman"/>
      <w:sz w:val="28"/>
      <w:szCs w:val="20"/>
    </w:rPr>
  </w:style>
  <w:style w:type="character" w:customStyle="1" w:styleId="64">
    <w:name w:val="正文文本缩进 字符"/>
    <w:basedOn w:val="43"/>
    <w:link w:val="17"/>
    <w:qFormat/>
    <w:uiPriority w:val="0"/>
    <w:rPr>
      <w:rFonts w:ascii="KaiTi_GB2312" w:hAnsi="Times New Roman" w:eastAsia="KaiTi_GB2312" w:cs="Times New Roman"/>
      <w:kern w:val="0"/>
      <w:sz w:val="28"/>
      <w:szCs w:val="20"/>
    </w:rPr>
  </w:style>
  <w:style w:type="character" w:customStyle="1" w:styleId="65">
    <w:name w:val="纯文本 字符"/>
    <w:basedOn w:val="43"/>
    <w:link w:val="21"/>
    <w:qFormat/>
    <w:uiPriority w:val="0"/>
    <w:rPr>
      <w:rFonts w:ascii="宋体" w:hAnsi="Courier New" w:eastAsia="宋体" w:cs="Times New Roman"/>
      <w:szCs w:val="20"/>
    </w:rPr>
  </w:style>
  <w:style w:type="character" w:customStyle="1" w:styleId="66">
    <w:name w:val="日期 字符"/>
    <w:basedOn w:val="43"/>
    <w:link w:val="23"/>
    <w:qFormat/>
    <w:uiPriority w:val="0"/>
    <w:rPr>
      <w:rFonts w:ascii="Times New Roman" w:hAnsi="Times New Roman" w:eastAsia="宋体" w:cs="Times New Roman"/>
      <w:szCs w:val="20"/>
    </w:rPr>
  </w:style>
  <w:style w:type="character" w:customStyle="1" w:styleId="67">
    <w:name w:val="正文文本缩进 2 字符"/>
    <w:basedOn w:val="43"/>
    <w:link w:val="24"/>
    <w:qFormat/>
    <w:uiPriority w:val="0"/>
    <w:rPr>
      <w:rFonts w:ascii="FangSong_GB2312" w:hAnsi="宋体" w:eastAsia="FangSong_GB2312" w:cs="Times New Roman"/>
      <w:sz w:val="24"/>
      <w:szCs w:val="24"/>
    </w:rPr>
  </w:style>
  <w:style w:type="character" w:customStyle="1" w:styleId="68">
    <w:name w:val="批注框文本 字符"/>
    <w:basedOn w:val="43"/>
    <w:link w:val="25"/>
    <w:semiHidden/>
    <w:qFormat/>
    <w:uiPriority w:val="0"/>
    <w:rPr>
      <w:rFonts w:ascii="Times New Roman" w:hAnsi="Times New Roman" w:eastAsia="宋体" w:cs="Times New Roman"/>
      <w:sz w:val="18"/>
      <w:szCs w:val="18"/>
    </w:rPr>
  </w:style>
  <w:style w:type="character" w:customStyle="1" w:styleId="69">
    <w:name w:val="页脚 字符"/>
    <w:basedOn w:val="43"/>
    <w:link w:val="26"/>
    <w:qFormat/>
    <w:uiPriority w:val="0"/>
    <w:rPr>
      <w:rFonts w:ascii="Times New Roman" w:hAnsi="Times New Roman" w:eastAsia="宋体" w:cs="Times New Roman"/>
      <w:sz w:val="18"/>
      <w:szCs w:val="18"/>
    </w:rPr>
  </w:style>
  <w:style w:type="character" w:customStyle="1" w:styleId="70">
    <w:name w:val="页眉 字符"/>
    <w:basedOn w:val="43"/>
    <w:link w:val="27"/>
    <w:qFormat/>
    <w:uiPriority w:val="0"/>
    <w:rPr>
      <w:rFonts w:ascii="Times New Roman" w:hAnsi="Times New Roman" w:eastAsia="宋体" w:cs="Times New Roman"/>
      <w:sz w:val="18"/>
      <w:szCs w:val="18"/>
    </w:rPr>
  </w:style>
  <w:style w:type="character" w:customStyle="1" w:styleId="71">
    <w:name w:val="副标题 字符"/>
    <w:basedOn w:val="43"/>
    <w:link w:val="32"/>
    <w:qFormat/>
    <w:uiPriority w:val="0"/>
    <w:rPr>
      <w:rFonts w:ascii="Cambria" w:hAnsi="Cambria" w:eastAsia="宋体" w:cs="黑体"/>
      <w:b/>
      <w:bCs/>
      <w:kern w:val="28"/>
      <w:sz w:val="32"/>
      <w:szCs w:val="32"/>
    </w:rPr>
  </w:style>
  <w:style w:type="character" w:customStyle="1" w:styleId="72">
    <w:name w:val="正文文本缩进 3 字符"/>
    <w:basedOn w:val="43"/>
    <w:link w:val="34"/>
    <w:qFormat/>
    <w:uiPriority w:val="0"/>
    <w:rPr>
      <w:rFonts w:ascii="Times New Roman" w:hAnsi="Times New Roman" w:eastAsia="宋体" w:cs="Times New Roman"/>
      <w:sz w:val="24"/>
      <w:szCs w:val="20"/>
    </w:rPr>
  </w:style>
  <w:style w:type="character" w:customStyle="1" w:styleId="73">
    <w:name w:val="标题 字符"/>
    <w:basedOn w:val="43"/>
    <w:link w:val="38"/>
    <w:qFormat/>
    <w:uiPriority w:val="0"/>
    <w:rPr>
      <w:rFonts w:ascii="Cambria" w:hAnsi="Cambria" w:eastAsia="宋体" w:cs="Times New Roman"/>
      <w:b/>
      <w:bCs/>
      <w:sz w:val="32"/>
      <w:szCs w:val="32"/>
    </w:rPr>
  </w:style>
  <w:style w:type="paragraph" w:customStyle="1" w:styleId="74">
    <w:name w:val="bt1bt1"/>
    <w:basedOn w:val="4"/>
    <w:qFormat/>
    <w:uiPriority w:val="0"/>
    <w:pPr>
      <w:spacing w:line="240" w:lineRule="auto"/>
      <w:jc w:val="center"/>
    </w:pPr>
    <w:rPr>
      <w:rFonts w:ascii="黑体" w:eastAsia="黑体"/>
      <w:b w:val="0"/>
      <w:sz w:val="36"/>
      <w:szCs w:val="36"/>
    </w:rPr>
  </w:style>
  <w:style w:type="paragraph" w:customStyle="1" w:styleId="75">
    <w:name w:val="列出段落1"/>
    <w:basedOn w:val="1"/>
    <w:link w:val="76"/>
    <w:unhideWhenUsed/>
    <w:qFormat/>
    <w:uiPriority w:val="0"/>
    <w:pPr>
      <w:ind w:firstLine="420" w:firstLineChars="200"/>
    </w:pPr>
  </w:style>
  <w:style w:type="character" w:customStyle="1" w:styleId="76">
    <w:name w:val="列表段落 字符"/>
    <w:link w:val="75"/>
    <w:qFormat/>
    <w:uiPriority w:val="0"/>
    <w:rPr>
      <w:rFonts w:ascii="Times New Roman" w:hAnsi="Times New Roman" w:eastAsia="宋体" w:cs="Times New Roman"/>
      <w:szCs w:val="24"/>
    </w:rPr>
  </w:style>
  <w:style w:type="paragraph" w:customStyle="1" w:styleId="77">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78">
    <w:name w:val="TOC 标题11"/>
    <w:basedOn w:val="4"/>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79">
    <w:name w:val="_Style 36"/>
    <w:basedOn w:val="1"/>
    <w:qFormat/>
    <w:uiPriority w:val="34"/>
    <w:pPr>
      <w:ind w:firstLine="420" w:firstLineChars="200"/>
    </w:pPr>
    <w:rPr>
      <w:szCs w:val="20"/>
    </w:rPr>
  </w:style>
  <w:style w:type="paragraph" w:customStyle="1" w:styleId="80">
    <w:name w:val="Char Char Char Char Char Char Char Char Char Char Char Char Char"/>
    <w:basedOn w:val="14"/>
    <w:qFormat/>
    <w:uiPriority w:val="0"/>
    <w:pPr>
      <w:shd w:val="clear" w:color="auto" w:fill="000080"/>
    </w:pPr>
    <w:rPr>
      <w:rFonts w:ascii="Tahoma" w:hAnsi="Tahoma"/>
      <w:sz w:val="24"/>
      <w:szCs w:val="24"/>
    </w:rPr>
  </w:style>
  <w:style w:type="paragraph" w:customStyle="1" w:styleId="81">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82">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83">
    <w:name w:val="新定义正文"/>
    <w:basedOn w:val="1"/>
    <w:qFormat/>
    <w:uiPriority w:val="0"/>
    <w:pPr>
      <w:widowControl/>
    </w:pPr>
    <w:rPr>
      <w:color w:val="000000"/>
      <w:szCs w:val="21"/>
    </w:rPr>
  </w:style>
  <w:style w:type="paragraph" w:customStyle="1" w:styleId="84">
    <w:name w:val="节"/>
    <w:basedOn w:val="5"/>
    <w:qFormat/>
    <w:uiPriority w:val="0"/>
    <w:pPr>
      <w:tabs>
        <w:tab w:val="left" w:pos="432"/>
        <w:tab w:val="left" w:pos="576"/>
      </w:tabs>
      <w:spacing w:line="240" w:lineRule="auto"/>
    </w:pPr>
    <w:rPr>
      <w:rFonts w:ascii="黑体"/>
      <w:b w:val="0"/>
      <w:sz w:val="28"/>
      <w:szCs w:val="28"/>
    </w:rPr>
  </w:style>
  <w:style w:type="paragraph" w:customStyle="1" w:styleId="85">
    <w:name w:val="TOC 标题2"/>
    <w:basedOn w:val="4"/>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paragraph" w:customStyle="1" w:styleId="86">
    <w:name w:val="列出段落11"/>
    <w:basedOn w:val="1"/>
    <w:qFormat/>
    <w:uiPriority w:val="34"/>
    <w:pPr>
      <w:ind w:firstLine="420" w:firstLineChars="200"/>
    </w:pPr>
    <w:rPr>
      <w:szCs w:val="20"/>
    </w:rPr>
  </w:style>
  <w:style w:type="paragraph" w:customStyle="1" w:styleId="87">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88">
    <w:name w:val="Char Char1"/>
    <w:qFormat/>
    <w:uiPriority w:val="0"/>
    <w:rPr>
      <w:rFonts w:ascii="KaiTi_GB2312" w:eastAsia="KaiTi_GB2312"/>
      <w:sz w:val="28"/>
    </w:rPr>
  </w:style>
  <w:style w:type="character" w:customStyle="1" w:styleId="89">
    <w:name w:val="Char Char"/>
    <w:qFormat/>
    <w:uiPriority w:val="0"/>
    <w:rPr>
      <w:rFonts w:ascii="宋体"/>
      <w:kern w:val="2"/>
      <w:sz w:val="18"/>
      <w:szCs w:val="18"/>
    </w:rPr>
  </w:style>
  <w:style w:type="paragraph" w:customStyle="1" w:styleId="90">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91">
    <w:name w:val="样式 标题 3 + (中文) 黑体 小四 非加粗 段前: 7.8 磅 段后: 0 磅 行距: 固定值 20 磅"/>
    <w:basedOn w:val="6"/>
    <w:qFormat/>
    <w:uiPriority w:val="0"/>
    <w:pPr>
      <w:autoSpaceDE/>
      <w:autoSpaceDN/>
      <w:adjustRightInd/>
      <w:spacing w:before="0" w:after="0" w:line="400" w:lineRule="exact"/>
    </w:pPr>
    <w:rPr>
      <w:rFonts w:ascii="Times New Roman" w:cs="宋体"/>
      <w:kern w:val="2"/>
      <w:sz w:val="24"/>
    </w:rPr>
  </w:style>
  <w:style w:type="character" w:customStyle="1" w:styleId="92">
    <w:name w:val="批注文字 Char1"/>
    <w:qFormat/>
    <w:uiPriority w:val="99"/>
    <w:rPr>
      <w:kern w:val="2"/>
      <w:sz w:val="21"/>
    </w:rPr>
  </w:style>
  <w:style w:type="paragraph" w:customStyle="1" w:styleId="93">
    <w:name w:val="样式 标题 2 + Times New Roman 四号 非加粗 段前: 5 磅 段后: 0 磅 行距: 固定值 20..."/>
    <w:basedOn w:val="5"/>
    <w:qFormat/>
    <w:uiPriority w:val="0"/>
    <w:pPr>
      <w:spacing w:before="100" w:after="0" w:line="400" w:lineRule="exact"/>
    </w:pPr>
    <w:rPr>
      <w:rFonts w:ascii="Times New Roman" w:hAnsi="Times New Roman" w:cs="宋体"/>
      <w:b w:val="0"/>
      <w:bCs w:val="0"/>
      <w:sz w:val="28"/>
      <w:szCs w:val="20"/>
    </w:rPr>
  </w:style>
  <w:style w:type="paragraph" w:customStyle="1" w:styleId="94">
    <w:name w:val="p0"/>
    <w:basedOn w:val="1"/>
    <w:qFormat/>
    <w:uiPriority w:val="0"/>
    <w:rPr>
      <w:szCs w:val="20"/>
    </w:rPr>
  </w:style>
  <w:style w:type="paragraph" w:customStyle="1" w:styleId="95">
    <w:name w:val="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6">
    <w:name w:val="normaltextrun"/>
    <w:basedOn w:val="43"/>
    <w:qFormat/>
    <w:uiPriority w:val="0"/>
  </w:style>
  <w:style w:type="character" w:customStyle="1" w:styleId="97">
    <w:name w:val="eop"/>
    <w:basedOn w:val="43"/>
    <w:qFormat/>
    <w:uiPriority w:val="0"/>
  </w:style>
  <w:style w:type="character" w:customStyle="1" w:styleId="98">
    <w:name w:val="列出段落 Char"/>
    <w:qFormat/>
    <w:uiPriority w:val="34"/>
    <w:rPr>
      <w:kern w:val="2"/>
      <w:sz w:val="21"/>
      <w:szCs w:val="24"/>
    </w:rPr>
  </w:style>
  <w:style w:type="character" w:customStyle="1" w:styleId="99">
    <w:name w:val="未处理的提及1"/>
    <w:basedOn w:val="43"/>
    <w:unhideWhenUsed/>
    <w:qFormat/>
    <w:uiPriority w:val="99"/>
    <w:rPr>
      <w:color w:val="605E5C"/>
      <w:shd w:val="clear" w:color="auto" w:fill="E1DFDD"/>
    </w:rPr>
  </w:style>
  <w:style w:type="paragraph" w:customStyle="1" w:styleId="100">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1">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102">
    <w:name w:val="文一 Char"/>
    <w:link w:val="103"/>
    <w:qFormat/>
    <w:locked/>
    <w:uiPriority w:val="0"/>
    <w:rPr>
      <w:spacing w:val="4"/>
      <w:sz w:val="24"/>
      <w:szCs w:val="24"/>
    </w:rPr>
  </w:style>
  <w:style w:type="paragraph" w:customStyle="1" w:styleId="103">
    <w:name w:val="文一"/>
    <w:basedOn w:val="1"/>
    <w:link w:val="102"/>
    <w:qFormat/>
    <w:uiPriority w:val="0"/>
    <w:pPr>
      <w:topLinePunct/>
      <w:adjustRightInd w:val="0"/>
      <w:snapToGrid w:val="0"/>
      <w:spacing w:line="360" w:lineRule="auto"/>
      <w:ind w:firstLine="200" w:firstLineChars="200"/>
    </w:pPr>
    <w:rPr>
      <w:spacing w:val="4"/>
      <w:kern w:val="0"/>
      <w:sz w:val="24"/>
    </w:rPr>
  </w:style>
  <w:style w:type="character" w:customStyle="1" w:styleId="104">
    <w:name w:val="未处理的提及2"/>
    <w:basedOn w:val="43"/>
    <w:unhideWhenUsed/>
    <w:qFormat/>
    <w:uiPriority w:val="99"/>
    <w:rPr>
      <w:color w:val="605E5C"/>
      <w:shd w:val="clear" w:color="auto" w:fill="E1DFDD"/>
    </w:rPr>
  </w:style>
  <w:style w:type="character" w:customStyle="1" w:styleId="105">
    <w:name w:val="p141"/>
    <w:qFormat/>
    <w:uiPriority w:val="0"/>
    <w:rPr>
      <w:sz w:val="21"/>
      <w:szCs w:val="21"/>
    </w:rPr>
  </w:style>
  <w:style w:type="paragraph" w:customStyle="1" w:styleId="106">
    <w:name w:val="列表段落1"/>
    <w:basedOn w:val="1"/>
    <w:unhideWhenUsed/>
    <w:qFormat/>
    <w:uiPriority w:val="34"/>
    <w:pPr>
      <w:ind w:firstLine="420" w:firstLineChars="200"/>
    </w:pPr>
  </w:style>
  <w:style w:type="paragraph" w:customStyle="1" w:styleId="107">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08">
    <w:name w:val="段"/>
    <w:link w:val="10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09">
    <w:name w:val="段 Char"/>
    <w:link w:val="108"/>
    <w:qFormat/>
    <w:uiPriority w:val="0"/>
    <w:rPr>
      <w:rFonts w:ascii="宋体"/>
      <w:sz w:val="21"/>
    </w:rPr>
  </w:style>
  <w:style w:type="paragraph" w:customStyle="1" w:styleId="110">
    <w:name w:val="列出段落2"/>
    <w:basedOn w:val="1"/>
    <w:unhideWhenUsed/>
    <w:qFormat/>
    <w:uiPriority w:val="34"/>
    <w:pPr>
      <w:ind w:firstLine="420" w:firstLineChars="200"/>
    </w:pPr>
  </w:style>
  <w:style w:type="table" w:customStyle="1" w:styleId="111">
    <w:name w:val="网格型1"/>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网格型2"/>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3">
    <w:name w:val="H正_1"/>
    <w:basedOn w:val="114"/>
    <w:qFormat/>
    <w:uiPriority w:val="0"/>
    <w:pPr>
      <w:spacing w:after="0" w:line="420" w:lineRule="auto"/>
      <w:ind w:firstLine="200" w:firstLineChars="200"/>
      <w:jc w:val="left"/>
    </w:pPr>
    <w:rPr>
      <w:bCs/>
      <w:spacing w:val="0"/>
      <w:kern w:val="2"/>
      <w:szCs w:val="24"/>
    </w:rPr>
  </w:style>
  <w:style w:type="paragraph" w:customStyle="1" w:styleId="114">
    <w:name w:val="正文_0"/>
    <w:qFormat/>
    <w:uiPriority w:val="0"/>
    <w:pPr>
      <w:widowControl w:val="0"/>
      <w:spacing w:after="120" w:line="360" w:lineRule="auto"/>
      <w:ind w:firstLine="425"/>
      <w:jc w:val="both"/>
    </w:pPr>
    <w:rPr>
      <w:rFonts w:ascii="Times New Roman" w:hAnsi="Times New Roman" w:eastAsia="宋体" w:cs="Times New Roman"/>
      <w:spacing w:val="10"/>
      <w:sz w:val="24"/>
      <w:lang w:val="en-US" w:eastAsia="zh-CN" w:bidi="ar-SA"/>
    </w:rPr>
  </w:style>
  <w:style w:type="paragraph" w:customStyle="1" w:styleId="115">
    <w:name w:val="H标_1"/>
    <w:basedOn w:val="116"/>
    <w:qFormat/>
    <w:uiPriority w:val="0"/>
    <w:pPr>
      <w:keepNext/>
      <w:keepLines/>
      <w:tabs>
        <w:tab w:val="left" w:pos="1300"/>
        <w:tab w:val="left" w:pos="1440"/>
        <w:tab w:val="left" w:pos="1932"/>
        <w:tab w:val="left" w:pos="6184"/>
      </w:tabs>
    </w:pPr>
    <w:rPr>
      <w:sz w:val="32"/>
    </w:rPr>
  </w:style>
  <w:style w:type="paragraph" w:customStyle="1" w:styleId="116">
    <w:name w:val="标题 1_0"/>
    <w:basedOn w:val="114"/>
    <w:next w:val="117"/>
    <w:qFormat/>
    <w:uiPriority w:val="0"/>
    <w:pPr>
      <w:pageBreakBefore/>
      <w:spacing w:before="120" w:after="60"/>
      <w:ind w:firstLine="0"/>
      <w:jc w:val="center"/>
      <w:outlineLvl w:val="0"/>
    </w:pPr>
    <w:rPr>
      <w:rFonts w:eastAsia="黑体"/>
      <w:b/>
      <w:sz w:val="36"/>
    </w:rPr>
  </w:style>
  <w:style w:type="paragraph" w:customStyle="1" w:styleId="117">
    <w:name w:val="方案正文"/>
    <w:basedOn w:val="114"/>
    <w:qFormat/>
    <w:uiPriority w:val="0"/>
    <w:pPr>
      <w:ind w:firstLine="200" w:firstLineChars="200"/>
    </w:pPr>
    <w:rPr>
      <w:bCs/>
    </w:rPr>
  </w:style>
  <w:style w:type="paragraph" w:customStyle="1" w:styleId="118">
    <w:name w:val="H表_1"/>
    <w:basedOn w:val="119"/>
    <w:qFormat/>
    <w:uiPriority w:val="0"/>
    <w:pPr>
      <w:widowControl/>
      <w:spacing w:line="240" w:lineRule="auto"/>
      <w:jc w:val="center"/>
    </w:pPr>
    <w:rPr>
      <w:rFonts w:ascii="宋体" w:hAnsi="宋体"/>
      <w:kern w:val="0"/>
      <w:sz w:val="20"/>
      <w:szCs w:val="20"/>
    </w:rPr>
  </w:style>
  <w:style w:type="paragraph" w:customStyle="1" w:styleId="119">
    <w:name w:val="正文_0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20">
    <w:name w:val="正文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21">
    <w:name w:val="文本"/>
    <w:basedOn w:val="114"/>
    <w:qFormat/>
    <w:uiPriority w:val="0"/>
    <w:pPr>
      <w:spacing w:after="0"/>
      <w:ind w:firstLine="420" w:firstLineChars="200"/>
      <w:jc w:val="left"/>
    </w:pPr>
    <w:rPr>
      <w:rFonts w:ascii="宋体" w:hAnsi="宋体"/>
      <w:spacing w:val="0"/>
      <w:kern w:val="2"/>
      <w:sz w:val="21"/>
      <w:szCs w:val="22"/>
    </w:rPr>
  </w:style>
  <w:style w:type="paragraph" w:customStyle="1" w:styleId="122">
    <w:name w:val="Table Paragraph"/>
    <w:basedOn w:val="120"/>
    <w:qFormat/>
    <w:uiPriority w:val="1"/>
    <w:pPr>
      <w:wordWrap/>
      <w:spacing w:line="240" w:lineRule="auto"/>
      <w:jc w:val="left"/>
    </w:pPr>
    <w:rPr>
      <w:rFonts w:ascii="等线" w:hAnsi="等线" w:eastAsia="等线"/>
      <w:kern w:val="0"/>
      <w:sz w:val="22"/>
      <w:lang w:eastAsia="en-US"/>
    </w:rPr>
  </w:style>
  <w:style w:type="paragraph" w:customStyle="1" w:styleId="123">
    <w:name w:val="正文_0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4">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
    <w:name w:val="H表正"/>
    <w:basedOn w:val="114"/>
    <w:qFormat/>
    <w:uiPriority w:val="0"/>
    <w:pPr>
      <w:widowControl/>
      <w:spacing w:after="0" w:line="240" w:lineRule="auto"/>
      <w:ind w:firstLine="0"/>
    </w:pPr>
    <w:rPr>
      <w:rFonts w:ascii="宋体" w:hAnsi="宋体"/>
      <w:color w:val="000000"/>
      <w:spacing w:val="0"/>
      <w:sz w:val="21"/>
      <w:szCs w:val="21"/>
    </w:rPr>
  </w:style>
  <w:style w:type="paragraph" w:customStyle="1" w:styleId="126">
    <w:name w:val="图形文本一号加粗"/>
    <w:qFormat/>
    <w:uiPriority w:val="0"/>
    <w:pPr>
      <w:jc w:val="center"/>
    </w:pPr>
    <w:rPr>
      <w:rFonts w:ascii="Times New Roman" w:hAnsi="Times New Roman" w:eastAsia="宋体" w:cs="Times New Roman"/>
      <w:b/>
      <w:sz w:val="52"/>
      <w:lang w:val="en-US" w:eastAsia="zh-CN" w:bidi="ar-SA"/>
    </w:rPr>
  </w:style>
  <w:style w:type="paragraph" w:customStyle="1" w:styleId="127">
    <w:name w:val="正文缩进_0"/>
    <w:basedOn w:val="119"/>
    <w:qFormat/>
    <w:uiPriority w:val="0"/>
    <w:pPr>
      <w:wordWrap/>
      <w:autoSpaceDE w:val="0"/>
      <w:autoSpaceDN w:val="0"/>
      <w:spacing w:line="360" w:lineRule="auto"/>
      <w:ind w:left="181" w:firstLine="420"/>
    </w:pPr>
    <w:rPr>
      <w:kern w:val="0"/>
      <w:sz w:val="24"/>
      <w:szCs w:val="20"/>
    </w:rPr>
  </w:style>
  <w:style w:type="paragraph" w:customStyle="1" w:styleId="128">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129">
    <w:name w:val="正文缩进_1"/>
    <w:basedOn w:val="114"/>
    <w:qFormat/>
    <w:uiPriority w:val="0"/>
    <w:pPr>
      <w:spacing w:before="60" w:after="60"/>
      <w:ind w:firstLine="420"/>
    </w:pPr>
    <w:rPr>
      <w:rFonts w:ascii="宋体"/>
      <w:color w:val="000000"/>
      <w:spacing w:val="0"/>
      <w:kern w:val="2"/>
    </w:rPr>
  </w:style>
  <w:style w:type="paragraph" w:customStyle="1" w:styleId="130">
    <w:name w:val="正文首行缩进1"/>
    <w:basedOn w:val="131"/>
    <w:qFormat/>
    <w:uiPriority w:val="0"/>
    <w:pPr>
      <w:spacing w:after="60" w:line="400" w:lineRule="exact"/>
      <w:ind w:firstLine="476"/>
    </w:pPr>
    <w:rPr>
      <w:kern w:val="2"/>
    </w:rPr>
  </w:style>
  <w:style w:type="paragraph" w:customStyle="1" w:styleId="131">
    <w:name w:val="正文文本_0"/>
    <w:basedOn w:val="114"/>
    <w:qFormat/>
    <w:uiPriority w:val="99"/>
  </w:style>
  <w:style w:type="paragraph" w:customStyle="1" w:styleId="132">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3">
    <w:name w:val="正文_1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4">
    <w:name w:val="正文_1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5">
    <w:name w:val="列出段落_1"/>
    <w:basedOn w:val="136"/>
    <w:qFormat/>
    <w:uiPriority w:val="0"/>
    <w:pPr>
      <w:ind w:firstLine="420" w:firstLineChars="200"/>
    </w:pPr>
    <w:rPr>
      <w:rFonts w:ascii="Times New Roman" w:hAnsi="Times New Roman"/>
      <w:sz w:val="20"/>
      <w:szCs w:val="24"/>
    </w:rPr>
  </w:style>
  <w:style w:type="paragraph" w:customStyle="1" w:styleId="136">
    <w:name w:val="正文_1_2"/>
    <w:qFormat/>
    <w:uiPriority w:val="0"/>
    <w:rPr>
      <w:rFonts w:ascii="Calibri" w:hAnsi="Calibri" w:eastAsia="宋体" w:cs="Times New Roman"/>
      <w:sz w:val="21"/>
      <w:lang w:val="en-US" w:eastAsia="zh-CN" w:bidi="ar-SA"/>
    </w:rPr>
  </w:style>
  <w:style w:type="paragraph" w:customStyle="1" w:styleId="137">
    <w:name w:val="正文_2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8">
    <w:name w:val="列出段落_0"/>
    <w:basedOn w:val="136"/>
    <w:qFormat/>
    <w:uiPriority w:val="0"/>
    <w:pPr>
      <w:ind w:firstLine="420" w:firstLineChars="200"/>
    </w:pPr>
    <w:rPr>
      <w:rFonts w:ascii="Times New Roman" w:hAnsi="Times New Roman"/>
      <w:sz w:val="20"/>
      <w:szCs w:val="24"/>
    </w:rPr>
  </w:style>
  <w:style w:type="paragraph" w:customStyle="1" w:styleId="139">
    <w:name w:val="正文_0_0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0">
    <w:name w:val="正文_1_0_0"/>
    <w:qFormat/>
    <w:uiPriority w:val="0"/>
    <w:pPr>
      <w:widowControl w:val="0"/>
      <w:wordWrap w:val="0"/>
      <w:spacing w:line="400" w:lineRule="exact"/>
      <w:contextualSpacing/>
      <w:jc w:val="both"/>
    </w:pPr>
    <w:rPr>
      <w:rFonts w:ascii="Calibri" w:hAnsi="Calibri" w:eastAsia="宋体" w:cs="Times New Roman"/>
      <w:kern w:val="2"/>
      <w:sz w:val="21"/>
      <w:szCs w:val="22"/>
      <w:lang w:val="en-US" w:eastAsia="zh-CN" w:bidi="ar-SA"/>
    </w:rPr>
  </w:style>
  <w:style w:type="paragraph" w:customStyle="1" w:styleId="141">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2">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43">
    <w:name w:val="列出段落3"/>
    <w:basedOn w:val="1"/>
    <w:unhideWhenUsed/>
    <w:qFormat/>
    <w:uiPriority w:val="99"/>
    <w:pPr>
      <w:ind w:firstLine="420" w:firstLineChars="200"/>
    </w:pPr>
  </w:style>
  <w:style w:type="paragraph" w:customStyle="1" w:styleId="144">
    <w:name w:val="列出段落4"/>
    <w:basedOn w:val="1"/>
    <w:unhideWhenUsed/>
    <w:qFormat/>
    <w:uiPriority w:val="99"/>
    <w:pPr>
      <w:ind w:firstLine="420" w:firstLineChars="200"/>
    </w:pPr>
  </w:style>
  <w:style w:type="paragraph" w:customStyle="1" w:styleId="145">
    <w:name w:val="符号列表"/>
    <w:basedOn w:val="1"/>
    <w:next w:val="75"/>
    <w:qFormat/>
    <w:uiPriority w:val="34"/>
    <w:pPr>
      <w:spacing w:line="500" w:lineRule="exact"/>
      <w:ind w:firstLine="480" w:firstLineChars="200"/>
    </w:pPr>
    <w:rPr>
      <w:rFonts w:eastAsia="FangSong_GB2312"/>
      <w:sz w:val="24"/>
      <w:szCs w:val="20"/>
    </w:rPr>
  </w:style>
  <w:style w:type="paragraph" w:customStyle="1" w:styleId="146">
    <w:name w:val="标题 3_0"/>
    <w:basedOn w:val="116"/>
    <w:next w:val="117"/>
    <w:qFormat/>
    <w:uiPriority w:val="0"/>
    <w:pPr>
      <w:pageBreakBefore w:val="0"/>
      <w:numPr>
        <w:ilvl w:val="2"/>
        <w:numId w:val="1"/>
      </w:numPr>
      <w:spacing w:before="60" w:line="240" w:lineRule="auto"/>
      <w:jc w:val="left"/>
      <w:outlineLvl w:val="2"/>
    </w:pPr>
    <w:rPr>
      <w:rFonts w:ascii="Calibri" w:hAnsi="Calibri"/>
      <w:spacing w:val="0"/>
      <w:kern w:val="2"/>
      <w:sz w:val="28"/>
      <w:szCs w:val="24"/>
      <w:lang w:val="zh-CN"/>
    </w:rPr>
  </w:style>
  <w:style w:type="paragraph" w:customStyle="1" w:styleId="147">
    <w:name w:val="列项●（二级）"/>
    <w:qFormat/>
    <w:uiPriority w:val="0"/>
    <w:pPr>
      <w:tabs>
        <w:tab w:val="left" w:pos="425"/>
        <w:tab w:val="left" w:pos="760"/>
        <w:tab w:val="left" w:pos="840"/>
      </w:tabs>
      <w:ind w:left="425" w:hanging="425"/>
      <w:jc w:val="both"/>
    </w:pPr>
    <w:rPr>
      <w:rFonts w:ascii="宋体" w:hAnsiTheme="minorHAnsi" w:eastAsiaTheme="minorEastAsia" w:cstheme="minorBidi"/>
      <w:sz w:val="21"/>
      <w:szCs w:val="22"/>
      <w:lang w:val="en-US" w:eastAsia="zh-CN" w:bidi="ar-SA"/>
    </w:rPr>
  </w:style>
  <w:style w:type="paragraph" w:customStyle="1" w:styleId="148">
    <w:name w:val="正文缩进1"/>
    <w:basedOn w:val="114"/>
    <w:qFormat/>
    <w:uiPriority w:val="0"/>
    <w:pPr>
      <w:autoSpaceDE w:val="0"/>
      <w:autoSpaceDN w:val="0"/>
      <w:spacing w:after="0" w:line="240" w:lineRule="auto"/>
      <w:ind w:left="181" w:firstLine="420"/>
    </w:pPr>
    <w:rPr>
      <w:rFonts w:ascii="Calibri" w:hAnsi="Calibri"/>
      <w:spacing w:val="0"/>
      <w:kern w:val="2"/>
      <w:sz w:val="21"/>
      <w:szCs w:val="24"/>
    </w:rPr>
  </w:style>
  <w:style w:type="paragraph" w:customStyle="1" w:styleId="149">
    <w:name w:val="正文缩进11"/>
    <w:basedOn w:val="114"/>
    <w:qFormat/>
    <w:uiPriority w:val="0"/>
    <w:pPr>
      <w:autoSpaceDE w:val="0"/>
      <w:autoSpaceDN w:val="0"/>
      <w:spacing w:after="0" w:line="240" w:lineRule="auto"/>
      <w:ind w:left="181" w:firstLine="420"/>
    </w:pPr>
    <w:rPr>
      <w:rFonts w:ascii="Calibri" w:hAnsi="Calibri"/>
      <w:spacing w:val="0"/>
      <w:kern w:val="2"/>
      <w:sz w:val="21"/>
      <w:szCs w:val="24"/>
    </w:rPr>
  </w:style>
  <w:style w:type="paragraph" w:customStyle="1" w:styleId="150">
    <w:name w:val="列出段落5"/>
    <w:basedOn w:val="1"/>
    <w:unhideWhenUsed/>
    <w:qFormat/>
    <w:uiPriority w:val="99"/>
    <w:pPr>
      <w:ind w:firstLine="420" w:firstLineChars="200"/>
    </w:pPr>
  </w:style>
  <w:style w:type="paragraph" w:customStyle="1" w:styleId="151">
    <w:name w:val="列出段落6"/>
    <w:basedOn w:val="1"/>
    <w:unhideWhenUsed/>
    <w:qFormat/>
    <w:uiPriority w:val="99"/>
    <w:pPr>
      <w:ind w:firstLine="420" w:firstLineChars="200"/>
    </w:pPr>
  </w:style>
  <w:style w:type="paragraph" w:customStyle="1" w:styleId="152">
    <w:name w:val="修订6"/>
    <w:hidden/>
    <w:unhideWhenUsed/>
    <w:qFormat/>
    <w:uiPriority w:val="99"/>
    <w:rPr>
      <w:rFonts w:ascii="Times New Roman" w:hAnsi="Times New Roman" w:eastAsia="宋体" w:cs="Times New Roman"/>
      <w:kern w:val="2"/>
      <w:sz w:val="21"/>
      <w:szCs w:val="24"/>
      <w:lang w:val="en-US" w:eastAsia="zh-CN" w:bidi="ar-SA"/>
    </w:rPr>
  </w:style>
  <w:style w:type="paragraph" w:styleId="153">
    <w:name w:val="List Paragraph"/>
    <w:basedOn w:val="1"/>
    <w:unhideWhenUsed/>
    <w:qFormat/>
    <w:uiPriority w:val="0"/>
    <w:pPr>
      <w:ind w:firstLine="420" w:firstLineChars="200"/>
    </w:pPr>
  </w:style>
  <w:style w:type="paragraph" w:customStyle="1" w:styleId="154">
    <w:name w:val="修订7"/>
    <w:hidden/>
    <w:semiHidden/>
    <w:qFormat/>
    <w:uiPriority w:val="99"/>
    <w:rPr>
      <w:rFonts w:ascii="Times New Roman" w:hAnsi="Times New Roman" w:eastAsia="宋体" w:cs="Times New Roman"/>
      <w:kern w:val="2"/>
      <w:sz w:val="21"/>
      <w:szCs w:val="24"/>
      <w:lang w:val="en-US" w:eastAsia="zh-CN" w:bidi="ar-SA"/>
    </w:rPr>
  </w:style>
  <w:style w:type="paragraph" w:customStyle="1" w:styleId="155">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156">
    <w:name w:val="s11"/>
    <w:qFormat/>
    <w:uiPriority w:val="0"/>
    <w:rPr>
      <w:rFonts w:ascii="ˎ̥" w:hAnsi="ˎ̥" w:cs="宋体"/>
      <w:b/>
      <w:color w:val="51585D"/>
      <w:kern w:val="0"/>
      <w:sz w:val="24"/>
      <w:szCs w:val="18"/>
    </w:rPr>
  </w:style>
  <w:style w:type="character" w:customStyle="1" w:styleId="157">
    <w:name w:val="s41"/>
    <w:basedOn w:val="43"/>
    <w:qFormat/>
    <w:uiPriority w:val="0"/>
    <w:rPr>
      <w:rFonts w:ascii="ˎ̥" w:hAnsi="ˎ̥" w:cs="宋体"/>
      <w:color w:val="51585D"/>
      <w:kern w:val="0"/>
      <w:sz w:val="24"/>
      <w:szCs w:val="18"/>
    </w:rPr>
  </w:style>
  <w:style w:type="paragraph" w:customStyle="1" w:styleId="15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59">
    <w:name w:val="p7"/>
    <w:basedOn w:val="1"/>
    <w:qFormat/>
    <w:uiPriority w:val="0"/>
    <w:pPr>
      <w:spacing w:before="100" w:after="100"/>
      <w:ind w:left="420" w:hanging="420"/>
      <w:jc w:val="left"/>
    </w:pPr>
    <w:rPr>
      <w:rFonts w:ascii="微软雅黑" w:hAnsi="微软雅黑" w:eastAsia="微软雅黑"/>
      <w:kern w:val="0"/>
      <w:sz w:val="32"/>
      <w:szCs w:val="32"/>
    </w:rPr>
  </w:style>
  <w:style w:type="paragraph" w:customStyle="1" w:styleId="160">
    <w:name w:val="缺省文本"/>
    <w:basedOn w:val="1"/>
    <w:qFormat/>
    <w:uiPriority w:val="0"/>
    <w:pPr>
      <w:autoSpaceDE w:val="0"/>
      <w:autoSpaceDN w:val="0"/>
      <w:adjustRightInd w:val="0"/>
      <w:jc w:val="left"/>
    </w:pPr>
    <w:rPr>
      <w:kern w:val="0"/>
      <w:sz w:val="24"/>
    </w:rPr>
  </w:style>
  <w:style w:type="character" w:customStyle="1" w:styleId="161">
    <w:name w:val="apple-converted-space"/>
    <w:basedOn w:val="43"/>
    <w:qFormat/>
    <w:uiPriority w:val="0"/>
  </w:style>
  <w:style w:type="paragraph" w:customStyle="1" w:styleId="162">
    <w:name w:val="1"/>
    <w:basedOn w:val="1"/>
    <w:next w:val="1"/>
    <w:qFormat/>
    <w:uiPriority w:val="0"/>
  </w:style>
  <w:style w:type="paragraph" w:customStyle="1" w:styleId="163">
    <w:name w:val="样式4"/>
    <w:basedOn w:val="6"/>
    <w:qFormat/>
    <w:uiPriority w:val="0"/>
    <w:rPr>
      <w:rFonts w:eastAsia="Arial"/>
    </w:rPr>
  </w:style>
  <w:style w:type="paragraph" w:customStyle="1" w:styleId="164">
    <w:name w:val="修订8"/>
    <w:hidden/>
    <w:semiHidden/>
    <w:qFormat/>
    <w:uiPriority w:val="99"/>
    <w:rPr>
      <w:rFonts w:ascii="Times New Roman" w:hAnsi="Times New Roman" w:eastAsia="宋体" w:cs="Times New Roman"/>
      <w:kern w:val="2"/>
      <w:sz w:val="21"/>
      <w:szCs w:val="24"/>
      <w:lang w:val="en-US" w:eastAsia="zh-CN" w:bidi="ar-SA"/>
    </w:rPr>
  </w:style>
  <w:style w:type="paragraph" w:customStyle="1" w:styleId="16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character" w:customStyle="1" w:styleId="166">
    <w:name w:val="NormalCharacter"/>
    <w:qFormat/>
    <w:uiPriority w:val="0"/>
    <w:rPr>
      <w:rFonts w:ascii="Times New Roman" w:hAnsi="Times New Roman" w:eastAsia="宋体" w:cs="Times New Roman"/>
      <w:kern w:val="2"/>
      <w:sz w:val="21"/>
      <w:szCs w:val="24"/>
      <w:lang w:val="en-US" w:eastAsia="zh-CN" w:bidi="ar-SA"/>
    </w:rPr>
  </w:style>
  <w:style w:type="paragraph" w:customStyle="1" w:styleId="167">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Hewlett-Packard</Company>
  <Pages>57</Pages>
  <Words>18282</Words>
  <Characters>19562</Characters>
  <Lines>1504</Lines>
  <Paragraphs>1401</Paragraphs>
  <TotalTime>92</TotalTime>
  <ScaleCrop>false</ScaleCrop>
  <LinksUpToDate>false</LinksUpToDate>
  <CharactersWithSpaces>36443</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2021-05-23T22:52:00Z</dcterms:created>
  <dc:creator>MIIT</dc:creator>
  <cp:lastModifiedBy>xieyxin</cp:lastModifiedBy>
  <cp:lastPrinted>2025-07-16T17:14:00Z</cp:lastPrinted>
  <dcterms:modified xsi:type="dcterms:W3CDTF">2026-09-21T09:21:55Z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BD9E0A526DAC48C8B61BE4365E60F070</vt:lpwstr>
  </property>
  <property fmtid="{D5CDD505-2E9C-101B-9397-08002B2CF9AE}" pid="4" name="KSOTemplateDocerSaveRecord">
    <vt:lpwstr>eyJoZGlkIjoiMzEwNTM5NzYwMDRjMzkwZTVkZjY2ODkwMGIxNGU0OTUiLCJ1c2VySWQiOiIzNzc1MjQ3NDAifQ==</vt:lpwstr>
  </property>
</Properties>
</file>