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52"/>
          <w:szCs w:val="52"/>
          <w:highlight w:val="none"/>
        </w:rPr>
      </w:pPr>
      <w:bookmarkStart w:id="310" w:name="_GoBack"/>
      <w:bookmarkEnd w:id="310"/>
    </w:p>
    <w:p>
      <w:pPr>
        <w:spacing w:line="360" w:lineRule="auto"/>
        <w:jc w:val="center"/>
        <w:rPr>
          <w:rFonts w:hint="eastAsia" w:ascii="宋体" w:hAnsi="宋体" w:cs="宋体"/>
          <w:b/>
          <w:bCs/>
          <w:color w:val="auto"/>
          <w:sz w:val="52"/>
          <w:szCs w:val="52"/>
          <w:highlight w:val="none"/>
        </w:rPr>
      </w:pPr>
    </w:p>
    <w:p>
      <w:pPr>
        <w:spacing w:line="360" w:lineRule="auto"/>
        <w:jc w:val="center"/>
        <w:rPr>
          <w:rFonts w:hint="eastAsia" w:ascii="宋体" w:hAnsi="宋体" w:eastAsia="宋体" w:cs="宋体"/>
          <w:b/>
          <w:bCs/>
          <w:color w:val="auto"/>
          <w:sz w:val="52"/>
          <w:szCs w:val="52"/>
          <w:highlight w:val="none"/>
          <w:lang w:eastAsia="zh-CN"/>
        </w:rPr>
      </w:pPr>
      <w:bookmarkStart w:id="0" w:name="OLE_LINK6"/>
      <w:r>
        <w:rPr>
          <w:rFonts w:hint="eastAsia" w:ascii="宋体" w:hAnsi="宋体" w:cs="宋体"/>
          <w:b/>
          <w:bCs/>
          <w:color w:val="auto"/>
          <w:kern w:val="2"/>
          <w:sz w:val="52"/>
          <w:szCs w:val="52"/>
          <w:highlight w:val="none"/>
          <w:u w:val="none"/>
          <w:lang w:val="en-US" w:eastAsia="zh-CN" w:bidi="ar-SA"/>
        </w:rPr>
        <w:t>南方展示布展实施及展陈多媒体硬件年度供应商</w:t>
      </w:r>
    </w:p>
    <w:bookmarkEnd w:id="0"/>
    <w:p>
      <w:pPr>
        <w:spacing w:line="360" w:lineRule="auto"/>
        <w:rPr>
          <w:rFonts w:hint="eastAsia" w:ascii="宋体" w:hAnsi="宋体" w:cs="宋体"/>
          <w:color w:val="auto"/>
          <w:sz w:val="30"/>
          <w:highlight w:val="none"/>
        </w:rPr>
      </w:pPr>
    </w:p>
    <w:p>
      <w:pPr>
        <w:spacing w:line="360" w:lineRule="auto"/>
        <w:rPr>
          <w:rFonts w:hint="eastAsia" w:ascii="宋体" w:hAnsi="宋体" w:cs="宋体"/>
          <w:color w:val="auto"/>
          <w:sz w:val="30"/>
          <w:highlight w:val="none"/>
        </w:rPr>
      </w:pPr>
    </w:p>
    <w:p>
      <w:pPr>
        <w:pStyle w:val="2"/>
        <w:rPr>
          <w:rFonts w:hint="eastAsia" w:ascii="宋体" w:hAnsi="宋体" w:cs="宋体"/>
          <w:color w:val="auto"/>
          <w:sz w:val="30"/>
          <w:highlight w:val="none"/>
        </w:rPr>
      </w:pPr>
    </w:p>
    <w:p>
      <w:pPr>
        <w:rPr>
          <w:rFonts w:hint="eastAsia"/>
        </w:rPr>
      </w:pPr>
    </w:p>
    <w:p>
      <w:pPr>
        <w:rPr>
          <w:rFonts w:hint="eastAsia"/>
        </w:rPr>
      </w:pPr>
    </w:p>
    <w:p>
      <w:pPr>
        <w:spacing w:line="360" w:lineRule="auto"/>
        <w:jc w:val="center"/>
        <w:rPr>
          <w:rFonts w:hint="eastAsia" w:ascii="宋体" w:hAnsi="宋体" w:cs="宋体"/>
          <w:b/>
          <w:color w:val="auto"/>
          <w:spacing w:val="20"/>
          <w:kern w:val="10"/>
          <w:sz w:val="84"/>
          <w:szCs w:val="84"/>
          <w:highlight w:val="none"/>
        </w:rPr>
      </w:pPr>
      <w:r>
        <w:rPr>
          <w:rFonts w:hint="eastAsia" w:ascii="宋体" w:hAnsi="宋体" w:cs="宋体"/>
          <w:b/>
          <w:color w:val="auto"/>
          <w:spacing w:val="20"/>
          <w:kern w:val="10"/>
          <w:sz w:val="84"/>
          <w:szCs w:val="84"/>
          <w:highlight w:val="none"/>
        </w:rPr>
        <w:t>招标文件</w:t>
      </w:r>
    </w:p>
    <w:p>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（项目编号：</w:t>
      </w:r>
      <w:r>
        <w:rPr>
          <w:rFonts w:hint="eastAsia" w:ascii="宋体" w:hAnsi="宋体" w:cs="宋体"/>
          <w:color w:val="auto"/>
          <w:sz w:val="36"/>
          <w:szCs w:val="36"/>
          <w:highlight w:val="none"/>
          <w:lang w:eastAsia="zh-CN"/>
        </w:rPr>
        <w:t>M4400000707537483</w:t>
      </w:r>
      <w:r>
        <w:rPr>
          <w:rFonts w:hint="eastAsia" w:ascii="宋体" w:hAnsi="宋体" w:cs="宋体"/>
          <w:color w:val="auto"/>
          <w:sz w:val="36"/>
          <w:szCs w:val="36"/>
          <w:highlight w:val="none"/>
        </w:rPr>
        <w:t>）</w:t>
      </w:r>
    </w:p>
    <w:p>
      <w:pPr>
        <w:tabs>
          <w:tab w:val="left" w:pos="8118"/>
        </w:tabs>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ab/>
      </w:r>
    </w:p>
    <w:p>
      <w:pPr>
        <w:spacing w:line="360" w:lineRule="auto"/>
        <w:jc w:val="center"/>
        <w:rPr>
          <w:rFonts w:hint="eastAsia" w:ascii="宋体" w:hAnsi="宋体" w:cs="宋体"/>
          <w:color w:val="auto"/>
          <w:sz w:val="28"/>
          <w:szCs w:val="28"/>
          <w:highlight w:val="none"/>
        </w:rPr>
      </w:pPr>
    </w:p>
    <w:p>
      <w:pPr>
        <w:spacing w:line="360" w:lineRule="auto"/>
        <w:jc w:val="center"/>
        <w:rPr>
          <w:rFonts w:hint="eastAsia" w:ascii="宋体" w:hAnsi="宋体" w:cs="宋体"/>
          <w:color w:val="auto"/>
          <w:sz w:val="28"/>
          <w:szCs w:val="28"/>
          <w:highlight w:val="none"/>
        </w:rPr>
      </w:pPr>
    </w:p>
    <w:p>
      <w:pPr>
        <w:spacing w:line="360" w:lineRule="auto"/>
        <w:jc w:val="center"/>
        <w:rPr>
          <w:rFonts w:hint="eastAsia" w:ascii="宋体" w:hAnsi="宋体" w:cs="宋体"/>
          <w:color w:val="auto"/>
          <w:sz w:val="28"/>
          <w:szCs w:val="28"/>
          <w:highlight w:val="none"/>
        </w:rPr>
      </w:pPr>
    </w:p>
    <w:p>
      <w:pPr>
        <w:snapToGrid w:val="0"/>
        <w:spacing w:line="600" w:lineRule="atLeast"/>
        <w:rPr>
          <w:rFonts w:hint="eastAsia" w:ascii="宋体" w:hAnsi="宋体" w:cs="宋体"/>
          <w:color w:val="auto"/>
          <w:sz w:val="30"/>
          <w:highlight w:val="none"/>
        </w:rPr>
      </w:pPr>
    </w:p>
    <w:p>
      <w:pPr>
        <w:snapToGrid w:val="0"/>
        <w:spacing w:line="600" w:lineRule="atLeast"/>
        <w:ind w:firstLine="1200" w:firstLineChars="400"/>
        <w:rPr>
          <w:rFonts w:hint="eastAsia" w:ascii="宋体" w:hAnsi="宋体" w:eastAsia="宋体" w:cs="宋体"/>
          <w:color w:val="auto"/>
          <w:sz w:val="30"/>
          <w:highlight w:val="none"/>
          <w:u w:val="single"/>
          <w:lang w:eastAsia="zh-CN"/>
        </w:rPr>
      </w:pPr>
      <w:r>
        <w:rPr>
          <w:rFonts w:hint="eastAsia" w:ascii="宋体" w:hAnsi="宋体" w:cs="宋体"/>
          <w:color w:val="auto"/>
          <w:sz w:val="30"/>
          <w:highlight w:val="none"/>
        </w:rPr>
        <w:t>招   标   人：</w:t>
      </w:r>
      <w:r>
        <w:rPr>
          <w:rFonts w:hint="eastAsia" w:ascii="宋体" w:hAnsi="宋体" w:cs="宋体"/>
          <w:color w:val="auto"/>
          <w:sz w:val="30"/>
          <w:highlight w:val="none"/>
          <w:u w:val="single"/>
          <w:lang w:eastAsia="zh-CN"/>
        </w:rPr>
        <w:t>广东南方日报展示科技有限公司</w:t>
      </w:r>
    </w:p>
    <w:p>
      <w:pPr>
        <w:snapToGrid w:val="0"/>
        <w:spacing w:line="600" w:lineRule="atLeast"/>
        <w:ind w:firstLine="1200" w:firstLineChars="400"/>
        <w:rPr>
          <w:rFonts w:hint="eastAsia" w:ascii="宋体" w:hAnsi="宋体" w:cs="宋体"/>
          <w:color w:val="auto"/>
          <w:sz w:val="30"/>
          <w:highlight w:val="none"/>
          <w:u w:val="single"/>
        </w:rPr>
      </w:pPr>
      <w:r>
        <w:rPr>
          <w:rFonts w:hint="eastAsia" w:ascii="宋体" w:hAnsi="宋体" w:cs="宋体"/>
          <w:color w:val="auto"/>
          <w:sz w:val="30"/>
          <w:highlight w:val="none"/>
        </w:rPr>
        <w:t>招标代理机构：</w:t>
      </w:r>
      <w:r>
        <w:rPr>
          <w:rFonts w:hint="eastAsia" w:ascii="宋体" w:hAnsi="宋体" w:cs="宋体"/>
          <w:color w:val="auto"/>
          <w:sz w:val="30"/>
          <w:highlight w:val="none"/>
          <w:u w:val="single"/>
        </w:rPr>
        <w:t>广东省机电设备招标有限公司</w:t>
      </w:r>
    </w:p>
    <w:p>
      <w:pPr>
        <w:snapToGrid w:val="0"/>
        <w:spacing w:line="600" w:lineRule="atLeast"/>
        <w:ind w:firstLine="1200" w:firstLineChars="400"/>
        <w:rPr>
          <w:rFonts w:hint="eastAsia" w:ascii="宋体" w:hAnsi="宋体" w:cs="宋体"/>
          <w:color w:val="auto"/>
          <w:sz w:val="30"/>
          <w:highlight w:val="none"/>
          <w:u w:val="single"/>
        </w:rPr>
      </w:pPr>
    </w:p>
    <w:p>
      <w:pPr>
        <w:spacing w:line="360" w:lineRule="auto"/>
        <w:jc w:val="center"/>
        <w:rPr>
          <w:rFonts w:hint="eastAsia" w:ascii="宋体" w:hAnsi="宋体" w:cs="宋体"/>
          <w:b/>
          <w:color w:val="auto"/>
          <w:sz w:val="28"/>
          <w:szCs w:val="28"/>
          <w:highlight w:val="none"/>
        </w:rPr>
        <w:sectPr>
          <w:headerReference r:id="rId3" w:type="default"/>
          <w:footerReference r:id="rId4" w:type="default"/>
          <w:pgSz w:w="11906" w:h="16838"/>
          <w:pgMar w:top="1134" w:right="1418" w:bottom="1134" w:left="141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color w:val="auto"/>
          <w:sz w:val="30"/>
          <w:szCs w:val="30"/>
          <w:highlight w:val="none"/>
          <w:lang w:eastAsia="zh-CN"/>
        </w:rPr>
        <w:t>2026</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月</w:t>
      </w:r>
    </w:p>
    <w:p>
      <w:pPr>
        <w:spacing w:line="360" w:lineRule="auto"/>
        <w:jc w:val="center"/>
        <w:outlineLvl w:val="0"/>
        <w:rPr>
          <w:rFonts w:hint="eastAsia" w:ascii="宋体" w:hAnsi="宋体" w:cs="宋体"/>
          <w:b/>
          <w:color w:val="auto"/>
          <w:sz w:val="28"/>
          <w:szCs w:val="28"/>
          <w:highlight w:val="none"/>
        </w:rPr>
      </w:pPr>
      <w:bookmarkStart w:id="1" w:name="_Toc27156"/>
      <w:r>
        <w:rPr>
          <w:rFonts w:hint="eastAsia" w:ascii="宋体" w:hAnsi="宋体" w:cs="宋体"/>
          <w:b/>
          <w:color w:val="auto"/>
          <w:sz w:val="28"/>
          <w:szCs w:val="28"/>
          <w:highlight w:val="none"/>
        </w:rPr>
        <w:t>投标提示</w:t>
      </w:r>
      <w:bookmarkEnd w:id="1"/>
    </w:p>
    <w:p>
      <w:pPr>
        <w:pStyle w:val="2"/>
        <w:rPr>
          <w:rFonts w:hint="eastAsia"/>
        </w:rPr>
      </w:pPr>
    </w:p>
    <w:p>
      <w:pPr>
        <w:snapToGrid w:val="0"/>
        <w:spacing w:line="360" w:lineRule="auto"/>
        <w:jc w:val="center"/>
        <w:rPr>
          <w:rFonts w:hint="eastAsia" w:ascii="宋体" w:hAnsi="宋体" w:cs="宋体"/>
          <w:color w:val="auto"/>
          <w:highlight w:val="none"/>
        </w:rPr>
      </w:pPr>
      <w:r>
        <w:rPr>
          <w:rFonts w:hint="eastAsia" w:ascii="宋体" w:hAnsi="宋体" w:cs="宋体"/>
          <w:b/>
          <w:color w:val="auto"/>
          <w:highlight w:val="none"/>
        </w:rPr>
        <w:t>（本提示内容非招标文件的组成部分，仅为</w:t>
      </w:r>
      <w:r>
        <w:rPr>
          <w:rFonts w:hint="eastAsia" w:ascii="宋体" w:hAnsi="宋体" w:cs="宋体"/>
          <w:b/>
          <w:color w:val="auto"/>
          <w:highlight w:val="none"/>
          <w:lang w:eastAsia="zh-CN"/>
        </w:rPr>
        <w:t>供应商</w:t>
      </w:r>
      <w:r>
        <w:rPr>
          <w:rFonts w:hint="eastAsia" w:ascii="宋体" w:hAnsi="宋体" w:cs="宋体"/>
          <w:b/>
          <w:color w:val="auto"/>
          <w:highlight w:val="none"/>
        </w:rPr>
        <w:t>制作文件提醒。如有不一致，以招标文件为准）</w:t>
      </w:r>
    </w:p>
    <w:p>
      <w:pPr>
        <w:snapToGrid w:val="0"/>
        <w:spacing w:line="360" w:lineRule="auto"/>
        <w:rPr>
          <w:rFonts w:hint="eastAsia" w:ascii="宋体" w:hAnsi="宋体" w:cs="宋体"/>
          <w:color w:val="auto"/>
          <w:highlight w:val="none"/>
        </w:rPr>
      </w:pPr>
      <w:r>
        <w:rPr>
          <w:rFonts w:hint="eastAsia" w:ascii="宋体" w:hAnsi="宋体" w:cs="宋体"/>
          <w:color w:val="auto"/>
          <w:highlight w:val="none"/>
        </w:rPr>
        <w:t>1、潜在</w:t>
      </w:r>
      <w:r>
        <w:rPr>
          <w:rFonts w:hint="eastAsia" w:ascii="宋体" w:hAnsi="宋体" w:cs="宋体"/>
          <w:color w:val="auto"/>
          <w:highlight w:val="none"/>
          <w:lang w:eastAsia="zh-CN"/>
        </w:rPr>
        <w:t>供应商</w:t>
      </w:r>
      <w:r>
        <w:rPr>
          <w:rFonts w:hint="eastAsia" w:ascii="宋体" w:hAnsi="宋体" w:cs="宋体"/>
          <w:color w:val="auto"/>
          <w:highlight w:val="none"/>
        </w:rPr>
        <w:t>须按招标文件及公告要求登记。</w:t>
      </w:r>
    </w:p>
    <w:p>
      <w:pPr>
        <w:snapToGrid w:val="0"/>
        <w:spacing w:line="360" w:lineRule="auto"/>
        <w:rPr>
          <w:rFonts w:hint="eastAsia" w:ascii="宋体" w:hAnsi="宋体" w:cs="宋体"/>
          <w:color w:val="auto"/>
          <w:highlight w:val="none"/>
        </w:rPr>
      </w:pPr>
      <w:r>
        <w:rPr>
          <w:rFonts w:hint="eastAsia" w:ascii="宋体" w:hAnsi="宋体" w:cs="宋体"/>
          <w:color w:val="auto"/>
          <w:highlight w:val="none"/>
        </w:rPr>
        <w:t>2、本公司启用网上登记系统进行</w:t>
      </w:r>
      <w:r>
        <w:rPr>
          <w:rFonts w:hint="eastAsia" w:ascii="宋体" w:hAnsi="宋体" w:cs="宋体"/>
          <w:color w:val="auto"/>
          <w:highlight w:val="none"/>
          <w:lang w:eastAsia="zh-CN"/>
        </w:rPr>
        <w:t>供应商</w:t>
      </w:r>
      <w:r>
        <w:rPr>
          <w:rFonts w:hint="eastAsia" w:ascii="宋体" w:hAnsi="宋体" w:cs="宋体"/>
          <w:color w:val="auto"/>
          <w:highlight w:val="none"/>
        </w:rPr>
        <w:t>登记及购买文件。请登录广咨电子招投标交易平台网站（www.gzebid.cn）进行</w:t>
      </w:r>
      <w:r>
        <w:rPr>
          <w:rFonts w:hint="eastAsia" w:ascii="宋体" w:hAnsi="宋体" w:cs="宋体"/>
          <w:color w:val="auto"/>
          <w:highlight w:val="none"/>
          <w:lang w:eastAsia="zh-CN"/>
        </w:rPr>
        <w:t>供应商</w:t>
      </w:r>
      <w:r>
        <w:rPr>
          <w:rFonts w:hint="eastAsia" w:ascii="宋体" w:hAnsi="宋体" w:cs="宋体"/>
          <w:color w:val="auto"/>
          <w:highlight w:val="none"/>
        </w:rPr>
        <w:t>注册登记。</w:t>
      </w:r>
    </w:p>
    <w:p>
      <w:pPr>
        <w:tabs>
          <w:tab w:val="left" w:pos="851"/>
        </w:tabs>
        <w:snapToGrid w:val="0"/>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3请仔细检查投标/报价文件是否已按招标文件要求</w:t>
      </w:r>
      <w:r>
        <w:rPr>
          <w:rFonts w:hint="eastAsia" w:ascii="宋体" w:hAnsi="宋体" w:cs="宋体"/>
          <w:b/>
          <w:color w:val="auto"/>
          <w:highlight w:val="none"/>
          <w:u w:val="single"/>
        </w:rPr>
        <w:t>盖章、签字（签章）、签署日期</w:t>
      </w:r>
      <w:r>
        <w:rPr>
          <w:rFonts w:hint="eastAsia" w:ascii="宋体" w:hAnsi="宋体" w:cs="宋体"/>
          <w:color w:val="auto"/>
          <w:highlight w:val="none"/>
        </w:rPr>
        <w:t>。</w:t>
      </w:r>
    </w:p>
    <w:p>
      <w:pPr>
        <w:tabs>
          <w:tab w:val="left" w:pos="851"/>
        </w:tabs>
        <w:snapToGrid w:val="0"/>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、多子包项目请仔细检查子包号，子包号与子包名称必须对应。</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eastAsia="zh-CN"/>
        </w:rPr>
        <w:t>供应商</w:t>
      </w:r>
      <w:r>
        <w:rPr>
          <w:rFonts w:hint="eastAsia" w:ascii="宋体" w:hAnsi="宋体" w:cs="宋体"/>
          <w:color w:val="auto"/>
          <w:highlight w:val="none"/>
        </w:rPr>
        <w:t>须通过广咨电子招投标交易平台网站（</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"http://www.gzebid.cn）获取子账号的方式递交投标/报价保证金及中标/" </w:instrText>
      </w:r>
      <w:r>
        <w:rPr>
          <w:rFonts w:hint="eastAsia" w:ascii="宋体" w:hAnsi="宋体" w:cs="宋体"/>
          <w:color w:val="auto"/>
          <w:highlight w:val="none"/>
        </w:rPr>
        <w:fldChar w:fldCharType="separate"/>
      </w:r>
      <w:r>
        <w:rPr>
          <w:rFonts w:hint="eastAsia" w:ascii="宋体" w:hAnsi="宋体" w:cs="宋体"/>
          <w:color w:val="auto"/>
          <w:highlight w:val="none"/>
        </w:rPr>
        <w:t>http://www.gzebid.cn）获取子账号的方式递交投标/报价保证金及中标/</w:t>
      </w:r>
      <w:r>
        <w:rPr>
          <w:rFonts w:hint="eastAsia" w:ascii="宋体" w:hAnsi="宋体" w:cs="宋体"/>
          <w:color w:val="auto"/>
          <w:highlight w:val="none"/>
        </w:rPr>
        <w:fldChar w:fldCharType="end"/>
      </w:r>
      <w:r>
        <w:rPr>
          <w:rFonts w:hint="eastAsia" w:ascii="宋体" w:hAnsi="宋体" w:cs="宋体"/>
          <w:color w:val="auto"/>
          <w:highlight w:val="none"/>
        </w:rPr>
        <w:t>成交服务费。</w:t>
      </w:r>
    </w:p>
    <w:p>
      <w:pPr>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、每个</w:t>
      </w:r>
      <w:r>
        <w:rPr>
          <w:rFonts w:hint="eastAsia" w:ascii="宋体" w:hAnsi="宋体" w:cs="宋体"/>
          <w:color w:val="auto"/>
          <w:highlight w:val="none"/>
          <w:lang w:eastAsia="zh-CN"/>
        </w:rPr>
        <w:t>供应商</w:t>
      </w:r>
      <w:r>
        <w:rPr>
          <w:rFonts w:hint="eastAsia" w:ascii="宋体" w:hAnsi="宋体" w:cs="宋体"/>
          <w:color w:val="auto"/>
          <w:highlight w:val="none"/>
        </w:rPr>
        <w:t>每个项目的保证金缴纳账户是唯一的，本司将根据唯一保证金缴纳账户的缴纳情况，确认</w:t>
      </w:r>
      <w:r>
        <w:rPr>
          <w:rFonts w:hint="eastAsia" w:ascii="宋体" w:hAnsi="宋体" w:cs="宋体"/>
          <w:color w:val="auto"/>
          <w:highlight w:val="none"/>
          <w:lang w:eastAsia="zh-CN"/>
        </w:rPr>
        <w:t>供应商</w:t>
      </w:r>
      <w:r>
        <w:rPr>
          <w:rFonts w:hint="eastAsia" w:ascii="宋体" w:hAnsi="宋体" w:cs="宋体"/>
          <w:color w:val="auto"/>
          <w:highlight w:val="none"/>
        </w:rPr>
        <w:t>是否已按规定缴纳项目保证金。所以请各</w:t>
      </w:r>
      <w:r>
        <w:rPr>
          <w:rFonts w:hint="eastAsia" w:ascii="宋体" w:hAnsi="宋体" w:cs="宋体"/>
          <w:color w:val="auto"/>
          <w:highlight w:val="none"/>
          <w:lang w:eastAsia="zh-CN"/>
        </w:rPr>
        <w:t>供应商</w:t>
      </w:r>
      <w:r>
        <w:rPr>
          <w:rFonts w:hint="eastAsia" w:ascii="宋体" w:hAnsi="宋体" w:cs="宋体"/>
          <w:color w:val="auto"/>
          <w:highlight w:val="none"/>
        </w:rPr>
        <w:t>缴纳保证金前务必核对正确的缴纳账户，错缴误缴导致未按项目缴纳保证金的情况将由</w:t>
      </w:r>
      <w:r>
        <w:rPr>
          <w:rFonts w:hint="eastAsia" w:ascii="宋体" w:hAnsi="宋体" w:cs="宋体"/>
          <w:color w:val="auto"/>
          <w:highlight w:val="none"/>
          <w:lang w:eastAsia="zh-CN"/>
        </w:rPr>
        <w:t>供应商</w:t>
      </w:r>
      <w:r>
        <w:rPr>
          <w:rFonts w:hint="eastAsia" w:ascii="宋体" w:hAnsi="宋体" w:cs="宋体"/>
          <w:color w:val="auto"/>
          <w:highlight w:val="none"/>
        </w:rPr>
        <w:t>自行负责。</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、投标/报价保证金必须于招标文件递交截止时间前到达广东省机电设备招标有限公司的账户。</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、未中标</w:t>
      </w:r>
      <w:r>
        <w:rPr>
          <w:rFonts w:hint="eastAsia" w:ascii="宋体" w:hAnsi="宋体" w:cs="宋体"/>
          <w:color w:val="auto"/>
          <w:highlight w:val="none"/>
          <w:lang w:val="en-US" w:eastAsia="zh-CN"/>
        </w:rPr>
        <w:t>的供应商</w:t>
      </w:r>
      <w:r>
        <w:rPr>
          <w:rFonts w:hint="eastAsia" w:ascii="宋体" w:hAnsi="宋体" w:cs="宋体"/>
          <w:color w:val="auto"/>
          <w:highlight w:val="none"/>
        </w:rPr>
        <w:t>的投标保证金退款程序：在</w:t>
      </w:r>
      <w:r>
        <w:rPr>
          <w:rFonts w:hint="eastAsia" w:ascii="宋体" w:hAnsi="宋体" w:cs="宋体"/>
          <w:b/>
          <w:color w:val="auto"/>
          <w:highlight w:val="none"/>
          <w:u w:val="single"/>
        </w:rPr>
        <w:t>中标通知书发出后的五个工作日内</w:t>
      </w:r>
      <w:r>
        <w:rPr>
          <w:rFonts w:hint="eastAsia" w:ascii="宋体" w:hAnsi="宋体" w:cs="宋体"/>
          <w:color w:val="auto"/>
          <w:highlight w:val="none"/>
        </w:rPr>
        <w:t>按规定程序原额退还。</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、中标</w:t>
      </w:r>
      <w:r>
        <w:rPr>
          <w:rFonts w:hint="eastAsia" w:ascii="宋体" w:hAnsi="宋体" w:cs="宋体"/>
          <w:color w:val="auto"/>
          <w:highlight w:val="none"/>
          <w:lang w:eastAsia="zh-CN"/>
        </w:rPr>
        <w:t>人</w:t>
      </w:r>
      <w:r>
        <w:rPr>
          <w:rFonts w:hint="eastAsia" w:ascii="宋体" w:hAnsi="宋体" w:cs="宋体"/>
          <w:color w:val="auto"/>
          <w:highlight w:val="none"/>
        </w:rPr>
        <w:t>的投标保证金退款程序：在</w:t>
      </w:r>
      <w:r>
        <w:rPr>
          <w:rFonts w:hint="eastAsia" w:ascii="宋体" w:hAnsi="宋体" w:cs="宋体"/>
          <w:b/>
          <w:color w:val="auto"/>
          <w:highlight w:val="none"/>
          <w:u w:val="single"/>
        </w:rPr>
        <w:t>收到</w:t>
      </w:r>
      <w:r>
        <w:rPr>
          <w:rFonts w:hint="eastAsia" w:ascii="宋体" w:hAnsi="宋体" w:cs="宋体"/>
          <w:color w:val="auto"/>
          <w:highlight w:val="none"/>
        </w:rPr>
        <w:t>中标</w:t>
      </w:r>
      <w:r>
        <w:rPr>
          <w:rFonts w:hint="eastAsia" w:ascii="宋体" w:hAnsi="宋体" w:cs="宋体"/>
          <w:color w:val="auto"/>
          <w:highlight w:val="none"/>
          <w:lang w:val="en-US" w:eastAsia="zh-CN"/>
        </w:rPr>
        <w:t>人</w:t>
      </w:r>
      <w:r>
        <w:rPr>
          <w:rFonts w:hint="eastAsia" w:ascii="宋体" w:hAnsi="宋体" w:cs="宋体"/>
          <w:color w:val="auto"/>
          <w:highlight w:val="none"/>
        </w:rPr>
        <w:t>提交的</w:t>
      </w:r>
      <w:r>
        <w:rPr>
          <w:rFonts w:hint="eastAsia" w:ascii="宋体" w:hAnsi="宋体" w:cs="宋体"/>
          <w:b/>
          <w:color w:val="auto"/>
          <w:highlight w:val="none"/>
          <w:u w:val="single"/>
        </w:rPr>
        <w:t>合同原件或复印件后五个工作日内</w:t>
      </w:r>
      <w:r>
        <w:rPr>
          <w:rFonts w:hint="eastAsia" w:ascii="宋体" w:hAnsi="宋体" w:cs="宋体"/>
          <w:color w:val="auto"/>
          <w:highlight w:val="none"/>
        </w:rPr>
        <w:t>原额退还。</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、如招标文件有澄清、修改或者延期的，我司会在相关媒体上发布公告，并</w:t>
      </w:r>
      <w:r>
        <w:rPr>
          <w:rFonts w:hint="eastAsia" w:ascii="宋体" w:hAnsi="宋体" w:cs="宋体"/>
          <w:b/>
          <w:color w:val="auto"/>
          <w:highlight w:val="none"/>
          <w:u w:val="single"/>
        </w:rPr>
        <w:t>以电子邮件的形式</w:t>
      </w:r>
      <w:r>
        <w:rPr>
          <w:rFonts w:hint="eastAsia" w:ascii="宋体" w:hAnsi="宋体" w:cs="宋体"/>
          <w:color w:val="auto"/>
          <w:highlight w:val="none"/>
        </w:rPr>
        <w:t>通知所有登记及购买招标文件的</w:t>
      </w:r>
      <w:r>
        <w:rPr>
          <w:rFonts w:hint="eastAsia" w:ascii="宋体" w:hAnsi="宋体" w:cs="宋体"/>
          <w:color w:val="auto"/>
          <w:highlight w:val="none"/>
          <w:lang w:eastAsia="zh-CN"/>
        </w:rPr>
        <w:t>供应商</w:t>
      </w:r>
      <w:r>
        <w:rPr>
          <w:rFonts w:hint="eastAsia" w:ascii="宋体" w:hAnsi="宋体" w:cs="宋体"/>
          <w:color w:val="auto"/>
          <w:highlight w:val="none"/>
        </w:rPr>
        <w:t>。</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、如投标/报价产品属于许可证管理范围内的，须提交相应的许可证复印件。</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、如</w:t>
      </w:r>
      <w:r>
        <w:rPr>
          <w:rFonts w:hint="eastAsia" w:ascii="宋体" w:hAnsi="宋体" w:cs="宋体"/>
          <w:color w:val="auto"/>
          <w:highlight w:val="none"/>
          <w:lang w:eastAsia="zh-CN"/>
        </w:rPr>
        <w:t>供应商</w:t>
      </w:r>
      <w:r>
        <w:rPr>
          <w:rFonts w:hint="eastAsia" w:ascii="宋体" w:hAnsi="宋体" w:cs="宋体"/>
          <w:color w:val="auto"/>
          <w:highlight w:val="none"/>
        </w:rPr>
        <w:t>以非独立法人注册的分公司名义代表总公司盖章和签署文件的，须提供总公司的营业执照副本复印件及总公司针对本项目投标/报价的授权书原件。</w:t>
      </w:r>
    </w:p>
    <w:p>
      <w:pPr>
        <w:tabs>
          <w:tab w:val="left" w:pos="851"/>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、为了提高采购效率，节约社会交易成本与时间，本司希望购买了招标文件而决定不参加本次投标的</w:t>
      </w:r>
      <w:r>
        <w:rPr>
          <w:rFonts w:hint="eastAsia" w:ascii="宋体" w:hAnsi="宋体" w:cs="宋体"/>
          <w:color w:val="auto"/>
          <w:highlight w:val="none"/>
          <w:lang w:eastAsia="zh-CN"/>
        </w:rPr>
        <w:t>供应商</w:t>
      </w:r>
      <w:r>
        <w:rPr>
          <w:rFonts w:hint="eastAsia" w:ascii="宋体" w:hAnsi="宋体" w:cs="宋体"/>
          <w:color w:val="auto"/>
          <w:highlight w:val="none"/>
        </w:rPr>
        <w:t>，在投标/报价文件递交截止时间的3日前，按《投标/报价邀请函》中的联系方式，以书面形式告知招标代理机构。对您的支持与配合，谨此致谢。</w:t>
      </w:r>
    </w:p>
    <w:p>
      <w:pPr>
        <w:tabs>
          <w:tab w:val="left" w:pos="851"/>
        </w:tabs>
        <w:snapToGrid w:val="0"/>
        <w:spacing w:line="360" w:lineRule="auto"/>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、因场地有限，本公司无法提供停车位，不便之处敬请谅解</w:t>
      </w:r>
      <w:r>
        <w:rPr>
          <w:rFonts w:hint="eastAsia" w:ascii="宋体" w:hAnsi="宋体" w:cs="宋体"/>
          <w:color w:val="auto"/>
          <w:szCs w:val="21"/>
          <w:highlight w:val="none"/>
        </w:rPr>
        <w:t>。</w:t>
      </w:r>
    </w:p>
    <w:p>
      <w:pPr>
        <w:tabs>
          <w:tab w:val="left" w:pos="851"/>
        </w:tabs>
        <w:snapToGrid w:val="0"/>
        <w:spacing w:line="360" w:lineRule="auto"/>
        <w:jc w:val="center"/>
        <w:rPr>
          <w:rFonts w:hint="eastAsia" w:ascii="宋体" w:hAnsi="宋体" w:cs="宋体"/>
          <w:b/>
          <w:color w:val="auto"/>
          <w:sz w:val="44"/>
          <w:szCs w:val="32"/>
          <w:highlight w:val="none"/>
        </w:rPr>
        <w:sectPr>
          <w:footerReference r:id="rId5" w:type="default"/>
          <w:pgSz w:w="11906" w:h="16838"/>
          <w:pgMar w:top="1134" w:right="1418" w:bottom="1134"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7"/>
        <w:rPr>
          <w:rFonts w:hint="eastAsia" w:hAnsi="宋体" w:cs="宋体"/>
          <w:color w:val="auto"/>
          <w:highlight w:val="none"/>
        </w:rPr>
      </w:pPr>
    </w:p>
    <w:p>
      <w:pPr>
        <w:tabs>
          <w:tab w:val="left" w:pos="851"/>
        </w:tabs>
        <w:snapToGrid w:val="0"/>
        <w:spacing w:line="360" w:lineRule="auto"/>
        <w:jc w:val="center"/>
        <w:rPr>
          <w:rFonts w:hint="eastAsia" w:ascii="宋体" w:hAnsi="宋体" w:cs="宋体"/>
          <w:b/>
          <w:color w:val="auto"/>
          <w:sz w:val="44"/>
          <w:szCs w:val="32"/>
          <w:highlight w:val="none"/>
        </w:rPr>
      </w:pPr>
      <w:r>
        <w:rPr>
          <w:rFonts w:hint="eastAsia" w:ascii="宋体" w:hAnsi="宋体" w:cs="宋体"/>
          <w:b/>
          <w:color w:val="auto"/>
          <w:sz w:val="44"/>
          <w:szCs w:val="32"/>
          <w:highlight w:val="none"/>
        </w:rPr>
        <w:t>目 录</w:t>
      </w:r>
    </w:p>
    <w:p>
      <w:pPr>
        <w:pStyle w:val="39"/>
        <w:tabs>
          <w:tab w:val="right" w:leader="dot" w:pos="9070"/>
        </w:tabs>
        <w:rPr>
          <w:rFonts w:hint="eastAsia" w:ascii="宋体" w:hAnsi="宋体" w:cs="宋体"/>
          <w:color w:val="auto"/>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"1-1" \h \u </w:instrText>
      </w:r>
      <w:r>
        <w:rPr>
          <w:rFonts w:hint="eastAsia" w:ascii="宋体" w:hAnsi="宋体" w:cs="宋体"/>
          <w:color w:val="auto"/>
          <w:sz w:val="30"/>
          <w:szCs w:val="30"/>
          <w:highlight w:val="none"/>
        </w:rPr>
        <w:fldChar w:fldCharType="separate"/>
      </w:r>
    </w:p>
    <w:p>
      <w:pPr>
        <w:pStyle w:val="39"/>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_Toc12054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第一章  投标邀请函</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_Toc12054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9"/>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_Toc9976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第二章  投标人须知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_Toc9976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7</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9"/>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_Toc5009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第三章  用户需求书</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_Toc5009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9"/>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_Toc30591 </w:instrText>
      </w:r>
      <w:r>
        <w:rPr>
          <w:rFonts w:hint="eastAsia" w:ascii="宋体" w:hAnsi="宋体" w:cs="宋体"/>
          <w:color w:val="auto"/>
          <w:sz w:val="32"/>
          <w:szCs w:val="32"/>
          <w:highlight w:val="none"/>
        </w:rPr>
        <w:fldChar w:fldCharType="separate"/>
      </w:r>
      <w:r>
        <w:rPr>
          <w:rFonts w:hint="eastAsia" w:ascii="宋体" w:hAnsi="宋体" w:cs="宋体"/>
          <w:bCs/>
          <w:color w:val="auto"/>
          <w:sz w:val="32"/>
          <w:szCs w:val="32"/>
          <w:highlight w:val="none"/>
        </w:rPr>
        <w:t>第四章  合同格式</w:t>
      </w:r>
      <w:bookmarkStart w:id="2" w:name="_Hlt175214023"/>
      <w:bookmarkStart w:id="3" w:name="_Hlt175214022"/>
      <w:r>
        <w:rPr>
          <w:rFonts w:hint="eastAsia" w:ascii="宋体" w:hAnsi="宋体" w:cs="宋体"/>
          <w:bCs/>
          <w:color w:val="auto"/>
          <w:sz w:val="32"/>
          <w:szCs w:val="32"/>
          <w:highlight w:val="none"/>
        </w:rPr>
        <w:t>（</w:t>
      </w:r>
      <w:bookmarkEnd w:id="2"/>
      <w:bookmarkEnd w:id="3"/>
      <w:r>
        <w:rPr>
          <w:rFonts w:hint="eastAsia" w:ascii="宋体" w:hAnsi="宋体" w:cs="宋体"/>
          <w:bCs/>
          <w:color w:val="auto"/>
          <w:sz w:val="32"/>
          <w:szCs w:val="32"/>
          <w:highlight w:val="none"/>
        </w:rPr>
        <w:t>参考）</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_Toc30591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29</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9"/>
        <w:tabs>
          <w:tab w:val="right" w:leader="dot" w:pos="9070"/>
        </w:tabs>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_Toc31761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第五章  投标文件格式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_Toc31761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49</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9"/>
        <w:tabs>
          <w:tab w:val="right" w:leader="dot" w:pos="9070"/>
        </w:tabs>
        <w:spacing w:line="480" w:lineRule="auto"/>
        <w:rPr>
          <w:rFonts w:hint="eastAsia" w:ascii="宋体" w:hAnsi="宋体" w:cs="宋体"/>
          <w:color w:val="auto"/>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\l _Toc5715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第六章  评标办法</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_Toc5715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71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39"/>
        <w:tabs>
          <w:tab w:val="right" w:leader="dot" w:pos="9070"/>
        </w:tabs>
        <w:rPr>
          <w:rFonts w:hint="eastAsia" w:ascii="宋体" w:hAnsi="宋体" w:cs="宋体"/>
          <w:color w:val="auto"/>
          <w:highlight w:val="none"/>
        </w:rPr>
      </w:pPr>
    </w:p>
    <w:p>
      <w:pPr>
        <w:rPr>
          <w:rFonts w:hint="eastAsia" w:ascii="宋体" w:hAnsi="宋体" w:cs="宋体"/>
          <w:color w:val="auto"/>
          <w:sz w:val="30"/>
          <w:szCs w:val="30"/>
          <w:highlight w:val="none"/>
        </w:rPr>
        <w:sectPr>
          <w:footerReference r:id="rId6" w:type="default"/>
          <w:pgSz w:w="11906" w:h="16838"/>
          <w:pgMar w:top="1134" w:right="1418" w:bottom="1134"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30"/>
          <w:highlight w:val="none"/>
        </w:rPr>
        <w:fldChar w:fldCharType="end"/>
      </w:r>
    </w:p>
    <w:p>
      <w:pPr>
        <w:pStyle w:val="17"/>
        <w:rPr>
          <w:rFonts w:hint="eastAsia" w:hAnsi="宋体" w:cs="宋体"/>
          <w:color w:val="auto"/>
          <w:highlight w:val="none"/>
        </w:rPr>
      </w:pPr>
    </w:p>
    <w:p>
      <w:pPr>
        <w:spacing w:before="312" w:beforeLines="100" w:after="312" w:afterLines="100"/>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spacing w:line="360" w:lineRule="auto"/>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4" w:name="_Toc12054"/>
      <w:r>
        <w:rPr>
          <w:rFonts w:hint="eastAsia" w:ascii="宋体" w:hAnsi="宋体" w:cs="宋体"/>
          <w:b/>
          <w:color w:val="auto"/>
          <w:sz w:val="44"/>
          <w:szCs w:val="44"/>
          <w:highlight w:val="none"/>
        </w:rPr>
        <w:t>第一章</w:t>
      </w:r>
      <w:bookmarkStart w:id="5" w:name="_Toc477186208"/>
      <w:r>
        <w:rPr>
          <w:rFonts w:hint="eastAsia" w:ascii="宋体" w:hAnsi="宋体" w:cs="宋体"/>
          <w:b/>
          <w:color w:val="auto"/>
          <w:sz w:val="44"/>
          <w:szCs w:val="44"/>
          <w:highlight w:val="none"/>
        </w:rPr>
        <w:t xml:space="preserve">  投标邀请函</w:t>
      </w:r>
      <w:bookmarkEnd w:id="4"/>
      <w:bookmarkEnd w:id="5"/>
    </w:p>
    <w:p>
      <w:pPr>
        <w:tabs>
          <w:tab w:val="left" w:pos="6420"/>
        </w:tabs>
        <w:adjustRightInd w:val="0"/>
        <w:snapToGrid w:val="0"/>
        <w:spacing w:line="360" w:lineRule="auto"/>
        <w:jc w:val="center"/>
        <w:rPr>
          <w:rFonts w:hint="eastAsia" w:ascii="宋体" w:hAnsi="宋体" w:cs="宋体"/>
          <w:b/>
          <w:color w:val="auto"/>
          <w:kern w:val="28"/>
          <w:sz w:val="32"/>
          <w:highlight w:val="none"/>
        </w:rPr>
      </w:pPr>
      <w:r>
        <w:rPr>
          <w:rFonts w:hint="eastAsia" w:ascii="宋体" w:hAnsi="宋体" w:cs="宋体"/>
          <w:color w:val="auto"/>
          <w:sz w:val="24"/>
          <w:highlight w:val="none"/>
        </w:rPr>
        <w:br w:type="page"/>
      </w:r>
      <w:r>
        <w:rPr>
          <w:rFonts w:hint="eastAsia" w:ascii="宋体" w:hAnsi="宋体" w:cs="宋体"/>
          <w:b/>
          <w:color w:val="auto"/>
          <w:kern w:val="28"/>
          <w:sz w:val="32"/>
          <w:highlight w:val="none"/>
        </w:rPr>
        <w:t>投 标 邀 请 函</w:t>
      </w:r>
    </w:p>
    <w:p>
      <w:pPr>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lang w:eastAsia="zh-CN"/>
        </w:rPr>
        <w:t>M4400000707537483</w:t>
      </w:r>
      <w:r>
        <w:rPr>
          <w:rFonts w:hint="eastAsia" w:ascii="宋体" w:hAnsi="宋体" w:cs="宋体"/>
          <w:color w:val="auto"/>
          <w:szCs w:val="24"/>
          <w:highlight w:val="none"/>
        </w:rPr>
        <w:t>]</w:t>
      </w:r>
    </w:p>
    <w:p>
      <w:pPr>
        <w:spacing w:line="360" w:lineRule="auto"/>
        <w:ind w:left="-359" w:leftChars="-171" w:firstLine="464" w:firstLineChars="220"/>
        <w:rPr>
          <w:rFonts w:hint="eastAsia" w:ascii="宋体" w:hAnsi="宋体" w:cs="宋体"/>
          <w:b/>
          <w:color w:val="auto"/>
          <w:kern w:val="28"/>
          <w:sz w:val="32"/>
          <w:highlight w:val="none"/>
        </w:rPr>
      </w:pPr>
      <w:r>
        <w:rPr>
          <w:rFonts w:hint="eastAsia" w:ascii="宋体" w:hAnsi="宋体" w:cs="宋体"/>
          <w:b/>
          <w:color w:val="auto"/>
          <w:kern w:val="28"/>
          <w:highlight w:val="none"/>
        </w:rPr>
        <w:t>广东省机电设备招标有限公司</w:t>
      </w:r>
      <w:r>
        <w:rPr>
          <w:rFonts w:hint="eastAsia" w:ascii="宋体" w:hAnsi="宋体" w:cs="宋体"/>
          <w:color w:val="auto"/>
          <w:kern w:val="28"/>
          <w:highlight w:val="none"/>
        </w:rPr>
        <w:t>（以下称“招标代理机构”）受</w:t>
      </w:r>
      <w:r>
        <w:rPr>
          <w:rFonts w:hint="eastAsia" w:ascii="宋体" w:hAnsi="宋体" w:cs="宋体"/>
          <w:b/>
          <w:bCs/>
          <w:color w:val="auto"/>
          <w:highlight w:val="none"/>
          <w:lang w:eastAsia="zh-CN"/>
        </w:rPr>
        <w:t>广东南方日报展示科技有限公司</w:t>
      </w:r>
      <w:r>
        <w:rPr>
          <w:rFonts w:hint="eastAsia" w:ascii="宋体" w:hAnsi="宋体" w:cs="宋体"/>
          <w:color w:val="auto"/>
          <w:kern w:val="28"/>
          <w:highlight w:val="none"/>
        </w:rPr>
        <w:t>（以下称“招标人”）的委托，就</w:t>
      </w:r>
      <w:r>
        <w:rPr>
          <w:rFonts w:hint="eastAsia" w:ascii="宋体" w:hAnsi="宋体" w:cs="宋体"/>
          <w:b/>
          <w:bCs/>
          <w:color w:val="auto"/>
          <w:highlight w:val="none"/>
          <w:lang w:eastAsia="zh-CN"/>
        </w:rPr>
        <w:t>南方展示布展实施及展陈多媒体硬件年度供应商</w:t>
      </w:r>
      <w:r>
        <w:rPr>
          <w:rFonts w:hint="eastAsia" w:ascii="宋体" w:hAnsi="宋体" w:cs="宋体"/>
          <w:color w:val="auto"/>
          <w:kern w:val="28"/>
          <w:highlight w:val="none"/>
        </w:rPr>
        <w:t>进行国内公开招标。</w:t>
      </w:r>
      <w:r>
        <w:rPr>
          <w:rFonts w:hint="eastAsia" w:ascii="宋体" w:hAnsi="宋体" w:cs="宋体"/>
          <w:color w:val="auto"/>
          <w:highlight w:val="none"/>
        </w:rPr>
        <w:t>有关事项如下</w:t>
      </w:r>
      <w:r>
        <w:rPr>
          <w:rFonts w:hint="eastAsia" w:ascii="宋体" w:hAnsi="宋体" w:cs="宋体"/>
          <w:color w:val="auto"/>
          <w:highlight w:val="none"/>
          <w:lang w:eastAsia="zh-CN"/>
        </w:rPr>
        <w:t>（</w:t>
      </w:r>
      <w:r>
        <w:rPr>
          <w:rFonts w:hint="eastAsia" w:ascii="宋体" w:hAnsi="宋体"/>
          <w:szCs w:val="21"/>
          <w:lang w:val="en-US" w:eastAsia="zh-CN"/>
        </w:rPr>
        <w:t>如非特别说明，</w:t>
      </w:r>
      <w:r>
        <w:rPr>
          <w:rFonts w:hint="eastAsia" w:ascii="宋体" w:hAnsi="宋体"/>
          <w:szCs w:val="21"/>
        </w:rPr>
        <w:t>招标文件中各项规定</w:t>
      </w:r>
      <w:r>
        <w:rPr>
          <w:rFonts w:hint="eastAsia" w:ascii="宋体" w:hAnsi="宋体"/>
          <w:szCs w:val="21"/>
          <w:lang w:val="en-US" w:eastAsia="zh-CN"/>
        </w:rPr>
        <w:t>适用于两个子</w:t>
      </w:r>
      <w:r>
        <w:rPr>
          <w:rFonts w:hint="eastAsia" w:ascii="宋体" w:hAnsi="宋体"/>
          <w:szCs w:val="21"/>
        </w:rPr>
        <w:t>包</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pPr>
        <w:tabs>
          <w:tab w:val="left" w:pos="0"/>
        </w:tabs>
        <w:spacing w:line="360" w:lineRule="auto"/>
        <w:outlineLvl w:val="0"/>
        <w:rPr>
          <w:rFonts w:hint="eastAsia" w:ascii="宋体" w:hAnsi="宋体" w:cs="宋体"/>
          <w:b/>
          <w:color w:val="auto"/>
          <w:highlight w:val="none"/>
        </w:rPr>
      </w:pPr>
      <w:bookmarkStart w:id="6" w:name="_Toc476177325"/>
      <w:bookmarkStart w:id="7" w:name="_Toc477185848"/>
      <w:bookmarkStart w:id="8" w:name="_Toc476177879"/>
      <w:bookmarkStart w:id="9" w:name="_Toc477186209"/>
      <w:bookmarkStart w:id="10" w:name="_Toc19867"/>
      <w:r>
        <w:rPr>
          <w:rFonts w:hint="eastAsia" w:ascii="宋体" w:hAnsi="宋体" w:cs="宋体"/>
          <w:b/>
          <w:color w:val="auto"/>
          <w:highlight w:val="none"/>
        </w:rPr>
        <w:t>一、项目概况</w:t>
      </w:r>
      <w:bookmarkEnd w:id="6"/>
      <w:bookmarkEnd w:id="7"/>
      <w:bookmarkEnd w:id="8"/>
      <w:bookmarkEnd w:id="9"/>
      <w:bookmarkEnd w:id="10"/>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4"/>
          <w:highlight w:val="none"/>
        </w:rPr>
        <w:t>项目编号：</w:t>
      </w:r>
      <w:r>
        <w:rPr>
          <w:rFonts w:hint="eastAsia" w:ascii="宋体" w:hAnsi="宋体" w:cs="宋体"/>
          <w:color w:val="auto"/>
          <w:szCs w:val="24"/>
          <w:highlight w:val="none"/>
          <w:lang w:eastAsia="zh-CN"/>
        </w:rPr>
        <w:t>M4400000707537483</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项目名称：</w:t>
      </w:r>
      <w:r>
        <w:rPr>
          <w:rFonts w:hint="eastAsia" w:ascii="宋体" w:hAnsi="宋体" w:cs="宋体"/>
          <w:b/>
          <w:color w:val="auto"/>
          <w:szCs w:val="21"/>
          <w:highlight w:val="none"/>
          <w:lang w:eastAsia="zh-CN"/>
        </w:rPr>
        <w:t>南方展示布展实施及展陈多媒体硬件年度供应商</w:t>
      </w:r>
      <w:r>
        <w:rPr>
          <w:rFonts w:hint="eastAsia" w:ascii="宋体" w:hAnsi="宋体" w:cs="宋体"/>
          <w:b/>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bookmarkStart w:id="11" w:name="_Toc477185849"/>
      <w:bookmarkStart w:id="12" w:name="_Toc476177880"/>
      <w:bookmarkStart w:id="13" w:name="_Toc477186210"/>
      <w:bookmarkStart w:id="14" w:name="_Toc476177326"/>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r>
        <w:rPr>
          <w:rFonts w:hint="eastAsia" w:ascii="宋体" w:hAnsi="宋体" w:cs="宋体"/>
          <w:szCs w:val="24"/>
          <w:highlight w:val="none"/>
          <w:lang w:val="en-US" w:eastAsia="zh-CN"/>
        </w:rPr>
        <w:t>、</w:t>
      </w:r>
      <w:r>
        <w:rPr>
          <w:rFonts w:hint="eastAsia" w:ascii="宋体" w:hAnsi="宋体" w:eastAsia="宋体" w:cs="宋体"/>
          <w:szCs w:val="24"/>
        </w:rPr>
        <w:t>项目概况:</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7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pct"/>
          </w:tcPr>
          <w:p>
            <w:pPr>
              <w:spacing w:line="360" w:lineRule="auto"/>
              <w:jc w:val="left"/>
              <w:rPr>
                <w:rFonts w:hint="default" w:ascii="宋体" w:hAnsi="宋体" w:cs="宋体"/>
                <w:szCs w:val="24"/>
                <w:vertAlign w:val="baseline"/>
                <w:lang w:val="en-US" w:eastAsia="zh-CN"/>
              </w:rPr>
            </w:pPr>
            <w:r>
              <w:rPr>
                <w:rFonts w:hint="eastAsia" w:ascii="宋体" w:hAnsi="宋体" w:cs="宋体"/>
                <w:szCs w:val="24"/>
                <w:vertAlign w:val="baseline"/>
                <w:lang w:val="en-US" w:eastAsia="zh-CN"/>
              </w:rPr>
              <w:t>序号</w:t>
            </w:r>
          </w:p>
        </w:tc>
        <w:tc>
          <w:tcPr>
            <w:tcW w:w="3936" w:type="pct"/>
          </w:tcPr>
          <w:p>
            <w:pPr>
              <w:spacing w:line="360" w:lineRule="auto"/>
              <w:jc w:val="left"/>
              <w:rPr>
                <w:rFonts w:hint="default" w:ascii="宋体" w:hAnsi="宋体" w:cs="宋体"/>
                <w:szCs w:val="24"/>
                <w:vertAlign w:val="baseline"/>
                <w:lang w:val="en-US" w:eastAsia="zh-CN"/>
              </w:rPr>
            </w:pPr>
            <w:r>
              <w:rPr>
                <w:rFonts w:hint="eastAsia" w:ascii="宋体" w:hAnsi="宋体" w:cs="宋体"/>
                <w:szCs w:val="24"/>
                <w:vertAlign w:val="baseline"/>
                <w:lang w:val="en-US" w:eastAsia="zh-CN"/>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pct"/>
          </w:tcPr>
          <w:p>
            <w:pPr>
              <w:spacing w:line="360" w:lineRule="auto"/>
              <w:jc w:val="left"/>
              <w:rPr>
                <w:rFonts w:hint="eastAsia" w:ascii="宋体" w:hAnsi="宋体" w:cs="宋体"/>
                <w:szCs w:val="24"/>
                <w:lang w:val="en-US" w:eastAsia="zh-CN"/>
              </w:rPr>
            </w:pPr>
            <w:r>
              <w:rPr>
                <w:rFonts w:hint="eastAsia" w:ascii="宋体" w:hAnsi="宋体" w:cs="宋体"/>
                <w:szCs w:val="24"/>
                <w:lang w:val="en-US" w:eastAsia="zh-CN"/>
              </w:rPr>
              <w:t>子包1：布展实施年度供应商</w:t>
            </w:r>
          </w:p>
          <w:p>
            <w:pPr>
              <w:spacing w:line="360" w:lineRule="auto"/>
              <w:jc w:val="left"/>
              <w:rPr>
                <w:rFonts w:hint="eastAsia" w:ascii="宋体" w:hAnsi="宋体" w:cs="宋体"/>
                <w:szCs w:val="24"/>
                <w:vertAlign w:val="baseline"/>
                <w:lang w:val="en-US" w:eastAsia="zh-CN"/>
              </w:rPr>
            </w:pPr>
          </w:p>
        </w:tc>
        <w:tc>
          <w:tcPr>
            <w:tcW w:w="3936" w:type="pct"/>
          </w:tcPr>
          <w:p>
            <w:pPr>
              <w:spacing w:line="360" w:lineRule="auto"/>
              <w:jc w:val="left"/>
              <w:rPr>
                <w:rFonts w:hint="eastAsia" w:ascii="宋体" w:hAnsi="宋体" w:cs="宋体"/>
                <w:szCs w:val="24"/>
                <w:vertAlign w:val="baseline"/>
                <w:lang w:val="en-US" w:eastAsia="zh-CN"/>
              </w:rPr>
            </w:pPr>
            <w:r>
              <w:rPr>
                <w:rFonts w:hint="eastAsia" w:ascii="宋体" w:hAnsi="宋体" w:cs="宋体"/>
                <w:szCs w:val="24"/>
                <w:vertAlign w:val="baseline"/>
                <w:lang w:val="en-US" w:eastAsia="zh-CN"/>
              </w:rPr>
              <w:t>通过公开招标</w:t>
            </w:r>
            <w:r>
              <w:rPr>
                <w:rFonts w:hint="eastAsia" w:ascii="宋体" w:hAnsi="宋体" w:eastAsia="宋体" w:cs="宋体"/>
                <w:szCs w:val="24"/>
                <w:vertAlign w:val="baseline"/>
                <w:lang w:val="en-US" w:eastAsia="zh-CN"/>
              </w:rPr>
              <w:t>方式选取6家布展实施年度供应商，</w:t>
            </w:r>
            <w:r>
              <w:rPr>
                <w:rFonts w:hint="eastAsia" w:ascii="宋体" w:hAnsi="宋体" w:cs="宋体"/>
                <w:szCs w:val="24"/>
                <w:vertAlign w:val="baseline"/>
                <w:lang w:val="en-US" w:eastAsia="zh-CN"/>
              </w:rPr>
              <w:t>在服务期内，</w:t>
            </w:r>
            <w:r>
              <w:rPr>
                <w:rFonts w:hint="eastAsia" w:ascii="宋体" w:hAnsi="宋体" w:eastAsia="宋体" w:cs="宋体"/>
                <w:szCs w:val="24"/>
                <w:vertAlign w:val="baseline"/>
                <w:lang w:val="en-US" w:eastAsia="zh-CN"/>
              </w:rPr>
              <w:t>中标人</w:t>
            </w:r>
            <w:r>
              <w:rPr>
                <w:rFonts w:hint="eastAsia" w:ascii="宋体" w:hAnsi="宋体"/>
                <w:color w:val="auto"/>
                <w:szCs w:val="21"/>
                <w:highlight w:val="none"/>
                <w:lang w:val="en-US" w:eastAsia="zh-CN"/>
              </w:rPr>
              <w:t>根据招标人提供的具体项目设计方案、施工图纸（或空间模型）及报价材料等，负责项目</w:t>
            </w:r>
            <w:r>
              <w:rPr>
                <w:rFonts w:hint="eastAsia" w:ascii="宋体" w:hAnsi="宋体" w:eastAsia="宋体" w:cs="宋体"/>
                <w:szCs w:val="24"/>
                <w:vertAlign w:val="baseline"/>
                <w:lang w:val="en-US" w:eastAsia="zh-CN"/>
              </w:rPr>
              <w:t>的布展实施工作</w:t>
            </w:r>
            <w:r>
              <w:rPr>
                <w:rFonts w:hint="eastAsia" w:ascii="宋体" w:hAnsi="宋体"/>
                <w:color w:val="auto"/>
                <w:szCs w:val="21"/>
                <w:highlight w:val="none"/>
                <w:lang w:val="en-US" w:eastAsia="zh-CN"/>
              </w:rPr>
              <w:t>及相关配套服务</w:t>
            </w:r>
            <w:r>
              <w:rPr>
                <w:rFonts w:hint="eastAsia" w:ascii="宋体" w:hAnsi="宋体" w:eastAsia="宋体" w:cs="宋体"/>
                <w:szCs w:val="24"/>
                <w:vertAlign w:val="baseline"/>
                <w:lang w:val="en-US" w:eastAsia="zh-CN"/>
              </w:rPr>
              <w:t>，包括但不限于</w:t>
            </w:r>
            <w:r>
              <w:rPr>
                <w:rFonts w:hint="eastAsia" w:ascii="宋体" w:hAnsi="宋体" w:cs="宋体"/>
                <w:szCs w:val="24"/>
                <w:vertAlign w:val="baseline"/>
                <w:lang w:val="en-US" w:eastAsia="zh-CN"/>
              </w:rPr>
              <w:t>：装饰装修、强弱电配套、空调通风、消防配套、灯光设备、平面展陈、多媒体设备协同等施工及实施服务，以及项目资料整理、质保期维保等配套服务。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pct"/>
          </w:tcPr>
          <w:p>
            <w:pPr>
              <w:spacing w:line="360" w:lineRule="auto"/>
              <w:jc w:val="left"/>
              <w:rPr>
                <w:rFonts w:hint="eastAsia" w:ascii="宋体" w:hAnsi="宋体" w:cs="宋体"/>
                <w:szCs w:val="24"/>
                <w:lang w:val="en-US" w:eastAsia="zh-CN"/>
              </w:rPr>
            </w:pPr>
            <w:r>
              <w:rPr>
                <w:rFonts w:hint="eastAsia" w:ascii="宋体" w:hAnsi="宋体" w:cs="宋体"/>
                <w:szCs w:val="24"/>
                <w:lang w:val="en-US" w:eastAsia="zh-CN"/>
              </w:rPr>
              <w:t>子包2：展陈多媒体硬件年度供应商</w:t>
            </w:r>
          </w:p>
          <w:p>
            <w:pPr>
              <w:spacing w:line="360" w:lineRule="auto"/>
              <w:jc w:val="left"/>
              <w:rPr>
                <w:rFonts w:hint="eastAsia" w:ascii="宋体" w:hAnsi="宋体" w:cs="宋体"/>
                <w:szCs w:val="24"/>
                <w:vertAlign w:val="baseline"/>
                <w:lang w:val="en-US" w:eastAsia="zh-CN"/>
              </w:rPr>
            </w:pPr>
          </w:p>
        </w:tc>
        <w:tc>
          <w:tcPr>
            <w:tcW w:w="3936" w:type="pct"/>
          </w:tcPr>
          <w:p>
            <w:pPr>
              <w:spacing w:line="360" w:lineRule="auto"/>
              <w:jc w:val="left"/>
              <w:rPr>
                <w:rFonts w:hint="eastAsia" w:ascii="宋体" w:hAnsi="宋体" w:cs="宋体"/>
                <w:szCs w:val="24"/>
                <w:vertAlign w:val="baseline"/>
                <w:lang w:val="en-US" w:eastAsia="zh-CN"/>
              </w:rPr>
            </w:pPr>
            <w:r>
              <w:rPr>
                <w:rFonts w:hint="eastAsia" w:ascii="宋体" w:hAnsi="宋体" w:cs="宋体"/>
                <w:szCs w:val="24"/>
                <w:vertAlign w:val="baseline"/>
                <w:lang w:val="en-US" w:eastAsia="zh-CN"/>
              </w:rPr>
              <w:t>通过公开招标方式选取5家展陈多媒体硬件年度供应商，在服务期内，中标人根据招标人提供的具体项目采购需求，负责各类多媒体硬件的供货、配套安装调试、售后维保等相关服务，供应硬件包括但不限于：常用尺寸触摸一体机、常用尺寸会议一体机、多规格显示一体机、高清工程投影机及配套幕布/支架、多媒体工控电脑/终端机、常用小间距LED显示屏、中控主机及配套控制硬件与系统、音视频采集/传输/播放设备、展陈专用音响功放及周边配件、互动展项配套硬件、布线及辅材等；需按要求提供硬件产品合格证明、检测报告等相关资料；负责硬件产品质保期内的维修、更换、保养等维保服务，以及质保期外的技术支持和有偿维修服务。</w:t>
            </w:r>
          </w:p>
        </w:tc>
      </w:tr>
    </w:tbl>
    <w:p>
      <w:pPr>
        <w:pStyle w:val="58"/>
        <w:adjustRightInd w:val="0"/>
        <w:snapToGrid w:val="0"/>
        <w:spacing w:line="440" w:lineRule="exact"/>
        <w:ind w:left="0" w:leftChars="0" w:firstLine="0" w:firstLineChars="0"/>
        <w:rPr>
          <w:rFonts w:hint="eastAsia" w:ascii="Times New Roman" w:hAnsi="Times New Roman" w:eastAsia="宋体" w:cs="Times New Roman"/>
          <w:color w:val="auto"/>
          <w:lang w:val="en-US" w:eastAsia="zh-CN"/>
        </w:rPr>
      </w:pPr>
      <w:r>
        <w:rPr>
          <w:rFonts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服务期限：</w:t>
      </w:r>
      <w:r>
        <w:rPr>
          <w:rFonts w:hint="eastAsia"/>
          <w:color w:val="auto"/>
          <w:szCs w:val="21"/>
          <w:lang w:eastAsia="zh-CN"/>
        </w:rPr>
        <w:t>自合同签订之日起一年。服务期满后，根据</w:t>
      </w:r>
      <w:r>
        <w:rPr>
          <w:rFonts w:hint="eastAsia"/>
          <w:color w:val="auto"/>
          <w:szCs w:val="21"/>
          <w:lang w:val="en-US" w:eastAsia="zh-CN"/>
        </w:rPr>
        <w:t>中标人</w:t>
      </w:r>
      <w:r>
        <w:rPr>
          <w:rFonts w:hint="eastAsia"/>
          <w:color w:val="auto"/>
          <w:szCs w:val="21"/>
          <w:lang w:eastAsia="zh-CN"/>
        </w:rPr>
        <w:t>履约评价结果，经招标人同意后可再续期一年，累计不超过2年。单个具体项目的服务期限根据招标人具体要求为准。</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具体服务要求详见第</w:t>
      </w:r>
      <w:r>
        <w:rPr>
          <w:rFonts w:hint="eastAsia" w:ascii="宋体" w:hAnsi="宋体" w:eastAsia="宋体" w:cs="宋体"/>
          <w:szCs w:val="24"/>
          <w:lang w:val="en-US" w:eastAsia="zh-CN"/>
        </w:rPr>
        <w:t>三</w:t>
      </w:r>
      <w:r>
        <w:rPr>
          <w:rFonts w:hint="eastAsia" w:ascii="宋体" w:hAnsi="宋体" w:eastAsia="宋体" w:cs="宋体"/>
          <w:szCs w:val="24"/>
        </w:rPr>
        <w:t>章《</w:t>
      </w:r>
      <w:r>
        <w:rPr>
          <w:rFonts w:hint="eastAsia" w:ascii="宋体" w:hAnsi="宋体" w:eastAsia="宋体" w:cs="宋体"/>
          <w:szCs w:val="24"/>
          <w:lang w:val="en-US" w:eastAsia="zh-CN"/>
        </w:rPr>
        <w:t>用户</w:t>
      </w:r>
      <w:r>
        <w:rPr>
          <w:rFonts w:hint="eastAsia" w:ascii="宋体" w:hAnsi="宋体" w:eastAsia="宋体" w:cs="宋体"/>
          <w:szCs w:val="24"/>
        </w:rPr>
        <w:t>需求书》。</w:t>
      </w:r>
    </w:p>
    <w:p>
      <w:pPr>
        <w:spacing w:line="360" w:lineRule="auto"/>
        <w:ind w:firstLine="0" w:firstLineChars="0"/>
        <w:jc w:val="left"/>
        <w:outlineLvl w:val="9"/>
        <w:rPr>
          <w:rFonts w:hint="default" w:ascii="宋体" w:hAnsi="宋体" w:eastAsia="宋体" w:cs="宋体"/>
          <w:b/>
          <w:lang w:val="en-US" w:eastAsia="zh-CN"/>
        </w:rPr>
      </w:pPr>
      <w:r>
        <w:rPr>
          <w:rFonts w:hint="eastAsia" w:ascii="宋体" w:hAnsi="宋体" w:cs="宋体"/>
          <w:b/>
          <w:lang w:val="en-US" w:eastAsia="zh-CN"/>
        </w:rPr>
        <w:t>1.5、</w:t>
      </w:r>
      <w:r>
        <w:rPr>
          <w:rFonts w:hint="eastAsia" w:ascii="宋体" w:hAnsi="宋体" w:cs="宋体"/>
          <w:b/>
          <w:lang w:val="zh-CN"/>
        </w:rPr>
        <w:t>本次招标同一供应商</w:t>
      </w:r>
      <w:r>
        <w:rPr>
          <w:rFonts w:hint="eastAsia" w:ascii="宋体" w:hAnsi="宋体" w:cs="宋体"/>
          <w:b/>
          <w:lang w:val="en-US" w:eastAsia="zh-CN"/>
        </w:rPr>
        <w:t>只能</w:t>
      </w:r>
      <w:r>
        <w:rPr>
          <w:rFonts w:hint="eastAsia" w:ascii="宋体" w:hAnsi="宋体" w:cs="宋体"/>
          <w:b/>
          <w:lang w:val="zh-CN"/>
        </w:rPr>
        <w:t>参加一个子包的投标，</w:t>
      </w:r>
      <w:r>
        <w:rPr>
          <w:rFonts w:hint="eastAsia" w:ascii="宋体" w:hAnsi="宋体" w:cs="宋体"/>
          <w:b/>
          <w:lang w:val="en-US" w:eastAsia="zh-CN"/>
        </w:rPr>
        <w:t>本项目不</w:t>
      </w:r>
      <w:r>
        <w:rPr>
          <w:rFonts w:hint="eastAsia" w:ascii="宋体" w:hAnsi="宋体" w:cs="宋体"/>
          <w:b/>
          <w:lang w:val="zh-CN"/>
        </w:rPr>
        <w:t>兼投</w:t>
      </w:r>
      <w:r>
        <w:rPr>
          <w:rFonts w:hint="eastAsia" w:ascii="宋体" w:hAnsi="宋体" w:cs="宋体"/>
          <w:b/>
          <w:lang w:val="en-US" w:eastAsia="zh-CN"/>
        </w:rPr>
        <w:t>不</w:t>
      </w:r>
      <w:r>
        <w:rPr>
          <w:rFonts w:hint="eastAsia" w:ascii="宋体" w:hAnsi="宋体" w:cs="宋体"/>
          <w:b/>
          <w:lang w:val="zh-CN"/>
        </w:rPr>
        <w:t>兼中。</w:t>
      </w:r>
      <w:r>
        <w:rPr>
          <w:rFonts w:hint="eastAsia" w:ascii="宋体" w:hAnsi="宋体" w:cs="宋体"/>
          <w:b/>
          <w:lang w:val="en-US" w:eastAsia="zh-CN"/>
        </w:rPr>
        <w:t>若供应商同时参与两个子包投标，则相关投标均无效。</w:t>
      </w:r>
    </w:p>
    <w:p>
      <w:pPr>
        <w:tabs>
          <w:tab w:val="left" w:pos="540"/>
        </w:tabs>
        <w:spacing w:line="360" w:lineRule="auto"/>
        <w:outlineLvl w:val="0"/>
        <w:rPr>
          <w:rFonts w:hint="eastAsia" w:ascii="宋体" w:hAnsi="宋体" w:cs="宋体"/>
          <w:b/>
          <w:color w:val="auto"/>
          <w:highlight w:val="none"/>
        </w:rPr>
      </w:pPr>
      <w:bookmarkStart w:id="15" w:name="_Toc9782"/>
      <w:r>
        <w:rPr>
          <w:rFonts w:hint="eastAsia" w:ascii="宋体" w:hAnsi="宋体" w:cs="宋体"/>
          <w:b/>
          <w:color w:val="auto"/>
          <w:highlight w:val="none"/>
        </w:rPr>
        <w:t>二、合格</w:t>
      </w:r>
      <w:r>
        <w:rPr>
          <w:rFonts w:hint="eastAsia" w:ascii="宋体" w:hAnsi="宋体" w:cs="宋体"/>
          <w:b/>
          <w:color w:val="auto"/>
          <w:highlight w:val="none"/>
          <w:lang w:eastAsia="zh-CN"/>
        </w:rPr>
        <w:t>供应商</w:t>
      </w:r>
      <w:r>
        <w:rPr>
          <w:rFonts w:hint="eastAsia" w:ascii="宋体" w:hAnsi="宋体" w:cs="宋体"/>
          <w:b/>
          <w:color w:val="auto"/>
          <w:highlight w:val="none"/>
        </w:rPr>
        <w:t>资格条件</w:t>
      </w:r>
      <w:bookmarkEnd w:id="11"/>
      <w:bookmarkEnd w:id="12"/>
      <w:bookmarkEnd w:id="13"/>
      <w:bookmarkEnd w:id="14"/>
      <w:bookmarkEnd w:id="15"/>
    </w:p>
    <w:p>
      <w:pPr>
        <w:spacing w:line="360" w:lineRule="auto"/>
        <w:ind w:left="-359" w:leftChars="-171" w:firstLine="462" w:firstLineChars="220"/>
        <w:rPr>
          <w:rFonts w:hint="eastAsia" w:ascii="宋体" w:hAnsi="宋体" w:cs="宋体"/>
          <w:bCs/>
          <w:kern w:val="28"/>
          <w:szCs w:val="22"/>
        </w:rPr>
      </w:pPr>
      <w:bookmarkStart w:id="16" w:name="_Toc477185850"/>
      <w:bookmarkStart w:id="17" w:name="_Toc476177327"/>
      <w:bookmarkStart w:id="18" w:name="_Toc477186211"/>
      <w:bookmarkStart w:id="19" w:name="_Toc476177881"/>
      <w:r>
        <w:rPr>
          <w:rFonts w:hint="eastAsia" w:ascii="宋体" w:hAnsi="宋体" w:cs="宋体"/>
          <w:bCs/>
          <w:kern w:val="28"/>
          <w:szCs w:val="22"/>
        </w:rPr>
        <w:t>2.1</w:t>
      </w:r>
      <w:r>
        <w:rPr>
          <w:rFonts w:hint="eastAsia" w:ascii="宋体" w:hAnsi="宋体" w:cs="宋体"/>
          <w:bCs/>
          <w:kern w:val="28"/>
          <w:szCs w:val="22"/>
          <w:highlight w:val="none"/>
        </w:rPr>
        <w:t>、</w:t>
      </w:r>
      <w:r>
        <w:rPr>
          <w:rFonts w:hint="eastAsia" w:ascii="宋体" w:hAnsi="宋体" w:cs="宋体"/>
          <w:bCs/>
          <w:kern w:val="28"/>
          <w:szCs w:val="22"/>
          <w:highlight w:val="none"/>
          <w:lang w:eastAsia="zh-CN"/>
        </w:rPr>
        <w:t>供应商</w:t>
      </w:r>
      <w:r>
        <w:rPr>
          <w:rFonts w:hint="eastAsia" w:ascii="宋体" w:hAnsi="宋体" w:cs="宋体"/>
          <w:bCs/>
          <w:kern w:val="28"/>
          <w:szCs w:val="22"/>
          <w:highlight w:val="none"/>
        </w:rPr>
        <w:t>具</w:t>
      </w:r>
      <w:r>
        <w:rPr>
          <w:rFonts w:hint="eastAsia" w:ascii="宋体" w:hAnsi="宋体" w:cs="宋体"/>
          <w:bCs/>
          <w:kern w:val="28"/>
          <w:szCs w:val="22"/>
        </w:rPr>
        <w:t>有独立承担民事责任能力的在中华人民共和国境内注册的法人或其他组织。需提供营业执照复印件或事业法人登记证或合法注册证明文件复印件。</w:t>
      </w:r>
      <w:r>
        <w:rPr>
          <w:rFonts w:hint="eastAsia" w:ascii="宋体" w:hAnsi="宋体" w:eastAsia="宋体" w:cs="宋体"/>
          <w:i w:val="0"/>
          <w:iCs w:val="0"/>
          <w:caps w:val="0"/>
          <w:color w:val="2D2E2E"/>
          <w:spacing w:val="0"/>
          <w:sz w:val="21"/>
          <w:szCs w:val="21"/>
          <w:shd w:val="clear" w:fill="FFFFFF"/>
        </w:rPr>
        <w:t>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spacing w:line="360" w:lineRule="auto"/>
        <w:ind w:left="-359" w:leftChars="-171" w:firstLine="462" w:firstLineChars="220"/>
        <w:rPr>
          <w:rFonts w:hint="eastAsia" w:ascii="宋体" w:hAnsi="宋体" w:cs="宋体"/>
          <w:bCs/>
          <w:kern w:val="28"/>
          <w:szCs w:val="22"/>
        </w:rPr>
      </w:pPr>
      <w:r>
        <w:rPr>
          <w:rFonts w:hint="eastAsia" w:ascii="宋体" w:hAnsi="宋体" w:cs="宋体"/>
          <w:bCs/>
          <w:kern w:val="28"/>
          <w:szCs w:val="22"/>
        </w:rPr>
        <w:t>2.2、</w:t>
      </w:r>
      <w:r>
        <w:rPr>
          <w:rFonts w:hint="eastAsia" w:ascii="宋体" w:hAnsi="宋体" w:cs="宋体"/>
          <w:bCs/>
          <w:kern w:val="28"/>
          <w:szCs w:val="22"/>
          <w:lang w:eastAsia="zh-CN"/>
        </w:rPr>
        <w:t>供应商</w:t>
      </w:r>
      <w:r>
        <w:rPr>
          <w:rFonts w:hint="eastAsia" w:ascii="宋体" w:hAnsi="宋体" w:cs="宋体"/>
          <w:bCs/>
          <w:kern w:val="28"/>
          <w:szCs w:val="22"/>
        </w:rPr>
        <w:t>具有良好的商业信誉和健全的财务制度：</w:t>
      </w:r>
      <w:r>
        <w:rPr>
          <w:rFonts w:hint="eastAsia" w:ascii="宋体" w:hAnsi="宋体" w:cs="宋体"/>
          <w:bCs/>
          <w:kern w:val="28"/>
          <w:szCs w:val="22"/>
          <w:lang w:eastAsia="zh-CN"/>
        </w:rPr>
        <w:t>供应商</w:t>
      </w:r>
      <w:r>
        <w:rPr>
          <w:rFonts w:hint="eastAsia" w:ascii="宋体" w:hAnsi="宋体" w:cs="宋体"/>
          <w:bCs/>
          <w:kern w:val="28"/>
          <w:szCs w:val="22"/>
        </w:rPr>
        <w:t>提供202</w:t>
      </w:r>
      <w:r>
        <w:rPr>
          <w:rFonts w:hint="eastAsia" w:ascii="宋体" w:hAnsi="宋体" w:cs="宋体"/>
          <w:bCs/>
          <w:kern w:val="28"/>
          <w:szCs w:val="22"/>
          <w:lang w:val="en-US" w:eastAsia="zh-CN"/>
        </w:rPr>
        <w:t>5</w:t>
      </w:r>
      <w:r>
        <w:rPr>
          <w:rFonts w:hint="eastAsia" w:ascii="宋体" w:hAnsi="宋体" w:cs="宋体"/>
          <w:bCs/>
          <w:kern w:val="28"/>
          <w:szCs w:val="22"/>
        </w:rPr>
        <w:t>年度的财务状况报告（若202</w:t>
      </w:r>
      <w:r>
        <w:rPr>
          <w:rFonts w:hint="eastAsia" w:ascii="宋体" w:hAnsi="宋体" w:cs="宋体"/>
          <w:bCs/>
          <w:kern w:val="28"/>
          <w:szCs w:val="22"/>
          <w:lang w:val="en-US" w:eastAsia="zh-CN"/>
        </w:rPr>
        <w:t>6</w:t>
      </w:r>
      <w:r>
        <w:rPr>
          <w:rFonts w:hint="eastAsia" w:ascii="宋体" w:hAnsi="宋体" w:cs="宋体"/>
          <w:bCs/>
          <w:kern w:val="28"/>
          <w:szCs w:val="22"/>
        </w:rPr>
        <w:t>年新成立的，提供成立至今的月或季度财务状况报告复印件并加盖公章）或者基本户开户银行出具的资信证明复印件或提供资格声明函。</w:t>
      </w:r>
    </w:p>
    <w:p>
      <w:pPr>
        <w:spacing w:line="360" w:lineRule="auto"/>
        <w:ind w:left="-359" w:leftChars="-171" w:firstLine="462" w:firstLineChars="220"/>
        <w:rPr>
          <w:rFonts w:hint="eastAsia" w:ascii="宋体" w:hAnsi="宋体" w:cs="宋体"/>
          <w:bCs/>
          <w:kern w:val="28"/>
          <w:szCs w:val="22"/>
        </w:rPr>
      </w:pPr>
      <w:r>
        <w:rPr>
          <w:rFonts w:hint="eastAsia" w:ascii="宋体" w:hAnsi="宋体" w:cs="宋体"/>
          <w:bCs/>
          <w:kern w:val="28"/>
          <w:szCs w:val="22"/>
        </w:rPr>
        <w:t>2.3、</w:t>
      </w:r>
      <w:r>
        <w:rPr>
          <w:rFonts w:hint="eastAsia" w:ascii="宋体" w:hAnsi="宋体" w:cs="宋体"/>
          <w:bCs/>
          <w:kern w:val="28"/>
          <w:szCs w:val="22"/>
          <w:lang w:eastAsia="zh-CN"/>
        </w:rPr>
        <w:t>供应商</w:t>
      </w:r>
      <w:r>
        <w:rPr>
          <w:rFonts w:hint="eastAsia" w:ascii="宋体" w:hAnsi="宋体" w:cs="宋体"/>
          <w:bCs/>
          <w:kern w:val="28"/>
          <w:szCs w:val="22"/>
        </w:rPr>
        <w:t>具有依法缴纳税收和社会保障资金的良好记录：提供</w:t>
      </w:r>
      <w:r>
        <w:rPr>
          <w:rFonts w:hint="eastAsia" w:ascii="宋体" w:hAnsi="宋体" w:cs="宋体"/>
          <w:bCs/>
          <w:kern w:val="28"/>
          <w:szCs w:val="22"/>
          <w:lang w:eastAsia="zh-CN"/>
        </w:rPr>
        <w:t>2026</w:t>
      </w:r>
      <w:r>
        <w:rPr>
          <w:rFonts w:hint="eastAsia" w:ascii="宋体" w:hAnsi="宋体" w:cs="宋体"/>
          <w:bCs/>
          <w:kern w:val="28"/>
          <w:szCs w:val="22"/>
        </w:rPr>
        <w:t>年至今任意1个月缴纳税收和社会保障资金的相关材料或提供资格声明函。如依法免税或不需要缴纳社会保障资金的，提供相应证明材料。</w:t>
      </w:r>
    </w:p>
    <w:p>
      <w:pPr>
        <w:spacing w:line="360" w:lineRule="auto"/>
        <w:ind w:left="-359" w:leftChars="-171" w:firstLine="462" w:firstLineChars="220"/>
        <w:rPr>
          <w:rFonts w:hint="eastAsia" w:ascii="宋体" w:hAnsi="宋体" w:cs="宋体"/>
          <w:bCs/>
          <w:kern w:val="28"/>
          <w:szCs w:val="22"/>
        </w:rPr>
      </w:pPr>
      <w:r>
        <w:rPr>
          <w:rFonts w:hint="eastAsia" w:ascii="宋体" w:hAnsi="宋体" w:cs="宋体"/>
          <w:bCs/>
          <w:kern w:val="28"/>
          <w:szCs w:val="22"/>
        </w:rPr>
        <w:t>2.4、</w:t>
      </w:r>
      <w:r>
        <w:rPr>
          <w:rFonts w:hint="eastAsia" w:ascii="宋体" w:hAnsi="宋体" w:cs="宋体"/>
          <w:bCs/>
          <w:kern w:val="28"/>
          <w:szCs w:val="22"/>
          <w:lang w:eastAsia="zh-CN"/>
        </w:rPr>
        <w:t>供应商</w:t>
      </w:r>
      <w:r>
        <w:rPr>
          <w:rFonts w:hint="eastAsia" w:ascii="宋体" w:hAnsi="宋体" w:cs="宋体"/>
          <w:bCs/>
          <w:kern w:val="28"/>
          <w:szCs w:val="22"/>
        </w:rPr>
        <w:t>参加采购活动前3年内，在经营活动中没有重大违法记录。重大违法记录是指：</w:t>
      </w:r>
      <w:r>
        <w:rPr>
          <w:rFonts w:hint="eastAsia" w:ascii="宋体" w:hAnsi="宋体" w:cs="宋体"/>
          <w:bCs/>
          <w:kern w:val="28"/>
          <w:szCs w:val="22"/>
          <w:lang w:eastAsia="zh-CN"/>
        </w:rPr>
        <w:t>供应商</w:t>
      </w:r>
      <w:r>
        <w:rPr>
          <w:rFonts w:hint="eastAsia" w:ascii="宋体" w:hAnsi="宋体" w:cs="宋体"/>
          <w:bCs/>
          <w:kern w:val="28"/>
          <w:szCs w:val="22"/>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声明函）。</w:t>
      </w:r>
    </w:p>
    <w:p>
      <w:pPr>
        <w:spacing w:line="360" w:lineRule="auto"/>
        <w:ind w:left="-359" w:leftChars="-171" w:firstLine="462" w:firstLineChars="220"/>
        <w:rPr>
          <w:rFonts w:hint="eastAsia" w:ascii="宋体" w:hAnsi="宋体" w:cs="宋体"/>
          <w:bCs/>
          <w:kern w:val="28"/>
          <w:szCs w:val="22"/>
        </w:rPr>
      </w:pPr>
      <w:r>
        <w:rPr>
          <w:rFonts w:hint="eastAsia" w:ascii="宋体" w:hAnsi="宋体" w:cs="宋体"/>
          <w:bCs/>
          <w:kern w:val="28"/>
          <w:szCs w:val="22"/>
        </w:rPr>
        <w:t>2.5、单位负责人为同一人或者存在控股、管理等关联关系的不同</w:t>
      </w:r>
      <w:r>
        <w:rPr>
          <w:rFonts w:hint="eastAsia" w:ascii="宋体" w:hAnsi="宋体" w:cs="宋体"/>
          <w:bCs/>
          <w:kern w:val="28"/>
          <w:szCs w:val="22"/>
          <w:lang w:eastAsia="zh-CN"/>
        </w:rPr>
        <w:t>供应商</w:t>
      </w:r>
      <w:r>
        <w:rPr>
          <w:rFonts w:hint="eastAsia" w:ascii="宋体" w:hAnsi="宋体" w:cs="宋体"/>
          <w:bCs/>
          <w:kern w:val="28"/>
          <w:szCs w:val="22"/>
        </w:rPr>
        <w:t>，不得参加同一合同项下的采购活动，</w:t>
      </w:r>
      <w:r>
        <w:rPr>
          <w:rFonts w:hint="eastAsia" w:ascii="宋体" w:hAnsi="宋体" w:cs="宋体"/>
          <w:bCs/>
          <w:kern w:val="28"/>
          <w:szCs w:val="22"/>
          <w:lang w:eastAsia="zh-CN"/>
        </w:rPr>
        <w:t>供应商</w:t>
      </w:r>
      <w:r>
        <w:rPr>
          <w:rFonts w:hint="eastAsia" w:ascii="宋体" w:hAnsi="宋体" w:cs="宋体"/>
          <w:bCs/>
          <w:kern w:val="28"/>
          <w:szCs w:val="22"/>
        </w:rPr>
        <w:t>应提交书面声明（提供资格声明函）。</w:t>
      </w:r>
    </w:p>
    <w:p>
      <w:pPr>
        <w:spacing w:line="360" w:lineRule="auto"/>
        <w:ind w:left="-359" w:leftChars="-171" w:firstLine="462" w:firstLineChars="220"/>
        <w:rPr>
          <w:rFonts w:hint="eastAsia" w:ascii="宋体" w:hAnsi="宋体" w:cs="宋体"/>
          <w:bCs/>
          <w:kern w:val="28"/>
          <w:szCs w:val="22"/>
        </w:rPr>
      </w:pPr>
      <w:r>
        <w:rPr>
          <w:rFonts w:hint="eastAsia" w:ascii="宋体" w:hAnsi="宋体" w:cs="宋体"/>
          <w:bCs/>
          <w:kern w:val="28"/>
          <w:szCs w:val="22"/>
        </w:rPr>
        <w:t>2.6、</w:t>
      </w:r>
      <w:r>
        <w:rPr>
          <w:rFonts w:hint="eastAsia" w:ascii="宋体" w:hAnsi="宋体" w:cs="宋体"/>
          <w:bCs/>
          <w:kern w:val="28"/>
          <w:szCs w:val="22"/>
          <w:lang w:eastAsia="zh-CN"/>
        </w:rPr>
        <w:t>供应商</w:t>
      </w:r>
      <w:r>
        <w:rPr>
          <w:rFonts w:hint="eastAsia" w:ascii="宋体" w:hAnsi="宋体" w:cs="宋体"/>
          <w:bCs/>
          <w:kern w:val="28"/>
          <w:szCs w:val="22"/>
        </w:rPr>
        <w:t>具备</w:t>
      </w:r>
      <w:r>
        <w:rPr>
          <w:rFonts w:hint="eastAsia" w:ascii="宋体" w:hAnsi="宋体" w:cs="宋体"/>
          <w:bCs/>
          <w:kern w:val="28"/>
          <w:szCs w:val="22"/>
          <w:lang w:val="zh-CN"/>
        </w:rPr>
        <w:t>履行合同所必需的设备和专业技术能力</w:t>
      </w:r>
      <w:r>
        <w:rPr>
          <w:rFonts w:hint="eastAsia" w:ascii="宋体" w:hAnsi="宋体" w:cs="宋体"/>
          <w:bCs/>
          <w:kern w:val="28"/>
          <w:szCs w:val="22"/>
        </w:rPr>
        <w:t>（提供资格声明函）。</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2.7、</w:t>
      </w:r>
      <w:r>
        <w:rPr>
          <w:rFonts w:hint="eastAsia" w:ascii="宋体" w:hAnsi="宋体" w:cs="宋体"/>
          <w:bCs/>
          <w:kern w:val="28"/>
          <w:szCs w:val="22"/>
          <w:highlight w:val="none"/>
          <w:lang w:val="en-US" w:eastAsia="zh-CN"/>
        </w:rPr>
        <w:t>供应商</w:t>
      </w:r>
      <w:r>
        <w:rPr>
          <w:rFonts w:hint="eastAsia" w:ascii="宋体" w:hAnsi="宋体" w:cs="宋体"/>
          <w:bCs/>
          <w:kern w:val="28"/>
          <w:szCs w:val="22"/>
          <w:highlight w:val="none"/>
        </w:rPr>
        <w:t>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以招标代理机构在本项目招标公告发布之日至提交投标文件截止之日期间在“信用中国”网站（www.creditchina.gov.cn）及中国政府采购网（http://www.ccgp.gov.cn/）查询结果为准；处罚期限届满的除外。如“信用中国”网站查询结果显示“没有找到您搜索的企业”或“没有找到您搜索数据”，视为没有上述不良信用记录。</w:t>
      </w:r>
      <w:r>
        <w:rPr>
          <w:rFonts w:hint="eastAsia" w:ascii="宋体" w:hAnsi="宋体" w:cs="宋体"/>
          <w:bCs/>
          <w:kern w:val="28"/>
          <w:szCs w:val="22"/>
          <w:highlight w:val="none"/>
          <w:lang w:val="en-US" w:eastAsia="zh-CN"/>
        </w:rPr>
        <w:t>供应商</w:t>
      </w:r>
      <w:r>
        <w:rPr>
          <w:rFonts w:hint="eastAsia" w:ascii="宋体" w:hAnsi="宋体" w:cs="宋体"/>
          <w:bCs/>
          <w:kern w:val="28"/>
          <w:szCs w:val="22"/>
          <w:highlight w:val="none"/>
        </w:rPr>
        <w:t>存在不良信用记录的，其投标将被作为无效投标。</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lang w:val="en-US" w:eastAsia="zh-CN"/>
        </w:rPr>
        <w:t>2.8、</w:t>
      </w:r>
      <w:r>
        <w:rPr>
          <w:rFonts w:hint="eastAsia" w:ascii="宋体" w:hAnsi="宋体" w:cs="宋体"/>
          <w:bCs/>
          <w:kern w:val="28"/>
          <w:szCs w:val="22"/>
          <w:highlight w:val="none"/>
        </w:rPr>
        <w:t>本项目不接受备选方案，不允许</w:t>
      </w:r>
      <w:r>
        <w:rPr>
          <w:rFonts w:hint="eastAsia" w:ascii="宋体" w:hAnsi="宋体" w:cs="宋体"/>
          <w:bCs/>
          <w:kern w:val="28"/>
          <w:szCs w:val="22"/>
          <w:highlight w:val="none"/>
          <w:lang w:val="en-US" w:eastAsia="zh-CN"/>
        </w:rPr>
        <w:t>违规</w:t>
      </w:r>
      <w:r>
        <w:rPr>
          <w:rFonts w:hint="eastAsia" w:ascii="宋体" w:hAnsi="宋体" w:cs="宋体"/>
          <w:bCs/>
          <w:kern w:val="28"/>
          <w:szCs w:val="22"/>
          <w:highlight w:val="none"/>
        </w:rPr>
        <w:t>分包或转包，不接受联合体投标。</w:t>
      </w:r>
    </w:p>
    <w:p>
      <w:pPr>
        <w:spacing w:line="360" w:lineRule="auto"/>
        <w:ind w:left="-359" w:leftChars="-171" w:firstLine="462" w:firstLineChars="220"/>
        <w:jc w:val="left"/>
        <w:rPr>
          <w:rFonts w:hint="eastAsia" w:ascii="宋体" w:hAnsi="宋体" w:cs="宋体"/>
          <w:szCs w:val="24"/>
          <w:highlight w:val="none"/>
          <w:lang w:val="en-US" w:eastAsia="zh-CN"/>
        </w:rPr>
      </w:pPr>
      <w:r>
        <w:rPr>
          <w:rFonts w:hint="eastAsia" w:ascii="宋体" w:hAnsi="宋体" w:cs="宋体"/>
          <w:bCs/>
          <w:color w:val="auto"/>
          <w:kern w:val="28"/>
          <w:szCs w:val="22"/>
          <w:highlight w:val="none"/>
          <w:lang w:val="en-US" w:eastAsia="zh-CN"/>
        </w:rPr>
        <w:t>2.9、</w:t>
      </w:r>
      <w:r>
        <w:rPr>
          <w:rFonts w:hint="eastAsia" w:ascii="宋体" w:hAnsi="宋体" w:cs="宋体"/>
          <w:szCs w:val="24"/>
          <w:highlight w:val="none"/>
          <w:lang w:val="en-US" w:eastAsia="zh-CN"/>
        </w:rPr>
        <w:t>业绩要求：</w:t>
      </w:r>
    </w:p>
    <w:p>
      <w:pPr>
        <w:spacing w:line="360" w:lineRule="auto"/>
        <w:ind w:left="-359" w:leftChars="-171" w:firstLine="462" w:firstLineChars="220"/>
        <w:jc w:val="left"/>
        <w:rPr>
          <w:rFonts w:hint="eastAsia" w:ascii="宋体" w:hAnsi="宋体" w:eastAsia="宋体" w:cs="宋体"/>
          <w:bCs/>
          <w:kern w:val="28"/>
          <w:szCs w:val="22"/>
          <w:highlight w:val="none"/>
          <w:lang w:val="en-US" w:eastAsia="zh-CN"/>
        </w:rPr>
      </w:pPr>
      <w:r>
        <w:rPr>
          <w:rFonts w:hint="eastAsia" w:ascii="宋体" w:hAnsi="宋体" w:eastAsia="宋体" w:cs="宋体"/>
          <w:bCs/>
          <w:kern w:val="28"/>
          <w:szCs w:val="22"/>
          <w:highlight w:val="none"/>
          <w:lang w:val="en-US" w:eastAsia="zh-CN"/>
        </w:rPr>
        <w:t>子包1</w:t>
      </w:r>
      <w:r>
        <w:rPr>
          <w:rFonts w:hint="eastAsia" w:ascii="宋体" w:hAnsi="宋体" w:cs="宋体"/>
          <w:bCs/>
          <w:kern w:val="28"/>
          <w:szCs w:val="22"/>
          <w:highlight w:val="none"/>
          <w:lang w:val="en-US" w:eastAsia="zh-CN"/>
        </w:rPr>
        <w:t>（</w:t>
      </w:r>
      <w:r>
        <w:rPr>
          <w:rFonts w:hint="eastAsia" w:ascii="宋体" w:hAnsi="宋体" w:cs="宋体"/>
          <w:szCs w:val="24"/>
          <w:lang w:val="en-US" w:eastAsia="zh-CN"/>
        </w:rPr>
        <w:t>布展实施年度供应商</w:t>
      </w:r>
      <w:r>
        <w:rPr>
          <w:rFonts w:hint="eastAsia" w:ascii="宋体" w:hAnsi="宋体" w:cs="宋体"/>
          <w:bCs/>
          <w:kern w:val="28"/>
          <w:szCs w:val="22"/>
          <w:highlight w:val="none"/>
          <w:lang w:val="en-US" w:eastAsia="zh-CN"/>
        </w:rPr>
        <w:t>）</w:t>
      </w:r>
      <w:r>
        <w:rPr>
          <w:rFonts w:hint="eastAsia" w:ascii="宋体" w:hAnsi="宋体" w:eastAsia="宋体" w:cs="宋体"/>
          <w:bCs/>
          <w:kern w:val="28"/>
          <w:szCs w:val="22"/>
          <w:highlight w:val="none"/>
          <w:lang w:val="en-US" w:eastAsia="zh-CN"/>
        </w:rPr>
        <w:t>：供应商2023年1月1日至今（以合同签订日期为准）独立承接合同额10万元（或以上）的同类项目（同类项目指：博物馆/展厅展馆/展览展会等的布展施工）不少于2个。</w:t>
      </w:r>
    </w:p>
    <w:p>
      <w:pPr>
        <w:spacing w:line="360" w:lineRule="auto"/>
        <w:ind w:left="-359" w:leftChars="-171" w:firstLine="462" w:firstLineChars="220"/>
        <w:jc w:val="left"/>
        <w:rPr>
          <w:rFonts w:hint="eastAsia" w:ascii="宋体" w:hAnsi="宋体" w:eastAsia="宋体" w:cs="宋体"/>
          <w:bCs/>
          <w:kern w:val="28"/>
          <w:szCs w:val="22"/>
          <w:highlight w:val="none"/>
          <w:lang w:val="en-US" w:eastAsia="zh-CN"/>
        </w:rPr>
      </w:pPr>
      <w:r>
        <w:rPr>
          <w:rFonts w:hint="eastAsia" w:ascii="宋体" w:hAnsi="宋体" w:eastAsia="宋体" w:cs="宋体"/>
          <w:bCs/>
          <w:kern w:val="28"/>
          <w:szCs w:val="22"/>
          <w:highlight w:val="none"/>
          <w:lang w:val="en-US" w:eastAsia="zh-CN"/>
        </w:rPr>
        <w:t>子包2</w:t>
      </w:r>
      <w:r>
        <w:rPr>
          <w:rFonts w:hint="eastAsia" w:ascii="宋体" w:hAnsi="宋体" w:cs="宋体"/>
          <w:bCs/>
          <w:kern w:val="28"/>
          <w:szCs w:val="22"/>
          <w:highlight w:val="none"/>
          <w:lang w:val="en-US" w:eastAsia="zh-CN"/>
        </w:rPr>
        <w:t>（</w:t>
      </w:r>
      <w:r>
        <w:rPr>
          <w:rFonts w:hint="eastAsia" w:ascii="宋体" w:hAnsi="宋体" w:cs="宋体"/>
          <w:szCs w:val="24"/>
          <w:lang w:val="en-US" w:eastAsia="zh-CN"/>
        </w:rPr>
        <w:t>展陈多媒体硬件年度供应商</w:t>
      </w:r>
      <w:r>
        <w:rPr>
          <w:rFonts w:hint="eastAsia" w:ascii="宋体" w:hAnsi="宋体" w:cs="宋体"/>
          <w:bCs/>
          <w:kern w:val="28"/>
          <w:szCs w:val="22"/>
          <w:highlight w:val="none"/>
          <w:lang w:val="en-US" w:eastAsia="zh-CN"/>
        </w:rPr>
        <w:t>）</w:t>
      </w:r>
      <w:r>
        <w:rPr>
          <w:rFonts w:hint="eastAsia" w:ascii="宋体" w:hAnsi="宋体" w:eastAsia="宋体" w:cs="宋体"/>
          <w:bCs/>
          <w:kern w:val="28"/>
          <w:szCs w:val="22"/>
          <w:highlight w:val="none"/>
          <w:lang w:val="en-US" w:eastAsia="zh-CN"/>
        </w:rPr>
        <w:t>：供应商2023年1月1日至今（以合同签订日期为准）独立承接合同额10万元（或以上）的同类项目（同类项目指：与多媒体硬件相关的供货业绩）不少于2个。</w:t>
      </w:r>
    </w:p>
    <w:p>
      <w:pPr>
        <w:spacing w:line="360" w:lineRule="auto"/>
        <w:ind w:left="-359" w:leftChars="-171" w:firstLine="462" w:firstLineChars="220"/>
        <w:rPr>
          <w:rFonts w:hint="eastAsia" w:ascii="宋体" w:hAnsi="宋体" w:eastAsia="宋体" w:cs="宋体"/>
          <w:bCs/>
          <w:kern w:val="28"/>
          <w:szCs w:val="22"/>
          <w:highlight w:val="none"/>
          <w:lang w:val="en-US" w:eastAsia="zh-CN"/>
        </w:rPr>
      </w:pPr>
      <w:r>
        <w:rPr>
          <w:rFonts w:hint="eastAsia" w:ascii="宋体" w:hAnsi="宋体" w:eastAsia="宋体" w:cs="宋体"/>
          <w:bCs/>
          <w:kern w:val="28"/>
          <w:szCs w:val="22"/>
          <w:highlight w:val="none"/>
          <w:lang w:val="en-US" w:eastAsia="zh-CN"/>
        </w:rPr>
        <w:t>注:①需提供合同关键页（包括但不限于合同签订主体、合同标的、合同金额页、盖章页），如合同无法说明项目内容符合上述同类项目经验内容，可由甲方出具的相应证明文件作依据（证明文件须加盖合同甲方公司章或合同章，或甲方项目使用部门部门章）；②未按要求提供相关证明材料或证明材料内容不齐全或不清晰等导致评委无法认定的，一律不予认可。</w:t>
      </w:r>
    </w:p>
    <w:p>
      <w:pPr>
        <w:pStyle w:val="12"/>
        <w:ind w:firstLine="0" w:firstLineChars="0"/>
        <w:rPr>
          <w:rFonts w:hint="eastAsia"/>
          <w:lang w:val="en-US" w:eastAsia="zh-CN"/>
        </w:rPr>
      </w:pPr>
    </w:p>
    <w:p>
      <w:pPr>
        <w:tabs>
          <w:tab w:val="left" w:pos="540"/>
        </w:tabs>
        <w:spacing w:line="360" w:lineRule="auto"/>
        <w:outlineLvl w:val="0"/>
        <w:rPr>
          <w:rFonts w:hint="eastAsia" w:ascii="宋体" w:hAnsi="宋体" w:cs="宋体"/>
          <w:b/>
          <w:color w:val="auto"/>
          <w:highlight w:val="none"/>
        </w:rPr>
      </w:pPr>
      <w:bookmarkStart w:id="20" w:name="_Toc2035"/>
      <w:r>
        <w:rPr>
          <w:rFonts w:hint="eastAsia" w:ascii="宋体" w:hAnsi="宋体" w:cs="宋体"/>
          <w:b/>
          <w:color w:val="auto"/>
          <w:highlight w:val="none"/>
        </w:rPr>
        <w:t>三、获取招标文件的</w:t>
      </w:r>
      <w:bookmarkEnd w:id="16"/>
      <w:bookmarkEnd w:id="17"/>
      <w:bookmarkEnd w:id="18"/>
      <w:bookmarkEnd w:id="19"/>
      <w:r>
        <w:rPr>
          <w:rFonts w:hint="eastAsia" w:ascii="宋体" w:hAnsi="宋体" w:cs="宋体"/>
          <w:b/>
          <w:color w:val="auto"/>
          <w:highlight w:val="none"/>
        </w:rPr>
        <w:t>方式</w:t>
      </w:r>
      <w:bookmarkEnd w:id="20"/>
    </w:p>
    <w:p>
      <w:pPr>
        <w:spacing w:line="360" w:lineRule="auto"/>
        <w:ind w:left="-359" w:leftChars="-171" w:firstLine="462" w:firstLineChars="220"/>
        <w:rPr>
          <w:rFonts w:hint="eastAsia" w:ascii="宋体" w:hAnsi="宋体" w:cs="宋体"/>
          <w:bCs/>
          <w:szCs w:val="21"/>
        </w:rPr>
      </w:pPr>
      <w:r>
        <w:rPr>
          <w:rFonts w:hint="eastAsia" w:ascii="宋体" w:hAnsi="宋体" w:cs="宋体"/>
          <w:bCs/>
          <w:kern w:val="28"/>
          <w:szCs w:val="22"/>
        </w:rPr>
        <w:t>3.1、</w:t>
      </w:r>
      <w:r>
        <w:rPr>
          <w:rFonts w:hint="eastAsia" w:ascii="宋体" w:hAnsi="宋体" w:cs="宋体"/>
          <w:bCs/>
          <w:szCs w:val="21"/>
        </w:rPr>
        <w:t>获取时间：</w:t>
      </w:r>
    </w:p>
    <w:p>
      <w:pPr>
        <w:spacing w:line="360" w:lineRule="auto"/>
        <w:ind w:left="-359" w:leftChars="-171" w:firstLine="462" w:firstLineChars="220"/>
        <w:rPr>
          <w:rFonts w:hint="eastAsia" w:ascii="宋体" w:hAnsi="宋体" w:cs="宋体"/>
          <w:bCs/>
          <w:kern w:val="28"/>
          <w:szCs w:val="22"/>
        </w:rPr>
      </w:pPr>
      <w:r>
        <w:rPr>
          <w:rFonts w:hint="eastAsia" w:ascii="宋体" w:hAnsi="宋体" w:cs="宋体"/>
          <w:bCs/>
          <w:kern w:val="28"/>
          <w:szCs w:val="22"/>
        </w:rPr>
        <w:t>符合资格的</w:t>
      </w:r>
      <w:r>
        <w:rPr>
          <w:rFonts w:hint="eastAsia" w:ascii="宋体" w:hAnsi="宋体" w:cs="宋体"/>
          <w:bCs/>
          <w:kern w:val="28"/>
          <w:szCs w:val="22"/>
          <w:lang w:eastAsia="zh-CN"/>
        </w:rPr>
        <w:t>供应商</w:t>
      </w:r>
      <w:r>
        <w:rPr>
          <w:rFonts w:hint="eastAsia" w:ascii="宋体" w:hAnsi="宋体" w:cs="宋体"/>
          <w:bCs/>
          <w:kern w:val="28"/>
          <w:szCs w:val="22"/>
        </w:rPr>
        <w:t>应当在</w:t>
      </w:r>
      <w:r>
        <w:rPr>
          <w:rFonts w:hint="eastAsia" w:ascii="宋体" w:hAnsi="宋体" w:cs="宋体"/>
          <w:bCs/>
          <w:kern w:val="28"/>
          <w:szCs w:val="22"/>
          <w:lang w:eastAsia="zh-CN"/>
        </w:rPr>
        <w:t>2026</w:t>
      </w:r>
      <w:r>
        <w:rPr>
          <w:rFonts w:hint="eastAsia" w:ascii="宋体" w:hAnsi="宋体" w:cs="宋体"/>
          <w:bCs/>
          <w:kern w:val="28"/>
          <w:szCs w:val="22"/>
        </w:rPr>
        <w:t>年</w:t>
      </w:r>
      <w:r>
        <w:rPr>
          <w:rFonts w:hint="eastAsia" w:ascii="宋体" w:hAnsi="宋体" w:cs="宋体"/>
          <w:bCs/>
          <w:kern w:val="28"/>
          <w:szCs w:val="22"/>
          <w:lang w:val="en-US" w:eastAsia="zh-CN"/>
        </w:rPr>
        <w:t>5</w:t>
      </w:r>
      <w:r>
        <w:rPr>
          <w:rFonts w:hint="eastAsia" w:ascii="宋体" w:hAnsi="宋体" w:cs="宋体"/>
          <w:bCs/>
          <w:kern w:val="28"/>
          <w:szCs w:val="22"/>
        </w:rPr>
        <w:t>月</w:t>
      </w:r>
      <w:r>
        <w:rPr>
          <w:rFonts w:hint="eastAsia" w:ascii="宋体" w:hAnsi="宋体" w:cs="宋体"/>
          <w:bCs/>
          <w:kern w:val="28"/>
          <w:szCs w:val="22"/>
          <w:lang w:val="en-US" w:eastAsia="zh-CN"/>
        </w:rPr>
        <w:t>14</w:t>
      </w:r>
      <w:r>
        <w:rPr>
          <w:rFonts w:hint="eastAsia" w:ascii="宋体" w:hAnsi="宋体" w:cs="宋体"/>
          <w:bCs/>
          <w:kern w:val="28"/>
          <w:szCs w:val="22"/>
        </w:rPr>
        <w:t>日起至</w:t>
      </w:r>
      <w:r>
        <w:rPr>
          <w:rFonts w:hint="eastAsia" w:ascii="宋体" w:hAnsi="宋体" w:cs="宋体"/>
          <w:bCs/>
          <w:kern w:val="28"/>
          <w:szCs w:val="22"/>
          <w:lang w:eastAsia="zh-CN"/>
        </w:rPr>
        <w:t>2026</w:t>
      </w:r>
      <w:r>
        <w:rPr>
          <w:rFonts w:hint="eastAsia" w:ascii="宋体" w:hAnsi="宋体" w:cs="宋体"/>
          <w:bCs/>
          <w:kern w:val="28"/>
          <w:szCs w:val="22"/>
        </w:rPr>
        <w:t>年</w:t>
      </w:r>
      <w:r>
        <w:rPr>
          <w:rFonts w:hint="eastAsia" w:ascii="宋体" w:hAnsi="宋体" w:cs="宋体"/>
          <w:bCs/>
          <w:kern w:val="28"/>
          <w:szCs w:val="22"/>
          <w:lang w:val="en-US" w:eastAsia="zh-CN"/>
        </w:rPr>
        <w:t>5</w:t>
      </w:r>
      <w:r>
        <w:rPr>
          <w:rFonts w:hint="eastAsia" w:ascii="宋体" w:hAnsi="宋体" w:cs="宋体"/>
          <w:bCs/>
          <w:kern w:val="28"/>
          <w:szCs w:val="22"/>
        </w:rPr>
        <w:t>月</w:t>
      </w:r>
      <w:r>
        <w:rPr>
          <w:rFonts w:hint="eastAsia" w:ascii="宋体" w:hAnsi="宋体" w:cs="宋体"/>
          <w:bCs/>
          <w:kern w:val="28"/>
          <w:szCs w:val="22"/>
          <w:lang w:val="en-US" w:eastAsia="zh-CN"/>
        </w:rPr>
        <w:t>21</w:t>
      </w:r>
      <w:r>
        <w:rPr>
          <w:rFonts w:hint="eastAsia" w:ascii="宋体" w:hAnsi="宋体" w:cs="宋体"/>
          <w:bCs/>
          <w:kern w:val="28"/>
          <w:szCs w:val="22"/>
        </w:rPr>
        <w:t>日期间（9:00～12:00，14:00～17:30，法定节假日除外）按以下方式登记并获取招标文件。</w:t>
      </w:r>
    </w:p>
    <w:p>
      <w:pPr>
        <w:spacing w:line="360" w:lineRule="auto"/>
        <w:ind w:left="-359" w:leftChars="-171" w:firstLine="462" w:firstLineChars="220"/>
        <w:rPr>
          <w:rFonts w:hint="eastAsia" w:ascii="宋体" w:hAnsi="宋体" w:cs="宋体"/>
          <w:bCs/>
          <w:szCs w:val="21"/>
        </w:rPr>
      </w:pPr>
      <w:bookmarkStart w:id="21" w:name="_Toc30265"/>
      <w:bookmarkStart w:id="22" w:name="_Toc18533"/>
      <w:r>
        <w:rPr>
          <w:rFonts w:hint="eastAsia" w:ascii="宋体" w:hAnsi="宋体" w:cs="宋体"/>
          <w:bCs/>
          <w:szCs w:val="21"/>
        </w:rPr>
        <w:t>3.2获取方式：</w:t>
      </w:r>
      <w:bookmarkEnd w:id="21"/>
      <w:bookmarkEnd w:id="22"/>
    </w:p>
    <w:p>
      <w:pPr>
        <w:spacing w:line="360" w:lineRule="auto"/>
        <w:ind w:left="-359" w:leftChars="-171" w:firstLine="462" w:firstLineChars="220"/>
        <w:rPr>
          <w:rFonts w:hint="eastAsia" w:ascii="宋体" w:hAnsi="宋体" w:cs="宋体"/>
          <w:szCs w:val="21"/>
        </w:rPr>
      </w:pPr>
      <w:r>
        <w:rPr>
          <w:rFonts w:hint="eastAsia" w:ascii="宋体" w:hAnsi="宋体" w:cs="宋体"/>
          <w:szCs w:val="21"/>
        </w:rPr>
        <w:t>1、平台服务费：人民币300元</w:t>
      </w:r>
      <w:r>
        <w:rPr>
          <w:rFonts w:hint="eastAsia" w:ascii="宋体" w:hAnsi="宋体" w:cs="宋体"/>
          <w:szCs w:val="21"/>
          <w:lang w:val="en-US" w:eastAsia="zh-CN"/>
        </w:rPr>
        <w:t>/子包</w:t>
      </w:r>
      <w:r>
        <w:rPr>
          <w:rFonts w:hint="eastAsia" w:ascii="宋体" w:hAnsi="宋体" w:cs="宋体"/>
          <w:szCs w:val="21"/>
        </w:rPr>
        <w:t>（说明：费用在获取招标文件后不予退还，支付成功即视为同意本说明）。</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2、潜在</w:t>
      </w:r>
      <w:r>
        <w:rPr>
          <w:rFonts w:hint="eastAsia" w:ascii="宋体" w:hAnsi="宋体" w:cs="宋体"/>
          <w:szCs w:val="21"/>
          <w:lang w:eastAsia="zh-CN"/>
        </w:rPr>
        <w:t>供应商</w:t>
      </w:r>
      <w:r>
        <w:rPr>
          <w:rFonts w:hint="eastAsia" w:ascii="宋体" w:hAnsi="宋体" w:cs="宋体"/>
          <w:szCs w:val="21"/>
        </w:rPr>
        <w:t>可访问“广咨电子招投标交易平台（https://www.gzebid.cn）”进行网上获取招标文件。如</w:t>
      </w:r>
      <w:r>
        <w:rPr>
          <w:rFonts w:hint="eastAsia" w:ascii="宋体" w:hAnsi="宋体" w:cs="宋体"/>
          <w:szCs w:val="21"/>
          <w:lang w:eastAsia="zh-CN"/>
        </w:rPr>
        <w:t>供应商</w:t>
      </w:r>
      <w:r>
        <w:rPr>
          <w:rFonts w:hint="eastAsia" w:ascii="宋体" w:hAnsi="宋体" w:cs="宋体"/>
          <w:szCs w:val="21"/>
        </w:rPr>
        <w:t>尚未注册，请先注册后再进行网上获取招标文件。</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3、支持微信、支付宝两种购买方式，支付成功后即可下载。支付平台可以开具增值税普通电子发票，请登录系统下载。</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3.3</w:t>
      </w:r>
      <w:r>
        <w:rPr>
          <w:rFonts w:hint="eastAsia" w:ascii="宋体" w:hAnsi="宋体" w:cs="宋体"/>
          <w:szCs w:val="21"/>
          <w:lang w:eastAsia="zh-CN"/>
        </w:rPr>
        <w:t>供应商</w:t>
      </w:r>
      <w:r>
        <w:rPr>
          <w:rFonts w:hint="eastAsia" w:ascii="宋体" w:hAnsi="宋体" w:cs="宋体"/>
          <w:szCs w:val="21"/>
        </w:rPr>
        <w:t>参与本项目过程中，如遇各类问题，可按以下途径解决：</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1、广咨平台操作相关问题</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请查阅《广咨电子招投标交易平台供应商操作手册》等手册，获取路径：平台网站右上角→平台服务→左侧栏“操作手册”。</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2、移动CA、电子签章及电子保函相关问题</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（1）人工客服：扫描网站右下角浮窗“移动CA电子保函”中的微信二维码咨询。</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（2）电话客服：拨打400-658-7878联系。</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3、广咨平台账号问题、技术故障等</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1）微信客服：扫描网站右下角浮窗“微信客服”，即可与平台客服实时对话，同时提供人工服务。人工客服在线时间：每日8:30～12:00，14:00～17:30（节假日除外）；非工作时间可留言，人工客服人员会在上班后尽快处理。</w:t>
      </w:r>
    </w:p>
    <w:p>
      <w:pPr>
        <w:spacing w:line="360" w:lineRule="auto"/>
        <w:ind w:left="-359" w:leftChars="-171" w:firstLine="462" w:firstLineChars="220"/>
        <w:rPr>
          <w:rFonts w:hint="eastAsia" w:ascii="宋体" w:hAnsi="宋体" w:cs="宋体"/>
          <w:szCs w:val="21"/>
        </w:rPr>
      </w:pPr>
      <w:r>
        <w:rPr>
          <w:rFonts w:hint="eastAsia" w:ascii="宋体" w:hAnsi="宋体" w:cs="宋体"/>
          <w:szCs w:val="21"/>
        </w:rPr>
        <w:t>（2）智能客服：“广咨小智”24小时在线，可直接发起在线对话咨询。</w:t>
      </w:r>
    </w:p>
    <w:p>
      <w:pPr>
        <w:spacing w:line="360" w:lineRule="auto"/>
        <w:ind w:left="-359" w:leftChars="-171" w:firstLine="462" w:firstLineChars="220"/>
        <w:rPr>
          <w:rFonts w:hint="eastAsia" w:ascii="宋体" w:hAnsi="宋体"/>
          <w:bCs/>
          <w:szCs w:val="21"/>
        </w:rPr>
      </w:pPr>
      <w:r>
        <w:rPr>
          <w:rFonts w:hint="eastAsia" w:ascii="宋体" w:hAnsi="宋体" w:cs="宋体"/>
          <w:szCs w:val="21"/>
        </w:rPr>
        <w:t>（3）服务热线：拨打400-9030-870，每日8:30～12:00，14:00～17:30（节假日除外）。</w:t>
      </w:r>
    </w:p>
    <w:p>
      <w:pPr>
        <w:spacing w:line="360" w:lineRule="auto"/>
        <w:ind w:left="-359" w:leftChars="-171" w:firstLine="462" w:firstLineChars="220"/>
        <w:rPr>
          <w:rFonts w:hint="eastAsia"/>
        </w:rPr>
      </w:pPr>
      <w:r>
        <w:rPr>
          <w:rFonts w:hint="eastAsia" w:ascii="宋体" w:hAnsi="宋体"/>
          <w:bCs/>
          <w:szCs w:val="21"/>
        </w:rPr>
        <w:t>3.4发布</w:t>
      </w:r>
      <w:r>
        <w:rPr>
          <w:rFonts w:hint="eastAsia" w:ascii="宋体" w:hAnsi="宋体"/>
        </w:rPr>
        <w:t>公告的媒介：本项目招标公告同时在中国招标投标公共服务平台、广咨电子招投</w:t>
      </w:r>
      <w:r>
        <w:rPr>
          <w:rFonts w:hint="eastAsia" w:ascii="宋体" w:hAnsi="宋体" w:cs="宋体"/>
          <w:bCs/>
          <w:kern w:val="28"/>
          <w:szCs w:val="22"/>
        </w:rPr>
        <w:t>标交易平台</w:t>
      </w:r>
      <w:r>
        <w:rPr>
          <w:rFonts w:hint="eastAsia"/>
        </w:rPr>
        <w:t>（广东省机电设备招标有限公司网）</w:t>
      </w:r>
      <w:r>
        <w:rPr>
          <w:rFonts w:hint="eastAsia" w:ascii="宋体" w:hAnsi="宋体" w:cs="宋体"/>
          <w:bCs/>
          <w:kern w:val="28"/>
          <w:szCs w:val="22"/>
        </w:rPr>
        <w:t>、</w:t>
      </w:r>
      <w:r>
        <w:rPr>
          <w:rFonts w:hint="eastAsia"/>
        </w:rPr>
        <w:t>南方网、《南方日报》</w:t>
      </w:r>
      <w:r>
        <w:rPr>
          <w:rFonts w:hint="eastAsia"/>
          <w:lang w:eastAsia="zh-CN"/>
        </w:rPr>
        <w:t>、</w:t>
      </w:r>
      <w:r>
        <w:rPr>
          <w:rFonts w:hint="eastAsia"/>
          <w:lang w:val="en-US" w:eastAsia="zh-CN"/>
        </w:rPr>
        <w:t>南方＋客户端</w:t>
      </w:r>
      <w:r>
        <w:rPr>
          <w:rFonts w:hint="eastAsia" w:ascii="宋体" w:hAnsi="宋体" w:cs="宋体"/>
          <w:bCs/>
          <w:kern w:val="28"/>
          <w:szCs w:val="22"/>
        </w:rPr>
        <w:t>发布。</w:t>
      </w:r>
    </w:p>
    <w:p>
      <w:pPr>
        <w:spacing w:line="360" w:lineRule="auto"/>
        <w:ind w:left="-359" w:leftChars="-171" w:firstLine="462" w:firstLineChars="220"/>
        <w:rPr>
          <w:rFonts w:hint="eastAsia" w:ascii="宋体" w:hAnsi="宋体" w:cs="宋体"/>
          <w:color w:val="auto"/>
          <w:highlight w:val="none"/>
        </w:rPr>
      </w:pPr>
    </w:p>
    <w:p>
      <w:pPr>
        <w:tabs>
          <w:tab w:val="left" w:pos="540"/>
        </w:tabs>
        <w:spacing w:line="360" w:lineRule="auto"/>
        <w:outlineLvl w:val="0"/>
        <w:rPr>
          <w:rFonts w:hint="eastAsia" w:ascii="宋体" w:hAnsi="宋体" w:cs="宋体"/>
          <w:b/>
          <w:highlight w:val="none"/>
        </w:rPr>
      </w:pPr>
      <w:bookmarkStart w:id="23" w:name="_Toc1650"/>
      <w:bookmarkStart w:id="24" w:name="_Toc476177882"/>
      <w:bookmarkStart w:id="25" w:name="_Toc477185851"/>
      <w:bookmarkStart w:id="26" w:name="_Toc477186212"/>
      <w:bookmarkStart w:id="27" w:name="_Toc476177328"/>
      <w:r>
        <w:rPr>
          <w:rFonts w:hint="eastAsia" w:ascii="宋体" w:hAnsi="宋体" w:cs="宋体"/>
          <w:b/>
          <w:highlight w:val="none"/>
        </w:rPr>
        <w:t>四、投标文件的递交截止时间和递交地点</w:t>
      </w:r>
      <w:bookmarkEnd w:id="23"/>
      <w:bookmarkEnd w:id="24"/>
      <w:bookmarkEnd w:id="25"/>
      <w:bookmarkEnd w:id="26"/>
      <w:bookmarkEnd w:id="27"/>
    </w:p>
    <w:p>
      <w:pPr>
        <w:spacing w:line="360" w:lineRule="auto"/>
        <w:ind w:left="-359" w:leftChars="-171" w:firstLine="359" w:firstLineChars="171"/>
        <w:rPr>
          <w:rFonts w:hint="eastAsia" w:ascii="宋体" w:hAnsi="宋体" w:cs="宋体"/>
          <w:b/>
          <w:bCs/>
          <w:szCs w:val="21"/>
          <w:highlight w:val="none"/>
        </w:rPr>
      </w:pPr>
      <w:bookmarkStart w:id="28" w:name="_Toc477185852"/>
      <w:bookmarkStart w:id="29" w:name="_Toc476177329"/>
      <w:bookmarkStart w:id="30" w:name="_Toc477186213"/>
      <w:bookmarkStart w:id="31" w:name="_Toc476177883"/>
      <w:r>
        <w:rPr>
          <w:rFonts w:hint="eastAsia" w:ascii="宋体" w:hAnsi="宋体" w:cs="宋体"/>
          <w:bCs/>
          <w:kern w:val="28"/>
          <w:szCs w:val="22"/>
          <w:highlight w:val="none"/>
        </w:rPr>
        <w:t>4.1、递交投标文件截止时间：</w:t>
      </w:r>
      <w:r>
        <w:rPr>
          <w:rFonts w:hint="eastAsia" w:ascii="宋体" w:hAnsi="宋体" w:cs="宋体"/>
          <w:bCs/>
          <w:kern w:val="28"/>
          <w:szCs w:val="22"/>
          <w:highlight w:val="none"/>
          <w:lang w:eastAsia="zh-CN"/>
        </w:rPr>
        <w:t>2026</w:t>
      </w:r>
      <w:r>
        <w:rPr>
          <w:rFonts w:hint="eastAsia" w:ascii="宋体" w:hAnsi="宋体" w:cs="宋体"/>
          <w:bCs/>
          <w:kern w:val="28"/>
          <w:szCs w:val="22"/>
          <w:highlight w:val="none"/>
        </w:rPr>
        <w:t>年</w:t>
      </w:r>
      <w:r>
        <w:rPr>
          <w:rFonts w:hint="eastAsia" w:ascii="宋体" w:hAnsi="宋体" w:cs="宋体"/>
          <w:bCs/>
          <w:kern w:val="28"/>
          <w:szCs w:val="22"/>
          <w:highlight w:val="none"/>
          <w:lang w:val="en-US" w:eastAsia="zh-CN"/>
        </w:rPr>
        <w:t>6</w:t>
      </w:r>
      <w:r>
        <w:rPr>
          <w:rFonts w:hint="eastAsia" w:ascii="宋体" w:hAnsi="宋体" w:cs="宋体"/>
          <w:bCs/>
          <w:kern w:val="28"/>
          <w:szCs w:val="22"/>
          <w:highlight w:val="none"/>
        </w:rPr>
        <w:t>月</w:t>
      </w:r>
      <w:r>
        <w:rPr>
          <w:rFonts w:hint="eastAsia" w:ascii="宋体" w:hAnsi="宋体" w:cs="宋体"/>
          <w:bCs/>
          <w:kern w:val="28"/>
          <w:szCs w:val="22"/>
          <w:highlight w:val="none"/>
          <w:lang w:val="en-US" w:eastAsia="zh-CN"/>
        </w:rPr>
        <w:t>4</w:t>
      </w:r>
      <w:r>
        <w:rPr>
          <w:rFonts w:hint="eastAsia" w:ascii="宋体" w:hAnsi="宋体" w:cs="宋体"/>
          <w:bCs/>
          <w:kern w:val="28"/>
          <w:szCs w:val="22"/>
          <w:highlight w:val="none"/>
        </w:rPr>
        <w:t>日</w:t>
      </w:r>
      <w:r>
        <w:rPr>
          <w:rFonts w:hint="eastAsia" w:ascii="宋体" w:hAnsi="宋体" w:cs="宋体"/>
          <w:bCs/>
          <w:kern w:val="28"/>
          <w:szCs w:val="22"/>
          <w:highlight w:val="none"/>
          <w:lang w:val="en-US" w:eastAsia="zh-CN"/>
        </w:rPr>
        <w:t>09</w:t>
      </w:r>
      <w:r>
        <w:rPr>
          <w:rFonts w:hint="eastAsia" w:ascii="宋体" w:hAnsi="宋体" w:cs="宋体"/>
          <w:bCs/>
          <w:kern w:val="28"/>
          <w:szCs w:val="22"/>
          <w:highlight w:val="none"/>
        </w:rPr>
        <w:t>:30（北京时间）</w:t>
      </w:r>
      <w:r>
        <w:rPr>
          <w:rFonts w:hint="eastAsia" w:ascii="宋体" w:hAnsi="宋体" w:cs="宋体"/>
          <w:b/>
          <w:bCs/>
          <w:szCs w:val="21"/>
          <w:highlight w:val="none"/>
        </w:rPr>
        <w:t>，迟于此时间递交的投标文件将被拒绝。</w:t>
      </w:r>
    </w:p>
    <w:p>
      <w:pPr>
        <w:spacing w:line="360" w:lineRule="auto"/>
        <w:ind w:left="-359" w:leftChars="-171" w:firstLine="359" w:firstLineChars="171"/>
        <w:rPr>
          <w:rFonts w:hint="eastAsia" w:ascii="宋体" w:hAnsi="宋体" w:cs="宋体"/>
          <w:bCs/>
          <w:kern w:val="28"/>
          <w:szCs w:val="22"/>
          <w:highlight w:val="none"/>
        </w:rPr>
      </w:pPr>
      <w:r>
        <w:rPr>
          <w:rFonts w:hint="eastAsia" w:ascii="宋体" w:hAnsi="宋体" w:cs="宋体"/>
          <w:bCs/>
          <w:kern w:val="28"/>
          <w:szCs w:val="22"/>
          <w:highlight w:val="none"/>
        </w:rPr>
        <w:t>4.2、递交电子投标文件地点：</w:t>
      </w:r>
      <w:r>
        <w:rPr>
          <w:rFonts w:hint="eastAsia" w:ascii="宋体" w:hAnsi="宋体" w:cs="宋体"/>
          <w:bCs/>
          <w:kern w:val="28"/>
          <w:szCs w:val="22"/>
          <w:highlight w:val="none"/>
          <w:lang w:eastAsia="zh-CN"/>
        </w:rPr>
        <w:t>供应商</w:t>
      </w:r>
      <w:r>
        <w:rPr>
          <w:rFonts w:hint="eastAsia" w:ascii="宋体" w:hAnsi="宋体" w:cs="宋体"/>
          <w:bCs/>
          <w:kern w:val="28"/>
          <w:szCs w:val="22"/>
          <w:highlight w:val="none"/>
        </w:rPr>
        <w:t>应在截止时间前通过广咨电子招投标交易平台（网址：www.gzebid.cn）递交电子投标文件。逾期送达的投标文件，电子招标投标交易平台将予以拒收。</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注： 本项目为全流程电子招投标项目，</w:t>
      </w:r>
      <w:r>
        <w:rPr>
          <w:rFonts w:hint="eastAsia" w:ascii="宋体" w:hAnsi="宋体" w:cs="宋体"/>
          <w:bCs/>
          <w:kern w:val="28"/>
          <w:szCs w:val="22"/>
          <w:highlight w:val="none"/>
          <w:lang w:eastAsia="zh-CN"/>
        </w:rPr>
        <w:t>供应商</w:t>
      </w:r>
      <w:r>
        <w:rPr>
          <w:rFonts w:hint="eastAsia" w:ascii="宋体" w:hAnsi="宋体" w:cs="宋体"/>
          <w:bCs/>
          <w:kern w:val="28"/>
          <w:szCs w:val="22"/>
          <w:highlight w:val="none"/>
        </w:rPr>
        <w:t>需于投标截止时间前在广咨电子招投标交易平台（网址：www.gzebid.cn）上传电子投标文件。</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电子投标文件上传流程：</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1、潜在</w:t>
      </w:r>
      <w:r>
        <w:rPr>
          <w:rFonts w:hint="eastAsia" w:ascii="宋体" w:hAnsi="宋体" w:cs="宋体"/>
          <w:bCs/>
          <w:kern w:val="28"/>
          <w:szCs w:val="22"/>
          <w:highlight w:val="none"/>
          <w:lang w:eastAsia="zh-CN"/>
        </w:rPr>
        <w:t>供应商</w:t>
      </w:r>
      <w:r>
        <w:rPr>
          <w:rFonts w:hint="eastAsia" w:ascii="宋体" w:hAnsi="宋体" w:cs="宋体"/>
          <w:bCs/>
          <w:kern w:val="28"/>
          <w:szCs w:val="22"/>
          <w:highlight w:val="none"/>
        </w:rPr>
        <w:t>制作完成投标文件，签字盖章后，扫描为PDF格式。</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2、登录广咨电子招投标交易平台系统，进入项目在【在线报价】处上传已签字盖章PDF格式的投标文件。</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3、如PDF电子投标文件需使用电子章，可使用平台的在线签章功能。使用标信通APP移动CA对投标文件进行在线签章。</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4、在线填写报价明细与开标一览表。</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5、确认报价。</w:t>
      </w:r>
      <w:r>
        <w:rPr>
          <w:rFonts w:hint="eastAsia" w:ascii="宋体" w:hAnsi="宋体"/>
          <w:b/>
          <w:bCs/>
          <w:highlight w:val="none"/>
          <w:u w:val="single"/>
        </w:rPr>
        <w:t>（注：由于本项目不涉及报价，故在投标报价填“0”）</w:t>
      </w:r>
    </w:p>
    <w:p>
      <w:pPr>
        <w:spacing w:line="360" w:lineRule="auto"/>
        <w:ind w:left="-359" w:leftChars="-171" w:firstLine="462" w:firstLineChars="220"/>
        <w:rPr>
          <w:rFonts w:hint="eastAsia" w:ascii="宋体" w:hAnsi="宋体" w:cs="宋体"/>
          <w:bCs/>
          <w:kern w:val="28"/>
          <w:szCs w:val="22"/>
          <w:highlight w:val="none"/>
        </w:rPr>
      </w:pPr>
      <w:r>
        <w:rPr>
          <w:rFonts w:hint="eastAsia" w:ascii="宋体" w:hAnsi="宋体" w:cs="宋体"/>
          <w:bCs/>
          <w:kern w:val="28"/>
          <w:szCs w:val="22"/>
          <w:highlight w:val="none"/>
        </w:rPr>
        <w:t>本项目使用系统加密方式加密电子投标文件，供应商无需使用广咨国际数字化投标工具客户端。相关操作见网站“平台服务&gt;&gt;操作手册》广咨国际数字化采购咨询平台供应商操作手册”</w:t>
      </w:r>
    </w:p>
    <w:p>
      <w:pPr>
        <w:spacing w:line="360" w:lineRule="auto"/>
        <w:ind w:left="-359" w:leftChars="-171" w:firstLine="462" w:firstLineChars="220"/>
        <w:rPr>
          <w:rFonts w:hint="eastAsia" w:ascii="宋体" w:hAnsi="宋体" w:cs="宋体"/>
          <w:bCs/>
          <w:color w:val="auto"/>
          <w:szCs w:val="21"/>
          <w:highlight w:val="none"/>
        </w:rPr>
      </w:pPr>
      <w:r>
        <w:rPr>
          <w:rFonts w:hint="eastAsia" w:ascii="宋体" w:hAnsi="宋体" w:cs="宋体"/>
          <w:bCs/>
          <w:kern w:val="28"/>
          <w:szCs w:val="22"/>
          <w:highlight w:val="none"/>
        </w:rPr>
        <w:t>由于本项目为电子标项目，若出现线上线下无法同步开标或解密异常或其他不可控的因素时，由招标代理机构另行通知线上</w:t>
      </w:r>
      <w:r>
        <w:rPr>
          <w:rFonts w:hint="eastAsia" w:ascii="宋体" w:hAnsi="宋体" w:cs="宋体"/>
          <w:bCs/>
          <w:kern w:val="28"/>
          <w:szCs w:val="22"/>
          <w:highlight w:val="none"/>
          <w:lang w:val="en-US" w:eastAsia="zh-CN"/>
        </w:rPr>
        <w:t>解密</w:t>
      </w:r>
      <w:r>
        <w:rPr>
          <w:rFonts w:hint="eastAsia" w:ascii="宋体" w:hAnsi="宋体" w:cs="宋体"/>
          <w:bCs/>
          <w:kern w:val="28"/>
          <w:szCs w:val="22"/>
          <w:highlight w:val="none"/>
        </w:rPr>
        <w:t>时间或终止线上流程（直接以线下开评标为准），所有参与方免责。</w:t>
      </w:r>
      <w:bookmarkEnd w:id="28"/>
      <w:bookmarkEnd w:id="29"/>
      <w:bookmarkEnd w:id="30"/>
      <w:bookmarkEnd w:id="31"/>
    </w:p>
    <w:p>
      <w:pPr>
        <w:tabs>
          <w:tab w:val="left" w:pos="540"/>
        </w:tabs>
        <w:spacing w:line="360" w:lineRule="auto"/>
        <w:outlineLvl w:val="0"/>
        <w:rPr>
          <w:rFonts w:hint="eastAsia" w:ascii="宋体" w:hAnsi="宋体" w:cs="宋体"/>
          <w:b/>
          <w:color w:val="auto"/>
          <w:highlight w:val="none"/>
        </w:rPr>
      </w:pPr>
      <w:bookmarkStart w:id="32" w:name="_Toc476177331"/>
      <w:bookmarkStart w:id="33" w:name="_Toc476177885"/>
      <w:bookmarkStart w:id="34" w:name="_Toc477185854"/>
      <w:bookmarkStart w:id="35" w:name="_Toc25490"/>
      <w:bookmarkStart w:id="36" w:name="_Toc477186215"/>
      <w:r>
        <w:rPr>
          <w:rFonts w:hint="eastAsia" w:ascii="宋体" w:hAnsi="宋体" w:cs="宋体"/>
          <w:b/>
          <w:color w:val="auto"/>
          <w:highlight w:val="none"/>
          <w:lang w:val="en-US" w:eastAsia="zh-CN"/>
        </w:rPr>
        <w:t>五</w:t>
      </w:r>
      <w:r>
        <w:rPr>
          <w:rFonts w:hint="eastAsia" w:ascii="宋体" w:hAnsi="宋体" w:cs="宋体"/>
          <w:b/>
          <w:color w:val="auto"/>
          <w:highlight w:val="none"/>
        </w:rPr>
        <w:t>、其他说明</w:t>
      </w:r>
      <w:bookmarkEnd w:id="32"/>
      <w:bookmarkEnd w:id="33"/>
      <w:bookmarkEnd w:id="34"/>
      <w:bookmarkEnd w:id="35"/>
      <w:bookmarkEnd w:id="36"/>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的资料复印件应加盖单位公章保证所提供资料的真实性，如发现有虚假、隐瞒情况者，招标人将取消其投标资格。</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2、 </w:t>
      </w:r>
      <w:r>
        <w:rPr>
          <w:rFonts w:hint="eastAsia" w:ascii="宋体" w:hAnsi="宋体" w:cs="宋体"/>
          <w:bCs/>
          <w:color w:val="auto"/>
          <w:highlight w:val="none"/>
        </w:rPr>
        <w:t>购买了招标文件，而不参加投标的</w:t>
      </w:r>
      <w:r>
        <w:rPr>
          <w:rFonts w:hint="eastAsia" w:ascii="宋体" w:hAnsi="宋体" w:cs="宋体"/>
          <w:bCs/>
          <w:color w:val="auto"/>
          <w:highlight w:val="none"/>
          <w:lang w:eastAsia="zh-CN"/>
        </w:rPr>
        <w:t>供应商</w:t>
      </w:r>
      <w:r>
        <w:rPr>
          <w:rFonts w:hint="eastAsia" w:ascii="宋体" w:hAnsi="宋体" w:cs="宋体"/>
          <w:bCs/>
          <w:color w:val="auto"/>
          <w:highlight w:val="none"/>
        </w:rPr>
        <w:t>，请在</w:t>
      </w:r>
      <w:r>
        <w:rPr>
          <w:rFonts w:hint="eastAsia" w:ascii="宋体" w:hAnsi="宋体" w:cs="宋体"/>
          <w:bCs/>
          <w:color w:val="auto"/>
          <w:highlight w:val="none"/>
          <w:lang w:val="en-US" w:eastAsia="zh-CN"/>
        </w:rPr>
        <w:t>投标文件递交截止</w:t>
      </w:r>
      <w:r>
        <w:rPr>
          <w:rFonts w:hint="eastAsia" w:ascii="宋体" w:hAnsi="宋体" w:cs="宋体"/>
          <w:bCs/>
          <w:color w:val="auto"/>
          <w:highlight w:val="none"/>
        </w:rPr>
        <w:t>前3日以书面或邮件形式通知招标代理机构。</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3、招标代理机构和招标人将不负责</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准备投标文件和递交投标文件所发生的任何成本或费用。</w:t>
      </w:r>
    </w:p>
    <w:p>
      <w:pPr>
        <w:tabs>
          <w:tab w:val="left" w:pos="540"/>
        </w:tabs>
        <w:spacing w:line="360" w:lineRule="auto"/>
        <w:outlineLvl w:val="0"/>
        <w:rPr>
          <w:rFonts w:hint="eastAsia" w:ascii="宋体" w:hAnsi="宋体" w:cs="宋体"/>
          <w:b/>
          <w:color w:val="auto"/>
          <w:highlight w:val="none"/>
        </w:rPr>
      </w:pPr>
      <w:bookmarkStart w:id="37" w:name="_Toc477185855"/>
      <w:bookmarkStart w:id="38" w:name="_Toc476177886"/>
      <w:bookmarkStart w:id="39" w:name="_Toc476177332"/>
      <w:bookmarkStart w:id="40" w:name="_Toc477186216"/>
      <w:bookmarkStart w:id="41" w:name="_Toc32203"/>
      <w:r>
        <w:rPr>
          <w:rFonts w:hint="eastAsia" w:ascii="宋体" w:hAnsi="宋体" w:cs="宋体"/>
          <w:b/>
          <w:color w:val="auto"/>
          <w:highlight w:val="none"/>
          <w:lang w:val="en-US" w:eastAsia="zh-CN"/>
        </w:rPr>
        <w:t>六</w:t>
      </w:r>
      <w:r>
        <w:rPr>
          <w:rFonts w:hint="eastAsia" w:ascii="宋体" w:hAnsi="宋体" w:cs="宋体"/>
          <w:b/>
          <w:color w:val="auto"/>
          <w:highlight w:val="none"/>
        </w:rPr>
        <w:t>、招标代理机构所在地和</w:t>
      </w:r>
      <w:bookmarkEnd w:id="37"/>
      <w:bookmarkEnd w:id="38"/>
      <w:bookmarkEnd w:id="39"/>
      <w:bookmarkEnd w:id="40"/>
      <w:bookmarkEnd w:id="41"/>
      <w:r>
        <w:rPr>
          <w:rFonts w:hint="eastAsia" w:ascii="宋体" w:hAnsi="宋体" w:cs="宋体"/>
          <w:b/>
          <w:color w:val="auto"/>
          <w:highlight w:val="none"/>
        </w:rPr>
        <w:t>联系方式</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1、招标人联系方式</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 标 人：</w:t>
      </w:r>
      <w:r>
        <w:rPr>
          <w:rFonts w:hint="eastAsia" w:ascii="宋体" w:hAnsi="宋体" w:cs="宋体"/>
          <w:color w:val="auto"/>
          <w:szCs w:val="21"/>
          <w:highlight w:val="none"/>
          <w:lang w:eastAsia="zh-CN"/>
        </w:rPr>
        <w:t>广东南方日报展示科技有限公司</w:t>
      </w:r>
    </w:p>
    <w:p>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地址：</w:t>
      </w:r>
      <w:r>
        <w:rPr>
          <w:rFonts w:hint="eastAsia"/>
          <w:highlight w:val="none"/>
        </w:rPr>
        <w:t>广东省广州市</w:t>
      </w:r>
      <w:r>
        <w:rPr>
          <w:rFonts w:hint="eastAsia" w:ascii="宋体" w:hAnsi="宋体" w:cs="宋体"/>
          <w:szCs w:val="21"/>
          <w:highlight w:val="none"/>
        </w:rPr>
        <w:t>黄埔区黄埔大道东888号22层自编02单元05室</w:t>
      </w:r>
    </w:p>
    <w:p>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联系人：李女士</w:t>
      </w:r>
    </w:p>
    <w:p>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联系电话：13432029035/020-87397888</w:t>
      </w:r>
    </w:p>
    <w:p>
      <w:pPr>
        <w:pStyle w:val="2"/>
        <w:rPr>
          <w:rFonts w:hint="default" w:ascii="宋体" w:hAnsi="宋体" w:eastAsia="宋体" w:cs="宋体"/>
          <w:color w:val="auto"/>
          <w:highlight w:val="yellow"/>
          <w:lang w:val="en-US" w:eastAsia="zh-CN"/>
        </w:rPr>
      </w:pP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2、招标代理机构联系方式</w:t>
      </w:r>
    </w:p>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招标代理机构名称：广东省机电设备招标有限公司</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胡工、罗工</w:t>
      </w:r>
    </w:p>
    <w:p>
      <w:pPr>
        <w:spacing w:line="360" w:lineRule="auto"/>
        <w:ind w:left="-359" w:leftChars="-171" w:firstLine="359" w:firstLineChars="17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  址：</w:t>
      </w:r>
      <w:r>
        <w:rPr>
          <w:rFonts w:hint="eastAsia"/>
          <w:highlight w:val="none"/>
        </w:rPr>
        <w:t>广东省广州市越秀区环市中路316号金鹰大厦</w:t>
      </w:r>
      <w:r>
        <w:rPr>
          <w:rFonts w:hint="eastAsia"/>
          <w:highlight w:val="none"/>
          <w:lang w:val="en-US" w:eastAsia="zh-CN"/>
        </w:rPr>
        <w:t>9</w:t>
      </w:r>
      <w:r>
        <w:rPr>
          <w:rFonts w:hint="eastAsia"/>
          <w:highlight w:val="none"/>
        </w:rPr>
        <w:t>楼</w:t>
      </w:r>
      <w:r>
        <w:rPr>
          <w:rFonts w:hint="eastAsia"/>
          <w:highlight w:val="none"/>
          <w:lang w:val="en-US" w:eastAsia="zh-CN"/>
        </w:rPr>
        <w:t>905</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020-83544332、83541795</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电子邮件：</w:t>
      </w:r>
      <w:r>
        <w:rPr>
          <w:rFonts w:hint="eastAsia" w:ascii="宋体" w:hAnsi="宋体" w:cs="宋体"/>
          <w:color w:val="auto"/>
          <w:szCs w:val="21"/>
          <w:highlight w:val="none"/>
          <w:lang w:eastAsia="zh-CN"/>
        </w:rPr>
        <w:t>jdzbhu@163.com</w:t>
      </w:r>
    </w:p>
    <w:p>
      <w:pPr>
        <w:wordWrap w:val="0"/>
        <w:spacing w:line="360" w:lineRule="auto"/>
        <w:ind w:firstLine="420" w:firstLineChars="200"/>
        <w:jc w:val="right"/>
        <w:rPr>
          <w:rFonts w:hint="eastAsia" w:ascii="宋体" w:hAnsi="宋体" w:eastAsia="宋体" w:cs="宋体"/>
          <w:color w:val="auto"/>
          <w:highlight w:val="none"/>
          <w:lang w:eastAsia="zh-CN"/>
        </w:rPr>
      </w:pPr>
      <w:r>
        <w:rPr>
          <w:rFonts w:hint="eastAsia" w:ascii="宋体" w:hAnsi="宋体" w:cs="宋体"/>
          <w:color w:val="auto"/>
          <w:highlight w:val="none"/>
        </w:rPr>
        <w:t xml:space="preserve">  招标人：</w:t>
      </w:r>
      <w:r>
        <w:rPr>
          <w:rFonts w:hint="eastAsia" w:ascii="宋体" w:hAnsi="宋体" w:cs="宋体"/>
          <w:bCs/>
          <w:color w:val="auto"/>
          <w:highlight w:val="none"/>
          <w:lang w:eastAsia="zh-CN"/>
        </w:rPr>
        <w:t>广东南方日报展示科技有限公司</w:t>
      </w:r>
    </w:p>
    <w:p>
      <w:pPr>
        <w:spacing w:line="360" w:lineRule="auto"/>
        <w:jc w:val="right"/>
        <w:rPr>
          <w:rFonts w:hint="eastAsia" w:ascii="宋体" w:hAnsi="宋体" w:cs="宋体"/>
          <w:color w:val="auto"/>
          <w:highlight w:val="none"/>
        </w:rPr>
      </w:pPr>
      <w:r>
        <w:rPr>
          <w:rFonts w:hint="eastAsia" w:ascii="宋体" w:hAnsi="宋体" w:cs="宋体"/>
          <w:color w:val="auto"/>
          <w:highlight w:val="none"/>
        </w:rPr>
        <w:t xml:space="preserve">招标代理：广东省机电设备招标有限公司 </w:t>
      </w:r>
    </w:p>
    <w:p>
      <w:pPr>
        <w:wordWrap w:val="0"/>
        <w:spacing w:line="360" w:lineRule="auto"/>
        <w:ind w:firstLine="420" w:firstLineChars="200"/>
        <w:jc w:val="right"/>
        <w:rPr>
          <w:rFonts w:hint="eastAsia" w:ascii="宋体" w:hAnsi="宋体" w:cs="宋体"/>
          <w:color w:val="auto"/>
          <w:highlight w:val="none"/>
        </w:rPr>
        <w:sectPr>
          <w:footerReference r:id="rId7" w:type="default"/>
          <w:pgSz w:w="11906" w:h="16838"/>
          <w:pgMar w:top="1134" w:right="1418" w:bottom="1134" w:left="141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color w:val="auto"/>
          <w:highlight w:val="none"/>
          <w:lang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14</w:t>
      </w:r>
      <w:r>
        <w:rPr>
          <w:rFonts w:hint="eastAsia" w:ascii="宋体" w:hAnsi="宋体" w:cs="宋体"/>
          <w:color w:val="auto"/>
          <w:highlight w:val="none"/>
        </w:rPr>
        <w:t>日</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12"/>
        <w:rPr>
          <w:rFonts w:hint="eastAsia" w:ascii="宋体" w:hAnsi="宋体" w:cs="宋体"/>
          <w:color w:val="auto"/>
          <w:highlight w:val="none"/>
        </w:rPr>
      </w:pPr>
    </w:p>
    <w:p>
      <w:pPr>
        <w:rPr>
          <w:rFonts w:hint="eastAsia" w:ascii="宋体" w:hAnsi="宋体" w:cs="宋体"/>
          <w:color w:val="auto"/>
          <w:highlight w:val="none"/>
        </w:rPr>
      </w:pPr>
    </w:p>
    <w:p>
      <w:pPr>
        <w:pStyle w:val="12"/>
        <w:rPr>
          <w:rFonts w:hint="eastAsia"/>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snapToGrid w:val="0"/>
        <w:spacing w:line="360" w:lineRule="auto"/>
        <w:jc w:val="center"/>
        <w:rPr>
          <w:rFonts w:hint="eastAsia" w:ascii="宋体" w:hAnsi="宋体" w:cs="宋体"/>
          <w:b/>
          <w:color w:val="auto"/>
          <w:sz w:val="44"/>
          <w:highlight w:val="none"/>
        </w:rPr>
      </w:pPr>
    </w:p>
    <w:p>
      <w:pPr>
        <w:snapToGrid w:val="0"/>
        <w:spacing w:line="360" w:lineRule="auto"/>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42" w:name="_Toc9976"/>
      <w:r>
        <w:rPr>
          <w:rFonts w:hint="eastAsia" w:ascii="宋体" w:hAnsi="宋体" w:cs="宋体"/>
          <w:b/>
          <w:color w:val="auto"/>
          <w:sz w:val="44"/>
          <w:szCs w:val="44"/>
          <w:highlight w:val="none"/>
        </w:rPr>
        <w:t>第二章</w:t>
      </w:r>
      <w:bookmarkStart w:id="43" w:name="_Toc477186217"/>
      <w:r>
        <w:rPr>
          <w:rFonts w:hint="eastAsia" w:ascii="宋体" w:hAnsi="宋体" w:cs="宋体"/>
          <w:b/>
          <w:color w:val="auto"/>
          <w:sz w:val="44"/>
          <w:szCs w:val="44"/>
          <w:highlight w:val="none"/>
        </w:rPr>
        <w:t xml:space="preserve">  投标人须知</w:t>
      </w:r>
      <w:bookmarkEnd w:id="42"/>
      <w:bookmarkEnd w:id="43"/>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投标人须知前附表</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43" w:type="dxa"/>
            <w:noWrap w:val="0"/>
            <w:vAlign w:val="center"/>
          </w:tcPr>
          <w:p>
            <w:pPr>
              <w:pStyle w:val="24"/>
              <w:ind w:left="1265" w:right="42" w:rightChars="20" w:hanging="1265"/>
              <w:jc w:val="center"/>
              <w:rPr>
                <w:rFonts w:hint="eastAsia" w:hAnsi="宋体" w:cs="宋体"/>
                <w:b/>
                <w:bCs/>
                <w:color w:val="auto"/>
                <w:highlight w:val="none"/>
              </w:rPr>
            </w:pPr>
            <w:bookmarkStart w:id="44" w:name="_Toc476177888"/>
            <w:bookmarkStart w:id="45" w:name="_Toc119753876"/>
            <w:bookmarkStart w:id="46" w:name="_Toc30250"/>
            <w:bookmarkStart w:id="47" w:name="_Toc476177333"/>
            <w:r>
              <w:rPr>
                <w:rFonts w:hint="eastAsia" w:hAnsi="宋体" w:cs="宋体"/>
                <w:b/>
                <w:bCs/>
                <w:color w:val="auto"/>
                <w:highlight w:val="none"/>
              </w:rPr>
              <w:t>项号</w:t>
            </w:r>
          </w:p>
        </w:tc>
        <w:tc>
          <w:tcPr>
            <w:tcW w:w="8443" w:type="dxa"/>
            <w:noWrap w:val="0"/>
            <w:vAlign w:val="center"/>
          </w:tcPr>
          <w:p>
            <w:pPr>
              <w:pStyle w:val="24"/>
              <w:ind w:left="252" w:leftChars="120" w:firstLine="2509" w:firstLineChars="1190"/>
              <w:rPr>
                <w:rFonts w:hint="eastAsia" w:hAnsi="宋体" w:cs="宋体"/>
                <w:b/>
                <w:bCs/>
                <w:color w:val="auto"/>
                <w:highlight w:val="none"/>
              </w:rPr>
            </w:pPr>
            <w:r>
              <w:rPr>
                <w:rFonts w:hint="eastAsia" w:hAnsi="宋体" w:cs="宋体"/>
                <w:b/>
                <w:bCs/>
                <w:color w:val="auto"/>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43" w:type="dxa"/>
            <w:noWrap w:val="0"/>
            <w:vAlign w:val="center"/>
          </w:tcPr>
          <w:p>
            <w:pPr>
              <w:pStyle w:val="24"/>
              <w:ind w:left="-2394" w:leftChars="-1140" w:right="-107" w:rightChars="-51" w:firstLine="2284" w:firstLineChars="1088"/>
              <w:jc w:val="center"/>
              <w:rPr>
                <w:rFonts w:hint="eastAsia" w:hAnsi="宋体" w:cs="宋体"/>
                <w:color w:val="auto"/>
                <w:highlight w:val="none"/>
              </w:rPr>
            </w:pPr>
            <w:r>
              <w:rPr>
                <w:rFonts w:hint="eastAsia" w:hAnsi="宋体" w:cs="宋体"/>
                <w:color w:val="auto"/>
                <w:highlight w:val="none"/>
              </w:rPr>
              <w:t>1</w:t>
            </w:r>
          </w:p>
        </w:tc>
        <w:tc>
          <w:tcPr>
            <w:tcW w:w="8443" w:type="dxa"/>
            <w:noWrap w:val="0"/>
            <w:vAlign w:val="top"/>
          </w:tcPr>
          <w:p>
            <w:pPr>
              <w:pStyle w:val="24"/>
              <w:ind w:left="1" w:firstLine="0"/>
              <w:rPr>
                <w:rFonts w:hint="eastAsia" w:hAnsi="宋体" w:eastAsia="宋体" w:cs="宋体"/>
                <w:b/>
                <w:color w:val="auto"/>
                <w:highlight w:val="none"/>
                <w:lang w:eastAsia="zh-CN"/>
              </w:rPr>
            </w:pPr>
            <w:r>
              <w:rPr>
                <w:rFonts w:hint="eastAsia" w:hAnsi="宋体" w:cs="宋体"/>
                <w:b/>
                <w:color w:val="auto"/>
                <w:highlight w:val="none"/>
              </w:rPr>
              <w:t>项目名称：</w:t>
            </w:r>
            <w:r>
              <w:rPr>
                <w:rFonts w:hint="eastAsia" w:hAnsi="宋体" w:cs="宋体"/>
                <w:b/>
                <w:color w:val="auto"/>
                <w:highlight w:val="none"/>
                <w:lang w:eastAsia="zh-CN"/>
              </w:rPr>
              <w:t>南方展示布展实施及展陈多媒体硬件年度供应商</w:t>
            </w:r>
          </w:p>
          <w:p>
            <w:pPr>
              <w:pStyle w:val="24"/>
              <w:ind w:left="1265" w:hanging="1265"/>
              <w:rPr>
                <w:rFonts w:hint="eastAsia" w:hAnsi="宋体" w:eastAsia="宋体" w:cs="宋体"/>
                <w:color w:val="auto"/>
                <w:highlight w:val="none"/>
                <w:lang w:eastAsia="zh-CN"/>
              </w:rPr>
            </w:pPr>
            <w:r>
              <w:rPr>
                <w:rFonts w:hint="eastAsia" w:hAnsi="宋体" w:cs="宋体"/>
                <w:b/>
                <w:bCs/>
                <w:color w:val="auto"/>
                <w:highlight w:val="none"/>
              </w:rPr>
              <w:t>招标人名称：</w:t>
            </w:r>
            <w:r>
              <w:rPr>
                <w:rFonts w:hint="eastAsia" w:hAnsi="宋体" w:cs="宋体"/>
                <w:b/>
                <w:color w:val="auto"/>
                <w:highlight w:val="none"/>
                <w:lang w:eastAsia="zh-CN"/>
              </w:rPr>
              <w:t>广东南方日报展示科技有限公司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4"/>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2</w:t>
            </w:r>
          </w:p>
        </w:tc>
        <w:tc>
          <w:tcPr>
            <w:tcW w:w="8443" w:type="dxa"/>
            <w:noWrap w:val="0"/>
            <w:vAlign w:val="center"/>
          </w:tcPr>
          <w:p>
            <w:pPr>
              <w:pStyle w:val="24"/>
              <w:ind w:left="1103" w:hanging="1103" w:hangingChars="523"/>
              <w:rPr>
                <w:rFonts w:hint="eastAsia" w:hAnsi="宋体" w:cs="宋体"/>
                <w:b/>
                <w:color w:val="auto"/>
                <w:highlight w:val="none"/>
                <w:u w:val="single"/>
              </w:rPr>
            </w:pPr>
            <w:r>
              <w:rPr>
                <w:rFonts w:hint="eastAsia" w:hAnsi="宋体" w:cs="宋体"/>
                <w:b/>
                <w:bCs/>
                <w:color w:val="auto"/>
                <w:highlight w:val="none"/>
              </w:rPr>
              <w:t>资金来源：</w:t>
            </w:r>
            <w:r>
              <w:rPr>
                <w:rFonts w:hint="eastAsia" w:hAnsi="宋体" w:cs="宋体"/>
                <w:color w:val="auto"/>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4"/>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3</w:t>
            </w:r>
          </w:p>
        </w:tc>
        <w:tc>
          <w:tcPr>
            <w:tcW w:w="8443" w:type="dxa"/>
            <w:noWrap w:val="0"/>
            <w:vAlign w:val="center"/>
          </w:tcPr>
          <w:p>
            <w:pPr>
              <w:pStyle w:val="24"/>
              <w:ind w:left="1265" w:hanging="1265"/>
              <w:rPr>
                <w:rFonts w:hint="eastAsia" w:hAnsi="宋体" w:cs="宋体"/>
                <w:color w:val="auto"/>
                <w:highlight w:val="none"/>
              </w:rPr>
            </w:pPr>
            <w:r>
              <w:rPr>
                <w:rFonts w:hint="eastAsia" w:hAnsi="宋体" w:cs="宋体"/>
                <w:b/>
                <w:bCs/>
                <w:color w:val="auto"/>
                <w:highlight w:val="none"/>
              </w:rPr>
              <w:t>招标方式：</w:t>
            </w:r>
            <w:r>
              <w:rPr>
                <w:rFonts w:hint="eastAsia" w:hAnsi="宋体" w:cs="宋体"/>
                <w:color w:val="auto"/>
                <w:highlight w:val="none"/>
              </w:rPr>
              <w:t>国内公开招标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4"/>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4</w:t>
            </w:r>
          </w:p>
        </w:tc>
        <w:tc>
          <w:tcPr>
            <w:tcW w:w="8443" w:type="dxa"/>
            <w:noWrap w:val="0"/>
            <w:vAlign w:val="center"/>
          </w:tcPr>
          <w:p>
            <w:pPr>
              <w:pStyle w:val="24"/>
              <w:ind w:left="1" w:firstLine="0"/>
              <w:jc w:val="left"/>
              <w:rPr>
                <w:rFonts w:hint="eastAsia" w:hAnsi="宋体" w:cs="宋体"/>
                <w:b/>
                <w:bCs/>
                <w:color w:val="auto"/>
                <w:highlight w:val="none"/>
              </w:rPr>
            </w:pPr>
            <w:r>
              <w:rPr>
                <w:rFonts w:hint="eastAsia" w:hAnsi="宋体" w:cs="宋体"/>
                <w:b/>
                <w:color w:val="auto"/>
                <w:highlight w:val="none"/>
              </w:rPr>
              <w:t>招标信息发布：</w:t>
            </w:r>
            <w:r>
              <w:rPr>
                <w:rFonts w:hint="eastAsia" w:hAnsi="宋体" w:cs="宋体"/>
                <w:bCs/>
                <w:color w:val="auto"/>
                <w:highlight w:val="none"/>
              </w:rPr>
              <w:t>中</w:t>
            </w:r>
            <w:r>
              <w:rPr>
                <w:rFonts w:hint="eastAsia" w:hAnsi="宋体" w:cs="宋体"/>
                <w:color w:val="auto"/>
                <w:highlight w:val="none"/>
              </w:rPr>
              <w:t>国招标投标公共服务平台、广咨电子招投标交易平台网站（广东省机电设备招标有限公司网）、南方网、《南方日报》</w:t>
            </w:r>
            <w:r>
              <w:rPr>
                <w:rFonts w:hint="eastAsia" w:hAnsi="宋体" w:cs="宋体"/>
                <w:color w:val="auto"/>
                <w:highlight w:val="none"/>
                <w:lang w:eastAsia="zh-CN"/>
              </w:rPr>
              <w:t>、</w:t>
            </w:r>
            <w:r>
              <w:rPr>
                <w:rFonts w:hint="eastAsia"/>
                <w:lang w:eastAsia="zh-CN"/>
              </w:rPr>
              <w:t>南方</w:t>
            </w:r>
            <w:r>
              <w:rPr>
                <w:rFonts w:hint="eastAsia"/>
                <w:lang w:val="en-US" w:eastAsia="zh-CN"/>
              </w:rPr>
              <w:t>＋</w:t>
            </w:r>
            <w:r>
              <w:rPr>
                <w:rFonts w:hint="eastAsia"/>
                <w:lang w:eastAsia="zh-CN"/>
              </w:rPr>
              <w:t>客户端</w:t>
            </w:r>
            <w:r>
              <w:rPr>
                <w:rFonts w:hint="eastAsia"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noWrap w:val="0"/>
            <w:vAlign w:val="center"/>
          </w:tcPr>
          <w:p>
            <w:pPr>
              <w:pStyle w:val="24"/>
              <w:ind w:left="-466" w:leftChars="-222" w:right="42" w:rightChars="20" w:firstLine="464" w:firstLineChars="221"/>
              <w:jc w:val="center"/>
              <w:rPr>
                <w:rFonts w:hint="eastAsia" w:hAnsi="宋体" w:cs="宋体"/>
                <w:color w:val="auto"/>
                <w:highlight w:val="none"/>
              </w:rPr>
            </w:pPr>
            <w:r>
              <w:rPr>
                <w:rFonts w:hint="eastAsia" w:hAnsi="宋体" w:cs="宋体"/>
                <w:color w:val="auto"/>
                <w:highlight w:val="none"/>
              </w:rPr>
              <w:t>5</w:t>
            </w:r>
          </w:p>
        </w:tc>
        <w:tc>
          <w:tcPr>
            <w:tcW w:w="8443" w:type="dxa"/>
            <w:noWrap w:val="0"/>
            <w:vAlign w:val="center"/>
          </w:tcPr>
          <w:p>
            <w:pPr>
              <w:pStyle w:val="24"/>
              <w:ind w:left="1265" w:hanging="1265"/>
              <w:rPr>
                <w:rFonts w:hint="eastAsia" w:hAnsi="宋体" w:cs="宋体"/>
                <w:color w:val="auto"/>
                <w:highlight w:val="none"/>
              </w:rPr>
            </w:pPr>
            <w:r>
              <w:rPr>
                <w:rFonts w:hint="eastAsia" w:hAnsi="宋体" w:cs="宋体"/>
                <w:b/>
                <w:bCs/>
                <w:color w:val="auto"/>
                <w:highlight w:val="none"/>
              </w:rPr>
              <w:t>招标范围：</w:t>
            </w:r>
            <w:r>
              <w:rPr>
                <w:rFonts w:hint="eastAsia" w:hAnsi="宋体" w:cs="宋体"/>
                <w:color w:val="auto"/>
                <w:highlight w:val="none"/>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3" w:type="dxa"/>
            <w:noWrap w:val="0"/>
            <w:vAlign w:val="center"/>
          </w:tcPr>
          <w:p>
            <w:pPr>
              <w:pStyle w:val="24"/>
              <w:ind w:left="-466" w:leftChars="-222" w:right="42" w:rightChars="20" w:firstLine="464" w:firstLineChars="221"/>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6</w:t>
            </w:r>
          </w:p>
        </w:tc>
        <w:tc>
          <w:tcPr>
            <w:tcW w:w="8443" w:type="dxa"/>
            <w:noWrap w:val="0"/>
            <w:vAlign w:val="center"/>
          </w:tcPr>
          <w:p>
            <w:pPr>
              <w:pStyle w:val="24"/>
              <w:ind w:left="1" w:firstLine="0"/>
              <w:jc w:val="left"/>
              <w:rPr>
                <w:rFonts w:hint="eastAsia" w:hAnsi="宋体" w:cs="宋体"/>
                <w:color w:val="auto"/>
                <w:highlight w:val="none"/>
              </w:rPr>
            </w:pPr>
            <w:r>
              <w:rPr>
                <w:rFonts w:hint="eastAsia"/>
                <w:highlight w:val="none"/>
              </w:rPr>
              <w:t>纸质投标文件份数：中文正本1份；中文副本2份；投标文件电子文档1份（usb闪存盘）。以上投标文件，仅用于招标人存档使用，不作为评审依据。（纸质投标文件如采用邮递方式送达的，请务必提前寄出并通知招标代理项目联系人，保证投标文件在提交截止时间前送达指定地点并密封完好）。邮寄地址：广东省广州市越秀区环市中路316号金鹰大厦</w:t>
            </w:r>
            <w:r>
              <w:rPr>
                <w:rFonts w:hint="eastAsia"/>
                <w:highlight w:val="none"/>
                <w:lang w:val="en-US" w:eastAsia="zh-CN"/>
              </w:rPr>
              <w:t>9</w:t>
            </w:r>
            <w:r>
              <w:rPr>
                <w:rFonts w:hint="eastAsia"/>
                <w:highlight w:val="none"/>
              </w:rPr>
              <w:t>楼</w:t>
            </w:r>
            <w:r>
              <w:rPr>
                <w:rFonts w:hint="eastAsia"/>
                <w:highlight w:val="none"/>
                <w:lang w:val="en-US" w:eastAsia="zh-CN"/>
              </w:rPr>
              <w:t>905</w:t>
            </w:r>
            <w:r>
              <w:rPr>
                <w:rFonts w:hint="eastAsia"/>
                <w:highlight w:val="none"/>
              </w:rPr>
              <w:t>，收件人：</w:t>
            </w:r>
            <w:r>
              <w:rPr>
                <w:rFonts w:hint="eastAsia"/>
                <w:highlight w:val="none"/>
                <w:lang w:val="en-US" w:eastAsia="zh-CN"/>
              </w:rPr>
              <w:t>胡</w:t>
            </w:r>
            <w:r>
              <w:rPr>
                <w:rFonts w:hint="eastAsia"/>
                <w:highlight w:val="none"/>
              </w:rPr>
              <w:t>工，联系方式：020-8354</w:t>
            </w:r>
            <w:r>
              <w:rPr>
                <w:rFonts w:hint="eastAsia"/>
                <w:highlight w:val="none"/>
                <w:lang w:val="en-US" w:eastAsia="zh-CN"/>
              </w:rPr>
              <w:t>4332</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shd w:val="clear" w:color="auto" w:fill="auto"/>
            <w:noWrap w:val="0"/>
            <w:vAlign w:val="center"/>
          </w:tcPr>
          <w:p>
            <w:pPr>
              <w:pStyle w:val="24"/>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7</w:t>
            </w:r>
          </w:p>
        </w:tc>
        <w:tc>
          <w:tcPr>
            <w:tcW w:w="8443" w:type="dxa"/>
            <w:noWrap w:val="0"/>
            <w:vAlign w:val="center"/>
          </w:tcPr>
          <w:p>
            <w:pPr>
              <w:pStyle w:val="24"/>
              <w:ind w:left="1265" w:hanging="1265"/>
              <w:rPr>
                <w:rFonts w:hint="eastAsia" w:hAnsi="宋体" w:cs="宋体"/>
                <w:color w:val="auto"/>
                <w:highlight w:val="none"/>
              </w:rPr>
            </w:pPr>
            <w:r>
              <w:rPr>
                <w:rFonts w:hint="eastAsia" w:hAnsi="宋体" w:cs="宋体"/>
                <w:b/>
                <w:bCs/>
                <w:color w:val="auto"/>
                <w:highlight w:val="none"/>
              </w:rPr>
              <w:t>投标有效期：</w:t>
            </w:r>
            <w:r>
              <w:rPr>
                <w:rFonts w:hint="eastAsia" w:hAnsi="宋体" w:cs="宋体"/>
                <w:b/>
                <w:color w:val="auto"/>
                <w:highlight w:val="none"/>
                <w:u w:val="single"/>
              </w:rPr>
              <w:t>90天（日历天）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shd w:val="clear" w:color="auto" w:fill="auto"/>
            <w:noWrap w:val="0"/>
            <w:vAlign w:val="center"/>
          </w:tcPr>
          <w:p>
            <w:pPr>
              <w:pStyle w:val="24"/>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8</w:t>
            </w:r>
          </w:p>
        </w:tc>
        <w:tc>
          <w:tcPr>
            <w:tcW w:w="8443" w:type="dxa"/>
            <w:noWrap w:val="0"/>
            <w:vAlign w:val="top"/>
          </w:tcPr>
          <w:p>
            <w:pPr>
              <w:pStyle w:val="24"/>
              <w:spacing w:before="120" w:after="120"/>
              <w:ind w:left="1" w:firstLine="0"/>
              <w:rPr>
                <w:rFonts w:hint="eastAsia" w:hAnsi="宋体" w:cs="宋体"/>
                <w:b/>
                <w:bCs/>
                <w:color w:val="auto"/>
                <w:highlight w:val="none"/>
              </w:rPr>
            </w:pPr>
            <w:r>
              <w:rPr>
                <w:rFonts w:hint="eastAsia" w:hAnsi="宋体" w:cs="宋体"/>
                <w:b/>
                <w:bCs/>
                <w:color w:val="auto"/>
                <w:highlight w:val="none"/>
              </w:rPr>
              <w:t>投标保证金：</w:t>
            </w:r>
          </w:p>
          <w:p>
            <w:pPr>
              <w:pStyle w:val="24"/>
              <w:spacing w:before="120" w:after="120"/>
              <w:ind w:left="1" w:firstLine="0"/>
              <w:rPr>
                <w:rFonts w:hint="eastAsia" w:hAnsi="宋体" w:cs="宋体"/>
                <w:b/>
                <w:bCs/>
                <w:color w:val="auto"/>
                <w:highlight w:val="none"/>
              </w:rPr>
            </w:pPr>
            <w:r>
              <w:rPr>
                <w:rFonts w:hint="eastAsia" w:hAnsi="宋体" w:cs="宋体"/>
                <w:b/>
                <w:bCs/>
                <w:color w:val="auto"/>
                <w:highlight w:val="none"/>
              </w:rPr>
              <w:t>1、投标保证金金额：</w:t>
            </w:r>
          </w:p>
          <w:p>
            <w:pPr>
              <w:pStyle w:val="24"/>
              <w:spacing w:before="120" w:after="120"/>
              <w:ind w:left="1" w:firstLine="0"/>
              <w:rPr>
                <w:rFonts w:hint="eastAsia" w:hAnsi="宋体" w:eastAsia="宋体" w:cs="宋体"/>
                <w:b/>
                <w:bCs/>
                <w:color w:val="auto"/>
                <w:highlight w:val="none"/>
                <w:lang w:eastAsia="zh-CN"/>
              </w:rPr>
            </w:pPr>
            <w:r>
              <w:rPr>
                <w:rFonts w:hint="eastAsia" w:hAnsi="宋体" w:cs="宋体"/>
                <w:b/>
                <w:bCs/>
                <w:color w:val="auto"/>
                <w:highlight w:val="none"/>
                <w:lang w:val="en-US" w:eastAsia="zh-CN"/>
              </w:rPr>
              <w:t>子包一：</w:t>
            </w:r>
            <w:r>
              <w:rPr>
                <w:rFonts w:hint="eastAsia" w:hAnsi="宋体" w:cs="宋体"/>
                <w:b/>
                <w:bCs/>
                <w:color w:val="auto"/>
                <w:highlight w:val="none"/>
                <w:lang w:eastAsia="zh-CN"/>
              </w:rPr>
              <w:t>供应商</w:t>
            </w:r>
            <w:r>
              <w:rPr>
                <w:rFonts w:hint="eastAsia" w:hAnsi="宋体" w:cs="宋体"/>
                <w:b/>
                <w:bCs/>
                <w:color w:val="auto"/>
                <w:highlight w:val="none"/>
              </w:rPr>
              <w:t>必须提交</w:t>
            </w:r>
            <w:r>
              <w:rPr>
                <w:rFonts w:hint="eastAsia" w:hAnsi="宋体" w:cs="宋体"/>
                <w:b/>
                <w:bCs/>
                <w:color w:val="auto"/>
                <w:highlight w:val="none"/>
                <w:lang w:val="en-US" w:eastAsia="zh-CN"/>
              </w:rPr>
              <w:t>¥</w:t>
            </w:r>
            <w:r>
              <w:rPr>
                <w:rFonts w:hint="eastAsia" w:hAnsi="宋体" w:cs="宋体"/>
                <w:b/>
                <w:bCs/>
                <w:color w:val="auto"/>
                <w:highlight w:val="none"/>
                <w:u w:val="single"/>
                <w:lang w:val="en-US" w:eastAsia="zh-CN"/>
              </w:rPr>
              <w:t>5</w:t>
            </w:r>
            <w:r>
              <w:rPr>
                <w:rFonts w:hint="eastAsia" w:hAnsi="宋体" w:cs="宋体"/>
                <w:b/>
                <w:bCs/>
                <w:color w:val="auto"/>
                <w:highlight w:val="none"/>
                <w:u w:val="single"/>
              </w:rPr>
              <w:t>000.00</w:t>
            </w:r>
            <w:r>
              <w:rPr>
                <w:rFonts w:hint="eastAsia" w:hAnsi="宋体" w:cs="宋体"/>
                <w:b/>
                <w:bCs/>
                <w:color w:val="auto"/>
                <w:highlight w:val="none"/>
              </w:rPr>
              <w:t>元(大写：人民币</w:t>
            </w:r>
            <w:r>
              <w:rPr>
                <w:rFonts w:hint="eastAsia" w:hAnsi="宋体" w:cs="宋体"/>
                <w:b/>
                <w:bCs/>
                <w:color w:val="auto"/>
                <w:highlight w:val="none"/>
                <w:lang w:val="en-US" w:eastAsia="zh-CN"/>
              </w:rPr>
              <w:t>伍仟</w:t>
            </w:r>
            <w:r>
              <w:rPr>
                <w:rFonts w:hint="eastAsia" w:hAnsi="宋体" w:cs="宋体"/>
                <w:b/>
                <w:bCs/>
                <w:color w:val="auto"/>
                <w:highlight w:val="none"/>
              </w:rPr>
              <w:t>元整)的投标保证金</w:t>
            </w:r>
            <w:r>
              <w:rPr>
                <w:rFonts w:hint="eastAsia" w:hAnsi="宋体" w:cs="宋体"/>
                <w:b/>
                <w:bCs/>
                <w:color w:val="auto"/>
                <w:highlight w:val="none"/>
                <w:lang w:eastAsia="zh-CN"/>
              </w:rPr>
              <w:t>。</w:t>
            </w:r>
          </w:p>
          <w:p>
            <w:pPr>
              <w:pStyle w:val="24"/>
              <w:spacing w:before="120" w:after="120"/>
              <w:ind w:left="1" w:firstLine="0"/>
              <w:rPr>
                <w:rFonts w:hint="eastAsia" w:hAnsi="宋体" w:cs="宋体"/>
                <w:b/>
                <w:bCs/>
                <w:color w:val="auto"/>
                <w:highlight w:val="none"/>
                <w:lang w:eastAsia="zh-CN"/>
              </w:rPr>
            </w:pPr>
            <w:r>
              <w:rPr>
                <w:rFonts w:hint="eastAsia" w:hAnsi="宋体" w:cs="宋体"/>
                <w:b/>
                <w:bCs/>
                <w:color w:val="auto"/>
                <w:highlight w:val="none"/>
                <w:lang w:val="en-US" w:eastAsia="zh-CN"/>
              </w:rPr>
              <w:t>子包二：</w:t>
            </w:r>
            <w:r>
              <w:rPr>
                <w:rFonts w:hint="eastAsia" w:hAnsi="宋体" w:cs="宋体"/>
                <w:b/>
                <w:bCs/>
                <w:color w:val="auto"/>
                <w:highlight w:val="none"/>
                <w:lang w:eastAsia="zh-CN"/>
              </w:rPr>
              <w:t>供应商</w:t>
            </w:r>
            <w:r>
              <w:rPr>
                <w:rFonts w:hint="eastAsia" w:hAnsi="宋体" w:cs="宋体"/>
                <w:b/>
                <w:bCs/>
                <w:color w:val="auto"/>
                <w:highlight w:val="none"/>
              </w:rPr>
              <w:t>必须提交</w:t>
            </w:r>
            <w:r>
              <w:rPr>
                <w:rFonts w:hint="eastAsia" w:hAnsi="宋体" w:cs="宋体"/>
                <w:b/>
                <w:bCs/>
                <w:color w:val="auto"/>
                <w:highlight w:val="none"/>
                <w:lang w:val="en-US" w:eastAsia="zh-CN"/>
              </w:rPr>
              <w:t>¥</w:t>
            </w:r>
            <w:r>
              <w:rPr>
                <w:rFonts w:hint="eastAsia" w:hAnsi="宋体" w:cs="宋体"/>
                <w:b/>
                <w:bCs/>
                <w:color w:val="auto"/>
                <w:highlight w:val="none"/>
                <w:u w:val="single"/>
                <w:lang w:val="en-US" w:eastAsia="zh-CN"/>
              </w:rPr>
              <w:t>5</w:t>
            </w:r>
            <w:r>
              <w:rPr>
                <w:rFonts w:hint="eastAsia" w:hAnsi="宋体" w:cs="宋体"/>
                <w:b/>
                <w:bCs/>
                <w:color w:val="auto"/>
                <w:highlight w:val="none"/>
                <w:u w:val="single"/>
              </w:rPr>
              <w:t>000.00</w:t>
            </w:r>
            <w:r>
              <w:rPr>
                <w:rFonts w:hint="eastAsia" w:hAnsi="宋体" w:cs="宋体"/>
                <w:b/>
                <w:bCs/>
                <w:color w:val="auto"/>
                <w:highlight w:val="none"/>
              </w:rPr>
              <w:t>元(大写：人民币</w:t>
            </w:r>
            <w:r>
              <w:rPr>
                <w:rFonts w:hint="eastAsia" w:hAnsi="宋体" w:cs="宋体"/>
                <w:b/>
                <w:bCs/>
                <w:color w:val="auto"/>
                <w:highlight w:val="none"/>
                <w:lang w:val="en-US" w:eastAsia="zh-CN"/>
              </w:rPr>
              <w:t>伍仟</w:t>
            </w:r>
            <w:r>
              <w:rPr>
                <w:rFonts w:hint="eastAsia" w:hAnsi="宋体" w:cs="宋体"/>
                <w:b/>
                <w:bCs/>
                <w:color w:val="auto"/>
                <w:highlight w:val="none"/>
              </w:rPr>
              <w:t>元整)的投标保证金</w:t>
            </w:r>
            <w:r>
              <w:rPr>
                <w:rFonts w:hint="eastAsia" w:hAnsi="宋体" w:cs="宋体"/>
                <w:b/>
                <w:bCs/>
                <w:color w:val="auto"/>
                <w:highlight w:val="none"/>
                <w:lang w:eastAsia="zh-CN"/>
              </w:rPr>
              <w:t>。</w:t>
            </w:r>
          </w:p>
          <w:p>
            <w:pPr>
              <w:pStyle w:val="24"/>
              <w:spacing w:before="120" w:after="120"/>
              <w:ind w:left="1" w:firstLine="0"/>
              <w:rPr>
                <w:rFonts w:hint="eastAsia" w:hAnsi="宋体" w:cs="宋体"/>
                <w:b/>
                <w:bCs/>
                <w:color w:val="auto"/>
                <w:highlight w:val="none"/>
                <w:lang w:eastAsia="zh-CN"/>
              </w:rPr>
            </w:pPr>
          </w:p>
          <w:p>
            <w:pPr>
              <w:pStyle w:val="24"/>
              <w:spacing w:before="120" w:after="120" w:line="360" w:lineRule="auto"/>
              <w:ind w:left="1" w:firstLine="0"/>
              <w:rPr>
                <w:rFonts w:hint="eastAsia" w:hAnsi="宋体" w:cs="宋体"/>
                <w:color w:val="auto"/>
                <w:highlight w:val="none"/>
              </w:rPr>
            </w:pPr>
            <w:r>
              <w:rPr>
                <w:rFonts w:hint="eastAsia" w:hAnsi="宋体" w:cs="宋体"/>
                <w:b/>
                <w:bCs/>
                <w:color w:val="auto"/>
                <w:highlight w:val="none"/>
              </w:rPr>
              <w:t>2、投标保证金缴纳方式：</w:t>
            </w:r>
            <w:r>
              <w:rPr>
                <w:rFonts w:hint="eastAsia" w:hAnsi="宋体" w:cs="宋体"/>
                <w:color w:val="auto"/>
                <w:highlight w:val="none"/>
              </w:rPr>
              <w:t>（1）按银行子账号信息汇款/转账方式缴纳；或（2）电子保函线上缴纳方式：</w:t>
            </w:r>
          </w:p>
          <w:p>
            <w:pPr>
              <w:pStyle w:val="24"/>
              <w:ind w:firstLine="0"/>
              <w:rPr>
                <w:rFonts w:hint="eastAsia" w:hAnsi="宋体" w:cs="宋体"/>
                <w:b/>
                <w:bCs/>
                <w:color w:val="auto"/>
                <w:highlight w:val="none"/>
              </w:rPr>
            </w:pPr>
            <w:r>
              <w:rPr>
                <w:rFonts w:hint="eastAsia" w:hAnsi="宋体" w:cs="宋体"/>
                <w:b/>
                <w:bCs/>
                <w:color w:val="auto"/>
                <w:highlight w:val="none"/>
              </w:rPr>
              <w:t>（1）银行子账号信息汇款/转账缴纳方式：</w:t>
            </w:r>
          </w:p>
          <w:p>
            <w:pPr>
              <w:pStyle w:val="24"/>
              <w:ind w:firstLine="0"/>
              <w:rPr>
                <w:rFonts w:hint="eastAsia" w:hAnsi="宋体" w:cs="宋体"/>
                <w:color w:val="auto"/>
                <w:highlight w:val="none"/>
              </w:rPr>
            </w:pPr>
            <w:r>
              <w:rPr>
                <w:rFonts w:hint="eastAsia" w:hAnsi="宋体" w:cs="宋体"/>
                <w:color w:val="auto"/>
                <w:highlight w:val="none"/>
              </w:rPr>
              <w:t>①</w:t>
            </w:r>
            <w:r>
              <w:rPr>
                <w:rFonts w:hint="eastAsia" w:hAnsi="宋体" w:cs="宋体"/>
                <w:color w:val="auto"/>
                <w:highlight w:val="none"/>
                <w:lang w:eastAsia="zh-CN"/>
              </w:rPr>
              <w:t>供应商</w:t>
            </w:r>
            <w:r>
              <w:rPr>
                <w:rFonts w:hint="eastAsia" w:hAnsi="宋体" w:cs="宋体"/>
                <w:color w:val="auto"/>
                <w:highlight w:val="none"/>
              </w:rPr>
              <w:t>网上登记成功后，应登录广东省机电设备招标有限公司广咨电子招投标交易平台网站（http://www.gzebid.cn）并选择对应项目获取缴纳投标保证金的银行子账号信息（每位</w:t>
            </w:r>
            <w:r>
              <w:rPr>
                <w:rFonts w:hint="eastAsia" w:hAnsi="宋体" w:cs="宋体"/>
                <w:color w:val="auto"/>
                <w:highlight w:val="none"/>
                <w:lang w:eastAsia="zh-CN"/>
              </w:rPr>
              <w:t>供应商</w:t>
            </w:r>
            <w:r>
              <w:rPr>
                <w:rFonts w:hint="eastAsia" w:hAnsi="宋体" w:cs="宋体"/>
                <w:color w:val="auto"/>
                <w:highlight w:val="none"/>
              </w:rPr>
              <w:t>每个项目的保证金缴纳账户是唯一的，该账号是针对每位</w:t>
            </w:r>
            <w:r>
              <w:rPr>
                <w:rFonts w:hint="eastAsia" w:hAnsi="宋体" w:cs="宋体"/>
                <w:color w:val="auto"/>
                <w:highlight w:val="none"/>
                <w:lang w:eastAsia="zh-CN"/>
              </w:rPr>
              <w:t>供应商</w:t>
            </w:r>
            <w:r>
              <w:rPr>
                <w:rFonts w:hint="eastAsia" w:hAnsi="宋体" w:cs="宋体"/>
                <w:color w:val="auto"/>
                <w:highlight w:val="none"/>
              </w:rPr>
              <w:t>随机生成的专属账号）。</w:t>
            </w:r>
          </w:p>
          <w:p>
            <w:pPr>
              <w:pStyle w:val="24"/>
              <w:ind w:firstLine="0"/>
              <w:rPr>
                <w:rFonts w:hint="eastAsia" w:hAnsi="宋体" w:cs="宋体"/>
                <w:color w:val="auto"/>
                <w:highlight w:val="none"/>
              </w:rPr>
            </w:pPr>
            <w:r>
              <w:rPr>
                <w:rFonts w:hint="eastAsia" w:hAnsi="宋体" w:cs="宋体"/>
                <w:color w:val="auto"/>
                <w:highlight w:val="none"/>
              </w:rPr>
              <w:t>②投标保证金应从</w:t>
            </w:r>
            <w:r>
              <w:rPr>
                <w:rFonts w:hint="eastAsia" w:hAnsi="宋体" w:cs="宋体"/>
                <w:color w:val="auto"/>
                <w:highlight w:val="none"/>
                <w:lang w:eastAsia="zh-CN"/>
              </w:rPr>
              <w:t>供应商</w:t>
            </w:r>
            <w:r>
              <w:rPr>
                <w:rFonts w:hint="eastAsia" w:hAnsi="宋体" w:cs="宋体"/>
                <w:color w:val="auto"/>
                <w:highlight w:val="none"/>
              </w:rPr>
              <w:t>的账号支付，并以资金到达该子账号的时间为准</w:t>
            </w:r>
            <w:r>
              <w:rPr>
                <w:rFonts w:hint="eastAsia" w:hAnsi="宋体" w:cs="宋体"/>
                <w:color w:val="auto"/>
                <w:highlight w:val="none"/>
                <w:lang w:eastAsia="zh-CN"/>
              </w:rPr>
              <w:t>，</w:t>
            </w:r>
            <w:r>
              <w:rPr>
                <w:rFonts w:hint="eastAsia" w:hAnsi="宋体" w:cs="宋体"/>
                <w:color w:val="auto"/>
                <w:highlight w:val="none"/>
              </w:rPr>
              <w:t>如从其他账户、或未缴纳到指定的子账号，视为无效投标保证金。</w:t>
            </w:r>
          </w:p>
          <w:p>
            <w:pPr>
              <w:pStyle w:val="24"/>
              <w:ind w:firstLine="0"/>
              <w:rPr>
                <w:rFonts w:hint="eastAsia" w:hAnsi="宋体" w:cs="宋体"/>
                <w:color w:val="auto"/>
                <w:highlight w:val="none"/>
              </w:rPr>
            </w:pPr>
            <w:r>
              <w:rPr>
                <w:rFonts w:hint="eastAsia" w:hAnsi="宋体" w:cs="宋体"/>
                <w:color w:val="auto"/>
                <w:highlight w:val="none"/>
              </w:rPr>
              <w:t>③缴纳投标保证金时</w:t>
            </w:r>
            <w:r>
              <w:rPr>
                <w:rFonts w:hint="eastAsia" w:hAnsi="宋体" w:cs="宋体"/>
                <w:color w:val="auto"/>
                <w:highlight w:val="none"/>
                <w:lang w:eastAsia="zh-CN"/>
              </w:rPr>
              <w:t>供应商</w:t>
            </w:r>
            <w:r>
              <w:rPr>
                <w:rFonts w:hint="eastAsia" w:hAnsi="宋体" w:cs="宋体"/>
                <w:color w:val="auto"/>
                <w:highlight w:val="none"/>
              </w:rPr>
              <w:t>须仔细阅读广咨电子招投标交易平台的缴纳保证金页面的所有内容（包括重要事项），如因</w:t>
            </w:r>
            <w:r>
              <w:rPr>
                <w:rFonts w:hint="eastAsia" w:hAnsi="宋体" w:cs="宋体"/>
                <w:color w:val="auto"/>
                <w:highlight w:val="none"/>
                <w:lang w:eastAsia="zh-CN"/>
              </w:rPr>
              <w:t>供应商</w:t>
            </w:r>
            <w:r>
              <w:rPr>
                <w:rFonts w:hint="eastAsia" w:hAnsi="宋体" w:cs="宋体"/>
                <w:color w:val="auto"/>
                <w:highlight w:val="none"/>
              </w:rPr>
              <w:t>未按要求错误操作造成系统平台无法识别缴纳账号信息或投标保证金未在投标截止时间前到账的，视为未按要求缴纳保证金，由此造成后果由</w:t>
            </w:r>
            <w:r>
              <w:rPr>
                <w:rFonts w:hint="eastAsia" w:hAnsi="宋体" w:cs="宋体"/>
                <w:color w:val="auto"/>
                <w:highlight w:val="none"/>
                <w:lang w:eastAsia="zh-CN"/>
              </w:rPr>
              <w:t>供应商</w:t>
            </w:r>
            <w:r>
              <w:rPr>
                <w:rFonts w:hint="eastAsia" w:hAnsi="宋体" w:cs="宋体"/>
                <w:color w:val="auto"/>
                <w:highlight w:val="none"/>
              </w:rPr>
              <w:t>自行承担责任。</w:t>
            </w:r>
          </w:p>
          <w:p>
            <w:pPr>
              <w:pStyle w:val="24"/>
              <w:ind w:firstLine="0"/>
              <w:rPr>
                <w:rFonts w:hint="eastAsia" w:hAnsi="宋体" w:cs="宋体"/>
                <w:b/>
                <w:bCs/>
                <w:color w:val="auto"/>
                <w:highlight w:val="none"/>
              </w:rPr>
            </w:pPr>
            <w:r>
              <w:rPr>
                <w:rFonts w:hint="eastAsia" w:hAnsi="宋体" w:cs="宋体"/>
                <w:b/>
                <w:bCs/>
                <w:color w:val="auto"/>
                <w:highlight w:val="none"/>
              </w:rPr>
              <w:t>（2）电子保函线上缴纳方式：</w:t>
            </w:r>
          </w:p>
          <w:p>
            <w:pPr>
              <w:pStyle w:val="24"/>
              <w:ind w:firstLine="0"/>
              <w:rPr>
                <w:rFonts w:hint="eastAsia" w:hAnsi="宋体" w:cs="宋体"/>
                <w:color w:val="auto"/>
                <w:highlight w:val="none"/>
              </w:rPr>
            </w:pPr>
            <w:r>
              <w:rPr>
                <w:rFonts w:hint="eastAsia" w:hAnsi="宋体" w:cs="宋体"/>
                <w:color w:val="auto"/>
                <w:highlight w:val="none"/>
              </w:rPr>
              <w:t>①登录广咨电子招投标交易平台网站（www.gzebid.cn）并选择对应项目，选择“申请电子保函”，使用标信通APP进行扫码申请，选择开函机构并填写发票信息（如为首次在该开函机构申请电子保函需先完成准入），选择CA盾（如未办理移动CA，系统将自动赠送一个仅能用于开函的CA），确认提交并完成支付，成功出函后，</w:t>
            </w:r>
            <w:r>
              <w:rPr>
                <w:rFonts w:hint="eastAsia" w:hAnsi="宋体" w:cs="宋体"/>
                <w:color w:val="auto"/>
                <w:highlight w:val="none"/>
                <w:lang w:eastAsia="zh-CN"/>
              </w:rPr>
              <w:t>供应商</w:t>
            </w:r>
            <w:r>
              <w:rPr>
                <w:rFonts w:hint="eastAsia" w:hAnsi="宋体" w:cs="宋体"/>
                <w:color w:val="auto"/>
                <w:highlight w:val="none"/>
              </w:rPr>
              <w:t>在标信通APP点击“确定提交”，电子保函同步提交至广咨电子招投标交易平台，还可在标信通APP手机下载所开具的电子保函。</w:t>
            </w:r>
          </w:p>
          <w:p>
            <w:pPr>
              <w:pStyle w:val="24"/>
              <w:ind w:firstLine="0"/>
              <w:rPr>
                <w:rFonts w:hint="eastAsia" w:hAnsi="宋体" w:cs="宋体"/>
                <w:color w:val="auto"/>
                <w:highlight w:val="none"/>
              </w:rPr>
            </w:pPr>
            <w:r>
              <w:rPr>
                <w:rFonts w:hint="eastAsia" w:hAnsi="宋体" w:cs="宋体"/>
                <w:color w:val="auto"/>
                <w:highlight w:val="none"/>
              </w:rPr>
              <w:t>②登录标信通APP，点击“投标保函”-“申请保函”，选择“广咨电子招投标交易平台”并选择开函机构（如首次在该开函机构申请电子保函需先完成准入），选择项目申请保函（需先在广咨电子招投标交易平台完成项目投标登记，否则无法购买电子保函），填写发票信息，选择CA盾，确认提交并完成支付，成功出函后，</w:t>
            </w:r>
            <w:r>
              <w:rPr>
                <w:rFonts w:hint="eastAsia" w:hAnsi="宋体" w:cs="宋体"/>
                <w:color w:val="auto"/>
                <w:highlight w:val="none"/>
                <w:lang w:eastAsia="zh-CN"/>
              </w:rPr>
              <w:t>供应商</w:t>
            </w:r>
            <w:r>
              <w:rPr>
                <w:rFonts w:hint="eastAsia" w:hAnsi="宋体" w:cs="宋体"/>
                <w:color w:val="auto"/>
                <w:highlight w:val="none"/>
              </w:rPr>
              <w:t>在标信通APP点击“确定提交”，电子保函同步提交至广咨电子招投标交易平台，</w:t>
            </w:r>
            <w:r>
              <w:rPr>
                <w:rFonts w:hint="eastAsia" w:hAnsi="宋体" w:cs="宋体"/>
                <w:color w:val="auto"/>
                <w:highlight w:val="none"/>
                <w:lang w:eastAsia="zh-CN"/>
              </w:rPr>
              <w:t>供应商</w:t>
            </w:r>
            <w:r>
              <w:rPr>
                <w:rFonts w:hint="eastAsia" w:hAnsi="宋体" w:cs="宋体"/>
                <w:color w:val="auto"/>
                <w:highlight w:val="none"/>
              </w:rPr>
              <w:t>可在标信通APP手机下载所开具的电子保函。</w:t>
            </w:r>
          </w:p>
          <w:p>
            <w:pPr>
              <w:pStyle w:val="24"/>
              <w:ind w:firstLineChars="200"/>
              <w:rPr>
                <w:rFonts w:hint="eastAsia" w:hAnsi="宋体" w:cs="宋体"/>
                <w:color w:val="auto"/>
                <w:highlight w:val="none"/>
              </w:rPr>
            </w:pPr>
            <w:r>
              <w:rPr>
                <w:rFonts w:hint="eastAsia" w:hAnsi="宋体" w:cs="宋体"/>
                <w:color w:val="auto"/>
                <w:highlight w:val="none"/>
              </w:rPr>
              <w:t>具体操作可访问广咨电子招投标交易平台：平台服务》办事指引》电子保函方式缴纳保证金。</w:t>
            </w:r>
          </w:p>
          <w:p>
            <w:pPr>
              <w:pStyle w:val="24"/>
              <w:ind w:firstLine="0"/>
              <w:rPr>
                <w:rFonts w:hint="eastAsia" w:hAnsi="宋体" w:cs="宋体"/>
                <w:color w:val="auto"/>
                <w:highlight w:val="none"/>
              </w:rPr>
            </w:pPr>
            <w:r>
              <w:rPr>
                <w:rFonts w:hint="eastAsia" w:hAnsi="宋体" w:cs="宋体"/>
                <w:color w:val="auto"/>
                <w:highlight w:val="none"/>
              </w:rPr>
              <w:t>（投标保证金缴纳指南具体见：广咨电子招投标交易平台网站（www.gzebid.cn）首页&gt;平台服务&gt;办事指南&gt;广咨电子招投标交易平台网上缴纳投标保证金说明，咨询热线电话：</w:t>
            </w:r>
            <w:r>
              <w:rPr>
                <w:rFonts w:hint="eastAsia" w:hAnsi="宋体" w:cs="宋体"/>
                <w:color w:val="auto"/>
                <w:highlight w:val="none"/>
                <w:lang w:eastAsia="zh-CN"/>
              </w:rPr>
              <w:t>400-9030-870</w:t>
            </w:r>
            <w:r>
              <w:rPr>
                <w:rFonts w:hint="eastAsia" w:hAnsi="宋体" w:cs="宋体"/>
                <w:color w:val="auto"/>
                <w:highlight w:val="none"/>
              </w:rPr>
              <w:t xml:space="preserve"> 网站客服(QQ)：3151435402。）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shd w:val="clear" w:color="auto" w:fill="auto"/>
            <w:noWrap w:val="0"/>
            <w:vAlign w:val="center"/>
          </w:tcPr>
          <w:p>
            <w:pPr>
              <w:pStyle w:val="24"/>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9</w:t>
            </w:r>
          </w:p>
        </w:tc>
        <w:tc>
          <w:tcPr>
            <w:tcW w:w="8443" w:type="dxa"/>
            <w:noWrap w:val="0"/>
            <w:vAlign w:val="top"/>
          </w:tcPr>
          <w:p>
            <w:pPr>
              <w:pStyle w:val="24"/>
              <w:ind w:left="1265" w:hanging="1265"/>
              <w:rPr>
                <w:rFonts w:hint="eastAsia" w:hAnsi="宋体" w:cs="宋体"/>
                <w:color w:val="auto"/>
                <w:highlight w:val="none"/>
              </w:rPr>
            </w:pPr>
            <w:r>
              <w:rPr>
                <w:rFonts w:hint="eastAsia" w:hAnsi="宋体" w:cs="宋体"/>
                <w:color w:val="auto"/>
                <w:highlight w:val="none"/>
              </w:rPr>
              <w:t>投标截止时间：</w:t>
            </w:r>
            <w:r>
              <w:rPr>
                <w:rFonts w:hint="eastAsia" w:hAnsi="宋体" w:cs="宋体"/>
                <w:color w:val="auto"/>
                <w:highlight w:val="none"/>
                <w:u w:val="single"/>
              </w:rPr>
              <w:t>详见投标邀请函</w:t>
            </w:r>
          </w:p>
          <w:p>
            <w:pPr>
              <w:pStyle w:val="24"/>
              <w:ind w:firstLine="0"/>
              <w:rPr>
                <w:rFonts w:hint="eastAsia" w:hAnsi="宋体" w:cs="宋体"/>
                <w:color w:val="auto"/>
                <w:highlight w:val="none"/>
              </w:rPr>
            </w:pPr>
            <w:r>
              <w:rPr>
                <w:rFonts w:hint="eastAsia" w:hAnsi="宋体" w:cs="宋体"/>
                <w:color w:val="auto"/>
                <w:highlight w:val="none"/>
              </w:rPr>
              <w:t>投标文件递交地址：</w:t>
            </w:r>
            <w:r>
              <w:rPr>
                <w:rFonts w:hint="eastAsia" w:hAnsi="宋体" w:cs="宋体"/>
                <w:color w:val="auto"/>
                <w:highlight w:val="none"/>
                <w:u w:val="single"/>
              </w:rPr>
              <w:t>详见投标邀请函</w:t>
            </w:r>
            <w:r>
              <w:rPr>
                <w:rFonts w:hint="eastAsia"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3" w:type="dxa"/>
            <w:shd w:val="clear" w:color="auto" w:fill="auto"/>
            <w:noWrap w:val="0"/>
            <w:vAlign w:val="center"/>
          </w:tcPr>
          <w:p>
            <w:pPr>
              <w:pStyle w:val="24"/>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1</w:t>
            </w:r>
            <w:r>
              <w:rPr>
                <w:rFonts w:hint="eastAsia" w:hAnsi="宋体" w:cs="宋体"/>
                <w:color w:val="auto"/>
                <w:highlight w:val="none"/>
                <w:lang w:val="en-US" w:eastAsia="zh-CN"/>
              </w:rPr>
              <w:t>0</w:t>
            </w:r>
          </w:p>
        </w:tc>
        <w:tc>
          <w:tcPr>
            <w:tcW w:w="8443" w:type="dxa"/>
            <w:noWrap w:val="0"/>
            <w:vAlign w:val="top"/>
          </w:tcPr>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 标 人：</w:t>
            </w:r>
            <w:r>
              <w:rPr>
                <w:rFonts w:hint="eastAsia" w:ascii="宋体" w:hAnsi="宋体" w:cs="宋体"/>
                <w:color w:val="auto"/>
                <w:szCs w:val="21"/>
                <w:highlight w:val="none"/>
                <w:lang w:eastAsia="zh-CN"/>
              </w:rPr>
              <w:t>广东南方日报展示科技有限公司</w:t>
            </w:r>
          </w:p>
          <w:p>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地址：</w:t>
            </w:r>
            <w:r>
              <w:rPr>
                <w:rFonts w:hint="eastAsia"/>
                <w:highlight w:val="none"/>
              </w:rPr>
              <w:t>广东省广州市</w:t>
            </w:r>
            <w:r>
              <w:rPr>
                <w:rFonts w:hint="eastAsia" w:ascii="宋体" w:hAnsi="宋体" w:cs="宋体"/>
                <w:szCs w:val="21"/>
                <w:highlight w:val="none"/>
              </w:rPr>
              <w:t>黄埔区黄埔大道东888号22层自编02单元05室</w:t>
            </w:r>
          </w:p>
          <w:p>
            <w:pPr>
              <w:spacing w:line="360" w:lineRule="auto"/>
              <w:ind w:left="-359" w:leftChars="-171" w:firstLine="359" w:firstLineChars="171"/>
              <w:rPr>
                <w:rFonts w:hint="eastAsia" w:ascii="宋体" w:hAnsi="宋体" w:cs="宋体"/>
                <w:szCs w:val="21"/>
                <w:highlight w:val="none"/>
              </w:rPr>
            </w:pPr>
            <w:r>
              <w:rPr>
                <w:rFonts w:hint="eastAsia" w:ascii="宋体" w:hAnsi="宋体" w:cs="宋体"/>
                <w:szCs w:val="21"/>
                <w:highlight w:val="none"/>
              </w:rPr>
              <w:t>联系人：李女士</w:t>
            </w:r>
          </w:p>
          <w:p>
            <w:pPr>
              <w:spacing w:line="360" w:lineRule="auto"/>
              <w:ind w:left="-359" w:leftChars="-171" w:firstLine="359" w:firstLineChars="171"/>
              <w:rPr>
                <w:rFonts w:hint="default" w:ascii="宋体" w:hAnsi="宋体" w:eastAsia="宋体" w:cs="宋体"/>
                <w:color w:val="auto"/>
                <w:highlight w:val="none"/>
                <w:lang w:val="en-US" w:eastAsia="zh-CN"/>
              </w:rPr>
            </w:pPr>
            <w:r>
              <w:rPr>
                <w:rFonts w:hint="eastAsia" w:ascii="宋体" w:hAnsi="宋体" w:cs="宋体"/>
                <w:szCs w:val="21"/>
                <w:highlight w:val="none"/>
              </w:rPr>
              <w:t>联系电话：13432029035/020-87397888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43" w:type="dxa"/>
            <w:shd w:val="clear" w:color="auto" w:fill="auto"/>
            <w:noWrap w:val="0"/>
            <w:vAlign w:val="center"/>
          </w:tcPr>
          <w:p>
            <w:pPr>
              <w:pStyle w:val="24"/>
              <w:ind w:left="-466" w:leftChars="-222" w:right="42" w:rightChars="20" w:firstLine="464" w:firstLineChars="221"/>
              <w:jc w:val="center"/>
              <w:rPr>
                <w:rFonts w:hint="eastAsia" w:ascii="宋体" w:hAnsi="宋体" w:eastAsia="宋体" w:cs="宋体"/>
                <w:color w:val="auto"/>
                <w:kern w:val="2"/>
                <w:sz w:val="21"/>
                <w:szCs w:val="24"/>
                <w:highlight w:val="none"/>
                <w:lang w:val="en-US" w:eastAsia="zh-CN" w:bidi="ar-SA"/>
              </w:rPr>
            </w:pPr>
            <w:r>
              <w:rPr>
                <w:rFonts w:hint="eastAsia" w:hAnsi="宋体" w:cs="宋体"/>
                <w:color w:val="auto"/>
                <w:highlight w:val="none"/>
              </w:rPr>
              <w:t>1</w:t>
            </w:r>
            <w:r>
              <w:rPr>
                <w:rFonts w:hint="eastAsia" w:hAnsi="宋体" w:cs="宋体"/>
                <w:color w:val="auto"/>
                <w:highlight w:val="none"/>
                <w:lang w:val="en-US" w:eastAsia="zh-CN"/>
              </w:rPr>
              <w:t>1</w:t>
            </w:r>
          </w:p>
        </w:tc>
        <w:tc>
          <w:tcPr>
            <w:tcW w:w="8443" w:type="dxa"/>
            <w:noWrap w:val="0"/>
            <w:vAlign w:val="top"/>
          </w:tcPr>
          <w:p>
            <w:pPr>
              <w:spacing w:line="360" w:lineRule="auto"/>
              <w:ind w:left="-359" w:leftChars="-171" w:firstLine="359" w:firstLineChars="171"/>
              <w:rPr>
                <w:rFonts w:hint="eastAsia" w:ascii="宋体" w:hAnsi="宋体" w:cs="宋体"/>
                <w:color w:val="auto"/>
                <w:szCs w:val="21"/>
                <w:highlight w:val="none"/>
              </w:rPr>
            </w:pPr>
            <w:r>
              <w:rPr>
                <w:rFonts w:hint="eastAsia" w:ascii="宋体" w:hAnsi="宋体" w:cs="宋体"/>
                <w:color w:val="auto"/>
                <w:szCs w:val="21"/>
                <w:highlight w:val="none"/>
              </w:rPr>
              <w:t>招标代理机构名称：广东省机电设备招标有限公司</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胡工、王工</w:t>
            </w:r>
          </w:p>
          <w:p>
            <w:pPr>
              <w:spacing w:line="360" w:lineRule="auto"/>
              <w:ind w:left="-359" w:leftChars="-171" w:firstLine="359" w:firstLineChars="17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  址：</w:t>
            </w:r>
            <w:r>
              <w:rPr>
                <w:rFonts w:hint="eastAsia"/>
                <w:highlight w:val="none"/>
              </w:rPr>
              <w:t>广东省广州市越秀区环市中路316号金鹰大厦</w:t>
            </w:r>
            <w:r>
              <w:rPr>
                <w:rFonts w:hint="eastAsia"/>
                <w:highlight w:val="none"/>
                <w:lang w:val="en-US" w:eastAsia="zh-CN"/>
              </w:rPr>
              <w:t>9</w:t>
            </w:r>
            <w:r>
              <w:rPr>
                <w:rFonts w:hint="eastAsia"/>
                <w:highlight w:val="none"/>
              </w:rPr>
              <w:t>楼</w:t>
            </w:r>
            <w:r>
              <w:rPr>
                <w:rFonts w:hint="eastAsia"/>
                <w:highlight w:val="none"/>
                <w:lang w:val="en-US" w:eastAsia="zh-CN"/>
              </w:rPr>
              <w:t>905</w:t>
            </w:r>
          </w:p>
          <w:p>
            <w:pPr>
              <w:spacing w:line="360" w:lineRule="auto"/>
              <w:ind w:left="-359" w:leftChars="-171"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020-83544332、83541795</w:t>
            </w:r>
          </w:p>
          <w:p>
            <w:pPr>
              <w:spacing w:line="360" w:lineRule="auto"/>
              <w:ind w:left="-359" w:leftChars="-171" w:firstLine="359" w:firstLineChars="171"/>
              <w:rPr>
                <w:rFonts w:hint="eastAsia" w:ascii="宋体" w:hAnsi="宋体" w:eastAsia="宋体" w:cs="宋体"/>
                <w:color w:val="auto"/>
                <w:highlight w:val="none"/>
                <w:lang w:eastAsia="zh-CN"/>
              </w:rPr>
            </w:pPr>
            <w:r>
              <w:rPr>
                <w:rFonts w:hint="eastAsia" w:ascii="宋体" w:hAnsi="宋体" w:cs="宋体"/>
                <w:color w:val="auto"/>
                <w:szCs w:val="21"/>
                <w:highlight w:val="none"/>
              </w:rPr>
              <w:t>电子邮件：</w:t>
            </w:r>
            <w:r>
              <w:rPr>
                <w:rFonts w:hint="eastAsia" w:ascii="宋体" w:hAnsi="宋体" w:cs="宋体"/>
                <w:color w:val="auto"/>
                <w:szCs w:val="21"/>
                <w:highlight w:val="none"/>
                <w:lang w:eastAsia="zh-CN"/>
              </w:rPr>
              <w:t>jdzbhu@163.com</w:t>
            </w:r>
          </w:p>
        </w:tc>
      </w:tr>
    </w:tbl>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bookmarkEnd w:id="44"/>
    <w:bookmarkEnd w:id="45"/>
    <w:bookmarkEnd w:id="46"/>
    <w:bookmarkEnd w:id="47"/>
    <w:p>
      <w:pPr>
        <w:pStyle w:val="6"/>
        <w:numPr>
          <w:ilvl w:val="0"/>
          <w:numId w:val="0"/>
        </w:numPr>
        <w:ind w:left="422"/>
        <w:jc w:val="center"/>
        <w:rPr>
          <w:rFonts w:hint="eastAsia" w:hAnsi="宋体" w:cs="宋体"/>
          <w:b w:val="0"/>
          <w:bCs/>
          <w:color w:val="auto"/>
          <w:highlight w:val="none"/>
        </w:rPr>
      </w:pPr>
      <w:bookmarkStart w:id="48" w:name="_Toc513818901"/>
      <w:r>
        <w:rPr>
          <w:rFonts w:hint="eastAsia" w:hAnsi="宋体" w:cs="宋体"/>
          <w:color w:val="auto"/>
          <w:highlight w:val="none"/>
        </w:rPr>
        <w:t>一、总则</w:t>
      </w:r>
      <w:bookmarkEnd w:id="48"/>
    </w:p>
    <w:p>
      <w:pPr>
        <w:spacing w:line="360" w:lineRule="auto"/>
        <w:rPr>
          <w:rFonts w:hint="eastAsia" w:ascii="宋体" w:hAnsi="宋体" w:cs="宋体"/>
          <w:b/>
          <w:bCs/>
          <w:color w:val="auto"/>
          <w:highlight w:val="none"/>
        </w:rPr>
      </w:pPr>
      <w:r>
        <w:rPr>
          <w:rFonts w:hint="eastAsia" w:ascii="宋体" w:hAnsi="宋体" w:cs="宋体"/>
          <w:b/>
          <w:bCs/>
          <w:color w:val="auto"/>
          <w:highlight w:val="none"/>
        </w:rPr>
        <w:t>1、项目说明</w:t>
      </w:r>
    </w:p>
    <w:p>
      <w:pPr>
        <w:spacing w:line="360" w:lineRule="auto"/>
        <w:rPr>
          <w:rFonts w:hint="eastAsia" w:ascii="宋体" w:hAnsi="宋体" w:cs="宋体"/>
          <w:color w:val="auto"/>
          <w:highlight w:val="none"/>
        </w:rPr>
      </w:pPr>
      <w:r>
        <w:rPr>
          <w:rFonts w:hint="eastAsia" w:ascii="宋体" w:hAnsi="宋体" w:cs="宋体"/>
          <w:color w:val="auto"/>
          <w:highlight w:val="none"/>
        </w:rPr>
        <w:t>1.1项目说明</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广东省机电设备招标有限公司（以下简称“招标代理机构”）受</w:t>
      </w:r>
      <w:r>
        <w:rPr>
          <w:rFonts w:hint="eastAsia" w:ascii="宋体" w:hAnsi="宋体" w:cs="宋体"/>
          <w:bCs/>
          <w:color w:val="auto"/>
          <w:highlight w:val="none"/>
          <w:lang w:eastAsia="zh-CN"/>
        </w:rPr>
        <w:t>广东南方日报展示科技有限公司</w:t>
      </w:r>
      <w:r>
        <w:rPr>
          <w:rFonts w:hint="eastAsia" w:ascii="宋体" w:hAnsi="宋体" w:cs="宋体"/>
          <w:bCs/>
          <w:color w:val="auto"/>
          <w:highlight w:val="none"/>
        </w:rPr>
        <w:t>委托（以下简称“招标人”），就“</w:t>
      </w:r>
      <w:r>
        <w:rPr>
          <w:rFonts w:hint="eastAsia" w:ascii="宋体" w:hAnsi="宋体" w:cs="宋体"/>
          <w:b/>
          <w:bCs/>
          <w:color w:val="auto"/>
          <w:highlight w:val="none"/>
          <w:lang w:eastAsia="zh-CN"/>
        </w:rPr>
        <w:t>南方展示布展实施及展陈多媒体硬件年度供应商</w:t>
      </w:r>
      <w:r>
        <w:rPr>
          <w:rFonts w:hint="eastAsia" w:ascii="宋体" w:hAnsi="宋体" w:cs="宋体"/>
          <w:color w:val="auto"/>
          <w:highlight w:val="none"/>
        </w:rPr>
        <w:t>”</w:t>
      </w:r>
      <w:r>
        <w:rPr>
          <w:rFonts w:hint="eastAsia" w:ascii="宋体" w:hAnsi="宋体" w:cs="宋体"/>
          <w:bCs/>
          <w:color w:val="auto"/>
          <w:highlight w:val="none"/>
        </w:rPr>
        <w:t>进行国内公开招标。</w:t>
      </w:r>
    </w:p>
    <w:p>
      <w:pPr>
        <w:spacing w:line="360" w:lineRule="auto"/>
        <w:rPr>
          <w:rFonts w:hint="eastAsia" w:ascii="宋体" w:hAnsi="宋体" w:cs="宋体"/>
          <w:color w:val="auto"/>
          <w:highlight w:val="none"/>
        </w:rPr>
      </w:pPr>
      <w:bookmarkStart w:id="49" w:name="_Toc409173103"/>
      <w:bookmarkStart w:id="50" w:name="_Toc409173217"/>
      <w:r>
        <w:rPr>
          <w:rFonts w:hint="eastAsia" w:ascii="宋体" w:hAnsi="宋体" w:cs="宋体"/>
          <w:color w:val="auto"/>
          <w:highlight w:val="none"/>
        </w:rPr>
        <w:t>1.2资金来源</w:t>
      </w:r>
      <w:bookmarkEnd w:id="49"/>
      <w:bookmarkEnd w:id="50"/>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自筹资金</w:t>
      </w:r>
    </w:p>
    <w:p>
      <w:pPr>
        <w:spacing w:line="360" w:lineRule="auto"/>
        <w:rPr>
          <w:rFonts w:hint="eastAsia" w:ascii="宋体" w:hAnsi="宋体" w:cs="宋体"/>
          <w:color w:val="auto"/>
          <w:highlight w:val="none"/>
        </w:rPr>
      </w:pPr>
      <w:r>
        <w:rPr>
          <w:rFonts w:hint="eastAsia" w:ascii="宋体" w:hAnsi="宋体" w:cs="宋体"/>
          <w:color w:val="auto"/>
          <w:highlight w:val="none"/>
        </w:rPr>
        <w:t>1.3招标方式</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公开招标方式</w:t>
      </w:r>
    </w:p>
    <w:p>
      <w:pPr>
        <w:spacing w:line="360" w:lineRule="auto"/>
        <w:jc w:val="left"/>
        <w:rPr>
          <w:rFonts w:hint="eastAsia" w:ascii="宋体" w:hAnsi="宋体" w:cs="宋体"/>
          <w:color w:val="auto"/>
          <w:highlight w:val="none"/>
        </w:rPr>
      </w:pPr>
      <w:r>
        <w:rPr>
          <w:rFonts w:hint="eastAsia" w:ascii="宋体" w:hAnsi="宋体" w:cs="宋体"/>
          <w:color w:val="auto"/>
          <w:highlight w:val="none"/>
        </w:rPr>
        <w:t>1.4招标项目</w:t>
      </w:r>
    </w:p>
    <w:p>
      <w:pPr>
        <w:spacing w:line="360" w:lineRule="auto"/>
        <w:ind w:firstLine="422" w:firstLineChars="200"/>
        <w:rPr>
          <w:rFonts w:hint="eastAsia" w:ascii="宋体" w:hAnsi="宋体" w:cs="宋体"/>
          <w:b/>
          <w:color w:val="auto"/>
          <w:highlight w:val="none"/>
          <w:u w:val="single"/>
        </w:rPr>
      </w:pPr>
      <w:r>
        <w:rPr>
          <w:rFonts w:hint="eastAsia" w:ascii="宋体" w:hAnsi="宋体" w:cs="宋体"/>
          <w:b/>
          <w:color w:val="auto"/>
          <w:highlight w:val="none"/>
          <w:u w:val="single"/>
          <w:lang w:eastAsia="zh-CN"/>
        </w:rPr>
        <w:t>南方展示布展实施及展陈多媒体硬件年度供应商</w:t>
      </w:r>
      <w:r>
        <w:rPr>
          <w:rFonts w:hint="eastAsia" w:ascii="宋体" w:hAnsi="宋体" w:cs="宋体"/>
          <w:b/>
          <w:color w:val="auto"/>
          <w:highlight w:val="none"/>
          <w:u w:val="single"/>
        </w:rPr>
        <w:t>（下称“本项目”）</w:t>
      </w:r>
    </w:p>
    <w:p>
      <w:pPr>
        <w:tabs>
          <w:tab w:val="left" w:pos="720"/>
        </w:tabs>
        <w:spacing w:line="360" w:lineRule="auto"/>
        <w:ind w:firstLine="210" w:firstLineChars="100"/>
        <w:rPr>
          <w:rFonts w:hint="eastAsia" w:ascii="宋体" w:hAnsi="宋体" w:cs="宋体"/>
          <w:b/>
          <w:color w:val="auto"/>
          <w:sz w:val="24"/>
          <w:highlight w:val="none"/>
        </w:rPr>
      </w:pPr>
      <w:r>
        <w:rPr>
          <w:rFonts w:hint="eastAsia" w:ascii="宋体" w:hAnsi="宋体" w:cs="宋体"/>
          <w:color w:val="auto"/>
          <w:highlight w:val="none"/>
        </w:rPr>
        <w:t>（详细内容请参阅招标文件中“用户需求书”的相关内容）</w:t>
      </w:r>
    </w:p>
    <w:p>
      <w:pPr>
        <w:tabs>
          <w:tab w:val="left" w:pos="720"/>
        </w:tabs>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2、</w:t>
      </w:r>
      <w:r>
        <w:rPr>
          <w:rFonts w:hint="eastAsia" w:ascii="宋体" w:hAnsi="宋体" w:cs="宋体"/>
          <w:b/>
          <w:bCs/>
          <w:color w:val="auto"/>
          <w:highlight w:val="none"/>
        </w:rPr>
        <w:t>定义及解释</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2.1公开招标方式：招标人参照《中华人民共和国招标投标法》及相关法律法规，在指定的网站发布相关采购信息，邀请不特定法人单位购买招标文件，法人单位并按照招标文件的约定，编制投标文件，参与投标，随后，招标人组织评标委员会，按照招标文件的要求投标文件进行评审，并最终推荐中标单位的过程。</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2</w:t>
      </w:r>
      <w:r>
        <w:rPr>
          <w:rFonts w:hint="eastAsia" w:ascii="宋体" w:hAnsi="宋体" w:cs="宋体"/>
          <w:color w:val="auto"/>
          <w:highlight w:val="none"/>
        </w:rPr>
        <w:t>业主/招标人/甲方/使用单位/采购人/用户：均指</w:t>
      </w:r>
      <w:r>
        <w:rPr>
          <w:rFonts w:hint="eastAsia" w:ascii="宋体" w:hAnsi="宋体" w:cs="宋体"/>
          <w:color w:val="auto"/>
          <w:highlight w:val="none"/>
          <w:lang w:eastAsia="zh-CN"/>
        </w:rPr>
        <w:t>广东南方日报展示科技有限公司</w:t>
      </w:r>
      <w:r>
        <w:rPr>
          <w:rFonts w:hint="eastAsia" w:ascii="宋体" w:hAnsi="宋体" w:cs="宋体"/>
          <w:color w:val="auto"/>
          <w:highlight w:val="none"/>
        </w:rPr>
        <w:t>；招标代理机构：</w:t>
      </w:r>
      <w:r>
        <w:rPr>
          <w:rFonts w:hint="eastAsia" w:ascii="宋体" w:hAnsi="宋体" w:cs="宋体"/>
          <w:color w:val="auto"/>
          <w:szCs w:val="21"/>
          <w:highlight w:val="none"/>
        </w:rPr>
        <w:t>广东省机电设备招标有限公司。</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 xml:space="preserve"> 投标人/供应商：指</w:t>
      </w:r>
      <w:r>
        <w:rPr>
          <w:rFonts w:hint="eastAsia" w:ascii="宋体" w:hAnsi="宋体" w:cs="宋体"/>
          <w:color w:val="auto"/>
          <w:spacing w:val="8"/>
          <w:szCs w:val="21"/>
          <w:highlight w:val="none"/>
        </w:rPr>
        <w:t>响应招标、参加投标竞争的法人或者其他组织</w:t>
      </w:r>
      <w:r>
        <w:rPr>
          <w:rFonts w:hint="eastAsia" w:ascii="宋体" w:hAnsi="宋体" w:cs="宋体"/>
          <w:color w:val="auto"/>
          <w:highlight w:val="none"/>
        </w:rPr>
        <w:t>。</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评标委员会：评标委员会是依法组织的专门负责本次招标及评标工作的临时性机构。</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日期：是指公历日。</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合同：指本次招标所产生的合同或合约文件。</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招标文件中的标题或标名仅起引导作用，而不应视为对招标文件内容的理解和解释。</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eastAsia="zh-CN"/>
        </w:rPr>
        <w:t>招标人</w:t>
      </w:r>
      <w:r>
        <w:rPr>
          <w:rFonts w:hint="eastAsia" w:ascii="宋体" w:hAnsi="宋体" w:cs="宋体"/>
          <w:color w:val="auto"/>
          <w:highlight w:val="none"/>
        </w:rPr>
        <w:t>”、“投标人”、“成员”和“各方”等人或有关组织的用词均是指依法成立的公司、组织或行政事业单位下属机构。根据上下文的需要，这些用词的单复数具有相同的定义。</w:t>
      </w:r>
    </w:p>
    <w:p>
      <w:pPr>
        <w:spacing w:line="360" w:lineRule="auto"/>
        <w:ind w:left="630" w:hanging="630" w:hangingChars="3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招标文件中所规定的“书面形式”，是指任何手写的、打印的或印刷的通讯，包括电报和传真发送。</w:t>
      </w:r>
    </w:p>
    <w:p>
      <w:pPr>
        <w:spacing w:line="360" w:lineRule="auto"/>
        <w:ind w:left="422" w:hanging="422" w:hangingChars="200"/>
        <w:rPr>
          <w:rFonts w:hint="eastAsia" w:ascii="宋体" w:hAnsi="宋体" w:eastAsia="宋体" w:cs="宋体"/>
          <w:b/>
          <w:color w:val="auto"/>
          <w:highlight w:val="none"/>
          <w:lang w:eastAsia="zh-CN"/>
        </w:rPr>
      </w:pPr>
      <w:r>
        <w:rPr>
          <w:rFonts w:hint="eastAsia" w:ascii="宋体" w:hAnsi="宋体" w:cs="宋体"/>
          <w:b/>
          <w:color w:val="auto"/>
          <w:highlight w:val="none"/>
        </w:rPr>
        <w:t>3、合格的</w:t>
      </w:r>
      <w:r>
        <w:rPr>
          <w:rFonts w:hint="eastAsia" w:ascii="宋体" w:hAnsi="宋体" w:cs="宋体"/>
          <w:b/>
          <w:color w:val="auto"/>
          <w:highlight w:val="none"/>
          <w:lang w:eastAsia="zh-CN"/>
        </w:rPr>
        <w:t>供应商</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3.1与本项目招标公告（或投标人须知前附表）中合格</w:t>
      </w:r>
      <w:r>
        <w:rPr>
          <w:rFonts w:hint="eastAsia" w:ascii="宋体" w:hAnsi="宋体" w:cs="宋体"/>
          <w:color w:val="auto"/>
          <w:highlight w:val="none"/>
          <w:lang w:eastAsia="zh-CN"/>
        </w:rPr>
        <w:t>供应商</w:t>
      </w:r>
      <w:r>
        <w:rPr>
          <w:rFonts w:hint="eastAsia" w:ascii="宋体" w:hAnsi="宋体" w:cs="宋体"/>
          <w:color w:val="auto"/>
          <w:highlight w:val="none"/>
        </w:rPr>
        <w:t>资格条件一致。</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4、纪律与保密事项</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4.1凡参与招标工作的有关人员均应自觉接受有关主管部门的监督，不得向他人透露已获得招标文件的潜在</w:t>
      </w:r>
      <w:r>
        <w:rPr>
          <w:rFonts w:hint="eastAsia" w:ascii="宋体" w:hAnsi="宋体" w:cs="宋体"/>
          <w:color w:val="auto"/>
          <w:highlight w:val="none"/>
          <w:lang w:eastAsia="zh-CN"/>
        </w:rPr>
        <w:t>供应商</w:t>
      </w:r>
      <w:r>
        <w:rPr>
          <w:rFonts w:hint="eastAsia" w:ascii="宋体" w:hAnsi="宋体" w:cs="宋体"/>
          <w:color w:val="auto"/>
          <w:highlight w:val="none"/>
        </w:rPr>
        <w:t>的名称、数量以及可能影响公平竞争的有关招投标的其他情况。</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4.2</w:t>
      </w:r>
      <w:r>
        <w:rPr>
          <w:rFonts w:hint="eastAsia" w:ascii="宋体" w:hAnsi="宋体" w:cs="宋体"/>
          <w:color w:val="auto"/>
          <w:highlight w:val="none"/>
          <w:lang w:val="en-US" w:eastAsia="zh-CN"/>
        </w:rPr>
        <w:t>投标截止</w:t>
      </w:r>
      <w:r>
        <w:rPr>
          <w:rFonts w:hint="eastAsia" w:ascii="宋体" w:hAnsi="宋体" w:cs="宋体"/>
          <w:color w:val="auto"/>
          <w:highlight w:val="none"/>
        </w:rPr>
        <w:t>后，直至向</w:t>
      </w:r>
      <w:r>
        <w:rPr>
          <w:rFonts w:hint="eastAsia" w:ascii="宋体" w:hAnsi="宋体" w:cs="宋体"/>
          <w:color w:val="auto"/>
          <w:highlight w:val="none"/>
          <w:lang w:eastAsia="zh-CN"/>
        </w:rPr>
        <w:t>中标供应商</w:t>
      </w:r>
      <w:r>
        <w:rPr>
          <w:rFonts w:hint="eastAsia" w:ascii="宋体" w:hAnsi="宋体" w:cs="宋体"/>
          <w:color w:val="auto"/>
          <w:highlight w:val="none"/>
        </w:rPr>
        <w:t>发出《中标通知书》时止，凡与审查、澄清、评价和比较投标的有关资料以及授标意见等，参与招标工作的有关人员均不得向</w:t>
      </w:r>
      <w:r>
        <w:rPr>
          <w:rFonts w:hint="eastAsia" w:ascii="宋体" w:hAnsi="宋体" w:cs="宋体"/>
          <w:color w:val="auto"/>
          <w:highlight w:val="none"/>
          <w:lang w:eastAsia="zh-CN"/>
        </w:rPr>
        <w:t>供应商</w:t>
      </w:r>
      <w:r>
        <w:rPr>
          <w:rFonts w:hint="eastAsia" w:ascii="宋体" w:hAnsi="宋体" w:cs="宋体"/>
          <w:color w:val="auto"/>
          <w:highlight w:val="none"/>
        </w:rPr>
        <w:t>及与评标无关的其他人透露。</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4.3除</w:t>
      </w:r>
      <w:r>
        <w:rPr>
          <w:rFonts w:hint="eastAsia" w:ascii="宋体" w:hAnsi="宋体" w:cs="宋体"/>
          <w:color w:val="auto"/>
          <w:highlight w:val="none"/>
          <w:lang w:eastAsia="zh-CN"/>
        </w:rPr>
        <w:t>供应商</w:t>
      </w:r>
      <w:r>
        <w:rPr>
          <w:rFonts w:hint="eastAsia" w:ascii="宋体" w:hAnsi="宋体" w:cs="宋体"/>
          <w:color w:val="auto"/>
          <w:highlight w:val="none"/>
        </w:rPr>
        <w:t>被要求对投标文件进行澄清外，从</w:t>
      </w:r>
      <w:r>
        <w:rPr>
          <w:rFonts w:hint="eastAsia" w:ascii="宋体" w:hAnsi="宋体" w:cs="宋体"/>
          <w:color w:val="auto"/>
          <w:highlight w:val="none"/>
          <w:lang w:eastAsia="zh-CN"/>
        </w:rPr>
        <w:t>投标截止</w:t>
      </w:r>
      <w:r>
        <w:rPr>
          <w:rFonts w:hint="eastAsia" w:ascii="宋体" w:hAnsi="宋体" w:cs="宋体"/>
          <w:color w:val="auto"/>
          <w:highlight w:val="none"/>
        </w:rPr>
        <w:t>之日起至授予合同期间，</w:t>
      </w:r>
      <w:r>
        <w:rPr>
          <w:rFonts w:hint="eastAsia" w:ascii="宋体" w:hAnsi="宋体" w:cs="宋体"/>
          <w:color w:val="auto"/>
          <w:highlight w:val="none"/>
          <w:lang w:eastAsia="zh-CN"/>
        </w:rPr>
        <w:t>供应商</w:t>
      </w:r>
      <w:r>
        <w:rPr>
          <w:rFonts w:hint="eastAsia" w:ascii="宋体" w:hAnsi="宋体" w:cs="宋体"/>
          <w:color w:val="auto"/>
          <w:highlight w:val="none"/>
        </w:rPr>
        <w:t>不得就与其投标文件有关的事项主动与评标委员会及</w:t>
      </w:r>
      <w:r>
        <w:rPr>
          <w:rFonts w:hint="eastAsia" w:ascii="宋体" w:hAnsi="宋体" w:cs="宋体"/>
          <w:color w:val="auto"/>
          <w:highlight w:val="none"/>
          <w:lang w:eastAsia="zh-CN"/>
        </w:rPr>
        <w:t>招标人</w:t>
      </w:r>
      <w:r>
        <w:rPr>
          <w:rFonts w:hint="eastAsia" w:ascii="宋体" w:hAnsi="宋体" w:cs="宋体"/>
          <w:color w:val="auto"/>
          <w:highlight w:val="none"/>
        </w:rPr>
        <w:t>联系。</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4.4从</w:t>
      </w:r>
      <w:r>
        <w:rPr>
          <w:rFonts w:hint="eastAsia" w:ascii="宋体" w:hAnsi="宋体" w:cs="宋体"/>
          <w:color w:val="auto"/>
          <w:highlight w:val="none"/>
          <w:lang w:eastAsia="zh-CN"/>
        </w:rPr>
        <w:t>投标截止</w:t>
      </w:r>
      <w:r>
        <w:rPr>
          <w:rFonts w:hint="eastAsia" w:ascii="宋体" w:hAnsi="宋体" w:cs="宋体"/>
          <w:color w:val="auto"/>
          <w:highlight w:val="none"/>
        </w:rPr>
        <w:t>之日起至授予合同期间，</w:t>
      </w:r>
      <w:r>
        <w:rPr>
          <w:rFonts w:hint="eastAsia" w:ascii="宋体" w:hAnsi="宋体" w:cs="宋体"/>
          <w:color w:val="auto"/>
          <w:highlight w:val="none"/>
          <w:lang w:eastAsia="zh-CN"/>
        </w:rPr>
        <w:t>供应商</w:t>
      </w:r>
      <w:r>
        <w:rPr>
          <w:rFonts w:hint="eastAsia" w:ascii="宋体" w:hAnsi="宋体" w:cs="宋体"/>
          <w:color w:val="auto"/>
          <w:highlight w:val="none"/>
        </w:rPr>
        <w:t>试图在投标文件审查、澄清、比较和评价时对评标委员会施加任何影响或对</w:t>
      </w:r>
      <w:r>
        <w:rPr>
          <w:rFonts w:hint="eastAsia" w:ascii="宋体" w:hAnsi="宋体" w:cs="宋体"/>
          <w:color w:val="auto"/>
          <w:highlight w:val="none"/>
          <w:lang w:eastAsia="zh-CN"/>
        </w:rPr>
        <w:t>招标人</w:t>
      </w:r>
      <w:r>
        <w:rPr>
          <w:rFonts w:hint="eastAsia" w:ascii="宋体" w:hAnsi="宋体" w:cs="宋体"/>
          <w:color w:val="auto"/>
          <w:highlight w:val="none"/>
        </w:rPr>
        <w:t>的比较及授予合同的决定进行影响，都可能导致其投标文件被拒绝。</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4.5</w:t>
      </w:r>
      <w:r>
        <w:rPr>
          <w:rFonts w:hint="eastAsia" w:ascii="宋体" w:hAnsi="宋体" w:cs="宋体"/>
          <w:color w:val="auto"/>
          <w:highlight w:val="none"/>
          <w:lang w:eastAsia="zh-CN"/>
        </w:rPr>
        <w:t>供应商</w:t>
      </w:r>
      <w:r>
        <w:rPr>
          <w:rFonts w:hint="eastAsia" w:ascii="宋体" w:hAnsi="宋体" w:cs="宋体"/>
          <w:color w:val="auto"/>
          <w:highlight w:val="none"/>
        </w:rPr>
        <w:t>不得串通作弊，以不正当的手段妨碍、排挤其他人，扰乱招标市场，破坏公平竞争原则。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4.6获得本招标文件者，应对文件进行保密，不得用作本次投标以外的任何用途。若有要求，</w:t>
      </w:r>
      <w:r>
        <w:rPr>
          <w:rFonts w:hint="eastAsia" w:ascii="宋体" w:hAnsi="宋体" w:cs="宋体"/>
          <w:color w:val="auto"/>
          <w:highlight w:val="none"/>
          <w:lang w:eastAsia="zh-CN"/>
        </w:rPr>
        <w:t>投标截止</w:t>
      </w:r>
      <w:r>
        <w:rPr>
          <w:rFonts w:hint="eastAsia" w:ascii="宋体" w:hAnsi="宋体" w:cs="宋体"/>
          <w:color w:val="auto"/>
          <w:highlight w:val="none"/>
        </w:rPr>
        <w:t>后，</w:t>
      </w:r>
      <w:r>
        <w:rPr>
          <w:rFonts w:hint="eastAsia" w:ascii="宋体" w:hAnsi="宋体" w:cs="宋体"/>
          <w:color w:val="auto"/>
          <w:highlight w:val="none"/>
          <w:lang w:eastAsia="zh-CN"/>
        </w:rPr>
        <w:t>供应商</w:t>
      </w:r>
      <w:r>
        <w:rPr>
          <w:rFonts w:hint="eastAsia" w:ascii="宋体" w:hAnsi="宋体" w:cs="宋体"/>
          <w:color w:val="auto"/>
          <w:highlight w:val="none"/>
        </w:rPr>
        <w:t>应归还招标文件中的保密文件和资料。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4.7由</w:t>
      </w:r>
      <w:r>
        <w:rPr>
          <w:rFonts w:hint="eastAsia" w:ascii="宋体" w:hAnsi="宋体" w:cs="宋体"/>
          <w:color w:val="auto"/>
          <w:highlight w:val="none"/>
          <w:lang w:val="en-US" w:eastAsia="zh-CN"/>
        </w:rPr>
        <w:t>招标人</w:t>
      </w:r>
      <w:r>
        <w:rPr>
          <w:rFonts w:hint="eastAsia" w:ascii="宋体" w:hAnsi="宋体" w:cs="宋体"/>
          <w:color w:val="auto"/>
          <w:highlight w:val="none"/>
        </w:rPr>
        <w:t>向</w:t>
      </w:r>
      <w:r>
        <w:rPr>
          <w:rFonts w:hint="eastAsia" w:ascii="宋体" w:hAnsi="宋体" w:cs="宋体"/>
          <w:color w:val="auto"/>
          <w:highlight w:val="none"/>
          <w:lang w:eastAsia="zh-CN"/>
        </w:rPr>
        <w:t>供应商</w:t>
      </w:r>
      <w:r>
        <w:rPr>
          <w:rFonts w:hint="eastAsia" w:ascii="宋体" w:hAnsi="宋体" w:cs="宋体"/>
          <w:color w:val="auto"/>
          <w:highlight w:val="none"/>
        </w:rPr>
        <w:t>提供的</w:t>
      </w:r>
      <w:r>
        <w:rPr>
          <w:rFonts w:hint="eastAsia" w:ascii="宋体" w:hAnsi="宋体" w:cs="宋体"/>
          <w:color w:val="auto"/>
          <w:highlight w:val="none"/>
          <w:lang w:val="en-US" w:eastAsia="zh-CN"/>
        </w:rPr>
        <w:t>服务要求等相关</w:t>
      </w:r>
      <w:r>
        <w:rPr>
          <w:rFonts w:hint="eastAsia" w:ascii="宋体" w:hAnsi="宋体" w:cs="宋体"/>
          <w:color w:val="auto"/>
          <w:highlight w:val="none"/>
        </w:rPr>
        <w:t>资料，被视为保密资料，仅被用于它所规定的用途，除非得到</w:t>
      </w:r>
      <w:r>
        <w:rPr>
          <w:rFonts w:hint="eastAsia" w:ascii="宋体" w:hAnsi="宋体" w:cs="宋体"/>
          <w:color w:val="auto"/>
          <w:highlight w:val="none"/>
          <w:lang w:eastAsia="zh-CN"/>
        </w:rPr>
        <w:t>招标人</w:t>
      </w:r>
      <w:r>
        <w:rPr>
          <w:rFonts w:hint="eastAsia" w:ascii="宋体" w:hAnsi="宋体" w:cs="宋体"/>
          <w:color w:val="auto"/>
          <w:highlight w:val="none"/>
        </w:rPr>
        <w:t>的同意，不能向任何第三方透露。</w:t>
      </w:r>
      <w:r>
        <w:rPr>
          <w:rFonts w:hint="eastAsia" w:ascii="宋体" w:hAnsi="宋体" w:cs="宋体"/>
          <w:color w:val="auto"/>
          <w:highlight w:val="none"/>
          <w:lang w:eastAsia="zh-CN"/>
        </w:rPr>
        <w:t>投标截止</w:t>
      </w:r>
      <w:r>
        <w:rPr>
          <w:rFonts w:hint="eastAsia" w:ascii="宋体" w:hAnsi="宋体" w:cs="宋体"/>
          <w:color w:val="auto"/>
          <w:highlight w:val="none"/>
        </w:rPr>
        <w:t>完成后，</w:t>
      </w:r>
      <w:r>
        <w:rPr>
          <w:rFonts w:hint="eastAsia" w:ascii="宋体" w:hAnsi="宋体" w:cs="宋体"/>
          <w:color w:val="auto"/>
          <w:highlight w:val="none"/>
          <w:lang w:eastAsia="zh-CN"/>
        </w:rPr>
        <w:t>供应商</w:t>
      </w:r>
      <w:r>
        <w:rPr>
          <w:rFonts w:hint="eastAsia" w:ascii="宋体" w:hAnsi="宋体" w:cs="宋体"/>
          <w:color w:val="auto"/>
          <w:highlight w:val="none"/>
        </w:rPr>
        <w:t>应归还所有从</w:t>
      </w:r>
      <w:r>
        <w:rPr>
          <w:rFonts w:hint="eastAsia" w:ascii="宋体" w:hAnsi="宋体" w:cs="宋体"/>
          <w:color w:val="auto"/>
          <w:highlight w:val="none"/>
          <w:lang w:eastAsia="zh-CN"/>
        </w:rPr>
        <w:t>招标人</w:t>
      </w:r>
      <w:r>
        <w:rPr>
          <w:rFonts w:hint="eastAsia" w:ascii="宋体" w:hAnsi="宋体" w:cs="宋体"/>
          <w:color w:val="auto"/>
          <w:highlight w:val="none"/>
        </w:rPr>
        <w:t>处获得的保密资料。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eastAsia="zh-CN"/>
        </w:rPr>
        <w:t>供应商</w:t>
      </w:r>
      <w:r>
        <w:rPr>
          <w:rFonts w:hint="eastAsia" w:ascii="宋体" w:hAnsi="宋体" w:cs="宋体"/>
          <w:color w:val="auto"/>
          <w:highlight w:val="none"/>
        </w:rPr>
        <w:t>须知</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5.1凡参加本次投标的</w:t>
      </w:r>
      <w:r>
        <w:rPr>
          <w:rFonts w:hint="eastAsia" w:ascii="宋体" w:hAnsi="宋体" w:cs="宋体"/>
          <w:color w:val="auto"/>
          <w:highlight w:val="none"/>
          <w:lang w:eastAsia="zh-CN"/>
        </w:rPr>
        <w:t>供应商</w:t>
      </w:r>
      <w:r>
        <w:rPr>
          <w:rFonts w:hint="eastAsia" w:ascii="宋体" w:hAnsi="宋体" w:cs="宋体"/>
          <w:color w:val="auto"/>
          <w:highlight w:val="none"/>
        </w:rPr>
        <w:t>视为已充分认识和理解了任何与本项目有关的事项及各种困难情况。</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 xml:space="preserve">5.2 </w:t>
      </w:r>
      <w:r>
        <w:rPr>
          <w:rFonts w:hint="eastAsia" w:ascii="宋体" w:hAnsi="宋体" w:cs="宋体"/>
          <w:color w:val="auto"/>
          <w:highlight w:val="none"/>
          <w:lang w:eastAsia="zh-CN"/>
        </w:rPr>
        <w:t>供应商</w:t>
      </w:r>
      <w:r>
        <w:rPr>
          <w:rFonts w:hint="eastAsia" w:ascii="宋体" w:hAnsi="宋体" w:cs="宋体"/>
          <w:color w:val="auto"/>
          <w:highlight w:val="none"/>
        </w:rPr>
        <w:t>应保证所提供给</w:t>
      </w:r>
      <w:r>
        <w:rPr>
          <w:rFonts w:hint="eastAsia" w:ascii="宋体" w:hAnsi="宋体" w:cs="宋体"/>
          <w:color w:val="auto"/>
          <w:highlight w:val="none"/>
          <w:lang w:eastAsia="zh-CN"/>
        </w:rPr>
        <w:t>招标人</w:t>
      </w:r>
      <w:r>
        <w:rPr>
          <w:rFonts w:hint="eastAsia" w:ascii="宋体" w:hAnsi="宋体" w:cs="宋体"/>
          <w:color w:val="auto"/>
          <w:highlight w:val="none"/>
        </w:rPr>
        <w:t>的资料和数据是真实的。</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6、投标费用</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6.1</w:t>
      </w:r>
      <w:r>
        <w:rPr>
          <w:rFonts w:hint="eastAsia" w:ascii="宋体" w:hAnsi="宋体" w:cs="宋体"/>
          <w:color w:val="auto"/>
          <w:highlight w:val="none"/>
          <w:lang w:eastAsia="zh-CN"/>
        </w:rPr>
        <w:t>供应商</w:t>
      </w:r>
      <w:r>
        <w:rPr>
          <w:rFonts w:hint="eastAsia" w:ascii="宋体" w:hAnsi="宋体" w:cs="宋体"/>
          <w:color w:val="auto"/>
          <w:highlight w:val="none"/>
        </w:rPr>
        <w:t>应承担获取招标文件及所有与编写和提交投标文件有关的费用，不论投标的结果如何，</w:t>
      </w:r>
      <w:r>
        <w:rPr>
          <w:rFonts w:hint="eastAsia" w:ascii="宋体" w:hAnsi="宋体" w:cs="宋体"/>
          <w:color w:val="auto"/>
          <w:highlight w:val="none"/>
          <w:lang w:eastAsia="zh-CN"/>
        </w:rPr>
        <w:t>招标人</w:t>
      </w:r>
      <w:r>
        <w:rPr>
          <w:rFonts w:hint="eastAsia" w:ascii="宋体" w:hAnsi="宋体" w:cs="宋体"/>
          <w:color w:val="auto"/>
          <w:highlight w:val="none"/>
        </w:rPr>
        <w:t>在任何情况下均无义务和责任承担这些费用。</w:t>
      </w:r>
    </w:p>
    <w:p>
      <w:pPr>
        <w:pStyle w:val="6"/>
        <w:numPr>
          <w:ilvl w:val="0"/>
          <w:numId w:val="0"/>
        </w:numPr>
        <w:ind w:left="422"/>
        <w:jc w:val="center"/>
        <w:rPr>
          <w:rFonts w:hint="eastAsia" w:hAnsi="宋体" w:cs="宋体"/>
          <w:b w:val="0"/>
          <w:bCs/>
          <w:color w:val="auto"/>
          <w:highlight w:val="none"/>
        </w:rPr>
      </w:pPr>
      <w:bookmarkStart w:id="51" w:name="_Toc409173104"/>
      <w:bookmarkStart w:id="52" w:name="_Toc409173218"/>
      <w:bookmarkStart w:id="53" w:name="_Toc513818902"/>
      <w:r>
        <w:rPr>
          <w:rFonts w:hint="eastAsia" w:hAnsi="宋体" w:cs="宋体"/>
          <w:color w:val="auto"/>
          <w:highlight w:val="none"/>
        </w:rPr>
        <w:t>二、招标文件</w:t>
      </w:r>
      <w:bookmarkEnd w:id="51"/>
      <w:bookmarkEnd w:id="52"/>
      <w:bookmarkEnd w:id="53"/>
    </w:p>
    <w:p>
      <w:pPr>
        <w:spacing w:line="360" w:lineRule="auto"/>
        <w:ind w:left="542" w:hanging="542" w:hangingChars="257"/>
        <w:rPr>
          <w:rFonts w:hint="eastAsia" w:ascii="宋体" w:hAnsi="宋体" w:cs="宋体"/>
          <w:b/>
          <w:bCs/>
          <w:color w:val="auto"/>
          <w:highlight w:val="none"/>
        </w:rPr>
      </w:pPr>
      <w:r>
        <w:rPr>
          <w:rFonts w:hint="eastAsia" w:ascii="宋体" w:hAnsi="宋体" w:cs="宋体"/>
          <w:b/>
          <w:bCs/>
          <w:color w:val="auto"/>
          <w:highlight w:val="none"/>
        </w:rPr>
        <w:t>7、招标文件的构成</w:t>
      </w:r>
    </w:p>
    <w:p>
      <w:pPr>
        <w:spacing w:line="360" w:lineRule="auto"/>
        <w:ind w:left="540" w:hanging="539" w:hangingChars="257"/>
        <w:rPr>
          <w:rFonts w:hint="eastAsia" w:ascii="宋体" w:hAnsi="宋体" w:cs="宋体"/>
          <w:color w:val="auto"/>
          <w:highlight w:val="none"/>
        </w:rPr>
      </w:pPr>
      <w:r>
        <w:rPr>
          <w:rFonts w:hint="eastAsia" w:ascii="宋体" w:hAnsi="宋体" w:cs="宋体"/>
          <w:color w:val="auto"/>
          <w:highlight w:val="none"/>
        </w:rPr>
        <w:t>7.1本次招标的有关内容和要求在招标文件中均有说明。招标文件包括：</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第一章  投标邀请函</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第二章  投标人须知</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第三章  用户需求书</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第四章  合同格式</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第五章  投标文件格式</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第六章  评标办法</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7.2</w:t>
      </w:r>
      <w:r>
        <w:rPr>
          <w:rFonts w:hint="eastAsia" w:ascii="宋体" w:hAnsi="宋体" w:cs="宋体"/>
          <w:color w:val="auto"/>
          <w:highlight w:val="none"/>
          <w:lang w:eastAsia="zh-CN"/>
        </w:rPr>
        <w:t>供应商</w:t>
      </w:r>
      <w:r>
        <w:rPr>
          <w:rFonts w:hint="eastAsia" w:ascii="宋体" w:hAnsi="宋体" w:cs="宋体"/>
          <w:color w:val="auto"/>
          <w:highlight w:val="none"/>
        </w:rPr>
        <w:t>应认真阅读招标文件中所有的事项、格式、条款和规范等要求。</w:t>
      </w:r>
      <w:r>
        <w:rPr>
          <w:rFonts w:hint="eastAsia" w:ascii="宋体" w:hAnsi="宋体" w:cs="宋体"/>
          <w:color w:val="auto"/>
          <w:highlight w:val="none"/>
          <w:lang w:eastAsia="zh-CN"/>
        </w:rPr>
        <w:t>供应商</w:t>
      </w:r>
      <w:r>
        <w:rPr>
          <w:rFonts w:hint="eastAsia" w:ascii="宋体" w:hAnsi="宋体" w:cs="宋体"/>
          <w:color w:val="auto"/>
          <w:highlight w:val="none"/>
        </w:rPr>
        <w:t>没有按照招标文件要求提交全部资料，或者投标文件没有对招标文件各方面都有做出实质性响应是</w:t>
      </w:r>
      <w:r>
        <w:rPr>
          <w:rFonts w:hint="eastAsia" w:ascii="宋体" w:hAnsi="宋体" w:cs="宋体"/>
          <w:color w:val="auto"/>
          <w:highlight w:val="none"/>
          <w:lang w:eastAsia="zh-CN"/>
        </w:rPr>
        <w:t>供应商</w:t>
      </w:r>
      <w:r>
        <w:rPr>
          <w:rFonts w:hint="eastAsia" w:ascii="宋体" w:hAnsi="宋体" w:cs="宋体"/>
          <w:color w:val="auto"/>
          <w:highlight w:val="none"/>
        </w:rPr>
        <w:t>的风险，因为没有实质性响应招标文件要求的投标将被拒绝。</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8、招标文件的澄清</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8.1任何要求对招标文件进行澄清的</w:t>
      </w:r>
      <w:r>
        <w:rPr>
          <w:rFonts w:hint="eastAsia" w:ascii="宋体" w:hAnsi="宋体" w:cs="宋体"/>
          <w:color w:val="auto"/>
          <w:highlight w:val="none"/>
          <w:lang w:eastAsia="zh-CN"/>
        </w:rPr>
        <w:t>供应商</w:t>
      </w:r>
      <w:r>
        <w:rPr>
          <w:rFonts w:hint="eastAsia" w:ascii="宋体" w:hAnsi="宋体" w:cs="宋体"/>
          <w:color w:val="auto"/>
          <w:highlight w:val="none"/>
        </w:rPr>
        <w:t>，均应以书面形式通知招标代理机构。招标代理机构对其在投标人须知规定的投标截止时间</w:t>
      </w:r>
      <w:r>
        <w:rPr>
          <w:rFonts w:hint="eastAsia" w:ascii="宋体" w:hAnsi="宋体" w:cs="宋体"/>
          <w:b/>
          <w:color w:val="auto"/>
          <w:highlight w:val="none"/>
          <w:u w:val="single"/>
        </w:rPr>
        <w:t>15日以前</w:t>
      </w:r>
      <w:r>
        <w:rPr>
          <w:rFonts w:hint="eastAsia" w:ascii="宋体" w:hAnsi="宋体" w:cs="宋体"/>
          <w:color w:val="auto"/>
          <w:highlight w:val="none"/>
        </w:rPr>
        <w:t>收到的对招标文件的澄清要求将以书面形式予以答复，同时将书面答复</w:t>
      </w:r>
      <w:r>
        <w:rPr>
          <w:rFonts w:hint="eastAsia" w:ascii="宋体" w:hAnsi="宋体" w:cs="宋体"/>
          <w:color w:val="auto"/>
          <w:highlight w:val="none"/>
          <w:lang w:val="en-US" w:eastAsia="zh-CN"/>
        </w:rPr>
        <w:t>发送</w:t>
      </w:r>
      <w:r>
        <w:rPr>
          <w:rFonts w:hint="eastAsia" w:ascii="宋体" w:hAnsi="宋体" w:cs="宋体"/>
          <w:color w:val="auto"/>
          <w:highlight w:val="none"/>
        </w:rPr>
        <w:t>给每个购买招标文件的</w:t>
      </w:r>
      <w:r>
        <w:rPr>
          <w:rFonts w:hint="eastAsia" w:ascii="宋体" w:hAnsi="宋体" w:cs="宋体"/>
          <w:color w:val="auto"/>
          <w:highlight w:val="none"/>
          <w:lang w:eastAsia="zh-CN"/>
        </w:rPr>
        <w:t>供应商</w:t>
      </w:r>
      <w:r>
        <w:rPr>
          <w:rFonts w:hint="eastAsia" w:ascii="宋体" w:hAnsi="宋体" w:cs="宋体"/>
          <w:color w:val="auto"/>
          <w:highlight w:val="none"/>
        </w:rPr>
        <w:t>（答复中包括所有问题，但不包括问题的来源）。</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8.2对于</w:t>
      </w:r>
      <w:r>
        <w:rPr>
          <w:rFonts w:hint="eastAsia" w:ascii="宋体" w:hAnsi="宋体" w:cs="宋体"/>
          <w:color w:val="auto"/>
          <w:highlight w:val="none"/>
          <w:lang w:eastAsia="zh-CN"/>
        </w:rPr>
        <w:t>供应商</w:t>
      </w:r>
      <w:r>
        <w:rPr>
          <w:rFonts w:hint="eastAsia" w:ascii="宋体" w:hAnsi="宋体" w:cs="宋体"/>
          <w:color w:val="auto"/>
          <w:highlight w:val="none"/>
        </w:rPr>
        <w:t>澄清要求的回复，招标代理机构均将以书面形式或</w:t>
      </w:r>
      <w:r>
        <w:rPr>
          <w:rFonts w:hint="eastAsia" w:ascii="宋体" w:hAnsi="宋体" w:cs="宋体"/>
          <w:color w:val="auto"/>
          <w:highlight w:val="none"/>
          <w:u w:val="single"/>
        </w:rPr>
        <w:t>指定网站及媒体上</w:t>
      </w:r>
      <w:r>
        <w:rPr>
          <w:rFonts w:hint="eastAsia" w:ascii="宋体" w:hAnsi="宋体" w:cs="宋体"/>
          <w:color w:val="auto"/>
          <w:highlight w:val="none"/>
        </w:rPr>
        <w:t>发布的信息通知所有</w:t>
      </w:r>
      <w:r>
        <w:rPr>
          <w:rFonts w:hint="eastAsia" w:ascii="宋体" w:hAnsi="宋体" w:cs="宋体"/>
          <w:color w:val="auto"/>
          <w:highlight w:val="none"/>
          <w:lang w:eastAsia="zh-CN"/>
        </w:rPr>
        <w:t>供应商</w:t>
      </w:r>
      <w:r>
        <w:rPr>
          <w:rFonts w:hint="eastAsia" w:ascii="宋体" w:hAnsi="宋体" w:cs="宋体"/>
          <w:color w:val="auto"/>
          <w:highlight w:val="none"/>
        </w:rPr>
        <w:t>，凡在上述网上发布的信息，与招标文件具有同等法律效力，将被视为对所有</w:t>
      </w:r>
      <w:r>
        <w:rPr>
          <w:rFonts w:hint="eastAsia" w:ascii="宋体" w:hAnsi="宋体" w:cs="宋体"/>
          <w:color w:val="auto"/>
          <w:highlight w:val="none"/>
          <w:lang w:eastAsia="zh-CN"/>
        </w:rPr>
        <w:t>供应商</w:t>
      </w:r>
      <w:r>
        <w:rPr>
          <w:rFonts w:hint="eastAsia" w:ascii="宋体" w:hAnsi="宋体" w:cs="宋体"/>
          <w:color w:val="auto"/>
          <w:highlight w:val="none"/>
        </w:rPr>
        <w:t>进行了有效通知。</w:t>
      </w:r>
    </w:p>
    <w:p>
      <w:pPr>
        <w:tabs>
          <w:tab w:val="left" w:pos="720"/>
        </w:tabs>
        <w:spacing w:line="360" w:lineRule="auto"/>
        <w:rPr>
          <w:rFonts w:hint="eastAsia" w:ascii="宋体" w:hAnsi="宋体" w:cs="宋体"/>
          <w:b/>
          <w:bCs/>
          <w:color w:val="auto"/>
          <w:highlight w:val="none"/>
        </w:rPr>
      </w:pPr>
      <w:r>
        <w:rPr>
          <w:rFonts w:hint="eastAsia" w:ascii="宋体" w:hAnsi="宋体" w:cs="宋体"/>
          <w:b/>
          <w:bCs/>
          <w:color w:val="auto"/>
          <w:highlight w:val="none"/>
        </w:rPr>
        <w:t>9、招标文件的修改</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9.1在截止投标时间</w:t>
      </w:r>
      <w:r>
        <w:rPr>
          <w:rFonts w:hint="eastAsia" w:ascii="宋体" w:hAnsi="宋体" w:cs="宋体"/>
          <w:b/>
          <w:color w:val="auto"/>
          <w:highlight w:val="none"/>
          <w:u w:val="single"/>
        </w:rPr>
        <w:t>15日前</w:t>
      </w:r>
      <w:r>
        <w:rPr>
          <w:rFonts w:hint="eastAsia" w:ascii="宋体" w:hAnsi="宋体" w:cs="宋体"/>
          <w:color w:val="auto"/>
          <w:highlight w:val="none"/>
        </w:rPr>
        <w:t>的任何时候，无论出于何种原因，</w:t>
      </w:r>
      <w:r>
        <w:rPr>
          <w:rFonts w:hint="eastAsia" w:ascii="宋体" w:hAnsi="宋体" w:cs="宋体"/>
          <w:color w:val="auto"/>
          <w:highlight w:val="none"/>
          <w:lang w:eastAsia="zh-CN"/>
        </w:rPr>
        <w:t>招标人</w:t>
      </w:r>
      <w:r>
        <w:rPr>
          <w:rFonts w:hint="eastAsia" w:ascii="宋体" w:hAnsi="宋体" w:cs="宋体"/>
          <w:color w:val="auto"/>
          <w:highlight w:val="none"/>
        </w:rPr>
        <w:t>或招标代理机构可主动地或在解答</w:t>
      </w:r>
      <w:r>
        <w:rPr>
          <w:rFonts w:hint="eastAsia" w:ascii="宋体" w:hAnsi="宋体" w:cs="宋体"/>
          <w:color w:val="auto"/>
          <w:highlight w:val="none"/>
          <w:lang w:eastAsia="zh-CN"/>
        </w:rPr>
        <w:t>供应商</w:t>
      </w:r>
      <w:r>
        <w:rPr>
          <w:rFonts w:hint="eastAsia" w:ascii="宋体" w:hAnsi="宋体" w:cs="宋体"/>
          <w:color w:val="auto"/>
          <w:highlight w:val="none"/>
        </w:rPr>
        <w:t>提出的需澄清的问题时向</w:t>
      </w:r>
      <w:r>
        <w:rPr>
          <w:rFonts w:hint="eastAsia" w:ascii="宋体" w:hAnsi="宋体" w:cs="宋体"/>
          <w:color w:val="auto"/>
          <w:highlight w:val="none"/>
          <w:lang w:eastAsia="zh-CN"/>
        </w:rPr>
        <w:t>供应商</w:t>
      </w:r>
      <w:r>
        <w:rPr>
          <w:rFonts w:hint="eastAsia" w:ascii="宋体" w:hAnsi="宋体" w:cs="宋体"/>
          <w:color w:val="auto"/>
          <w:highlight w:val="none"/>
        </w:rPr>
        <w:t>发修改文件对招标文件进行修改。</w:t>
      </w:r>
    </w:p>
    <w:p>
      <w:pPr>
        <w:pStyle w:val="18"/>
        <w:spacing w:line="360" w:lineRule="auto"/>
        <w:ind w:left="359" w:leftChars="0" w:hanging="359" w:hangingChars="171"/>
        <w:rPr>
          <w:rFonts w:hint="eastAsia" w:ascii="宋体" w:hAnsi="宋体" w:cs="宋体"/>
          <w:color w:val="auto"/>
          <w:highlight w:val="none"/>
        </w:rPr>
      </w:pPr>
      <w:r>
        <w:rPr>
          <w:rFonts w:hint="eastAsia" w:ascii="宋体" w:hAnsi="宋体" w:cs="宋体"/>
          <w:color w:val="auto"/>
          <w:highlight w:val="none"/>
        </w:rPr>
        <w:t>9.2文件的澄清和修改文件将以书面形式通知所有购买招标文件的</w:t>
      </w:r>
      <w:r>
        <w:rPr>
          <w:rFonts w:hint="eastAsia" w:ascii="宋体" w:hAnsi="宋体" w:cs="宋体"/>
          <w:color w:val="auto"/>
          <w:highlight w:val="none"/>
          <w:lang w:eastAsia="zh-CN"/>
        </w:rPr>
        <w:t>供应商</w:t>
      </w:r>
      <w:r>
        <w:rPr>
          <w:rFonts w:hint="eastAsia" w:ascii="宋体" w:hAnsi="宋体" w:cs="宋体"/>
          <w:color w:val="auto"/>
          <w:highlight w:val="none"/>
        </w:rPr>
        <w:t>，该澄清文件也是招标文件的组成部分，并对</w:t>
      </w:r>
      <w:r>
        <w:rPr>
          <w:rFonts w:hint="eastAsia" w:ascii="宋体" w:hAnsi="宋体" w:cs="宋体"/>
          <w:color w:val="auto"/>
          <w:highlight w:val="none"/>
          <w:lang w:eastAsia="zh-CN"/>
        </w:rPr>
        <w:t>供应商</w:t>
      </w:r>
      <w:r>
        <w:rPr>
          <w:rFonts w:hint="eastAsia" w:ascii="宋体" w:hAnsi="宋体" w:cs="宋体"/>
          <w:color w:val="auto"/>
          <w:highlight w:val="none"/>
        </w:rPr>
        <w:t>具有约束力。</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9.3为使</w:t>
      </w:r>
      <w:r>
        <w:rPr>
          <w:rFonts w:hint="eastAsia" w:ascii="宋体" w:hAnsi="宋体" w:cs="宋体"/>
          <w:color w:val="auto"/>
          <w:highlight w:val="none"/>
          <w:lang w:eastAsia="zh-CN"/>
        </w:rPr>
        <w:t>供应商</w:t>
      </w:r>
      <w:r>
        <w:rPr>
          <w:rFonts w:hint="eastAsia" w:ascii="宋体" w:hAnsi="宋体" w:cs="宋体"/>
          <w:color w:val="auto"/>
          <w:highlight w:val="none"/>
        </w:rPr>
        <w:t>编写招标文件时有充分时间对招标文件的修改部分进行研究，</w:t>
      </w:r>
      <w:r>
        <w:rPr>
          <w:rFonts w:hint="eastAsia" w:ascii="宋体" w:hAnsi="宋体" w:cs="宋体"/>
          <w:color w:val="auto"/>
          <w:highlight w:val="none"/>
          <w:lang w:eastAsia="zh-CN"/>
        </w:rPr>
        <w:t>招标人</w:t>
      </w:r>
      <w:r>
        <w:rPr>
          <w:rFonts w:hint="eastAsia" w:ascii="宋体" w:hAnsi="宋体" w:cs="宋体"/>
          <w:color w:val="auto"/>
          <w:highlight w:val="none"/>
        </w:rPr>
        <w:t>或招标代理机构可</w:t>
      </w:r>
      <w:r>
        <w:rPr>
          <w:rFonts w:hint="eastAsia" w:ascii="宋体" w:hAnsi="宋体" w:cs="宋体"/>
          <w:color w:val="auto"/>
          <w:highlight w:val="none"/>
          <w:lang w:val="en-US" w:eastAsia="zh-CN"/>
        </w:rPr>
        <w:t>自</w:t>
      </w:r>
      <w:r>
        <w:rPr>
          <w:rFonts w:hint="eastAsia" w:ascii="宋体" w:hAnsi="宋体" w:cs="宋体"/>
          <w:color w:val="auto"/>
          <w:highlight w:val="none"/>
        </w:rPr>
        <w:t>行决定，酌情延长投标截止日期，同时将决定以书面形式通知所有购买招标文件的</w:t>
      </w:r>
      <w:r>
        <w:rPr>
          <w:rFonts w:hint="eastAsia" w:ascii="宋体" w:hAnsi="宋体" w:cs="宋体"/>
          <w:color w:val="auto"/>
          <w:highlight w:val="none"/>
          <w:lang w:eastAsia="zh-CN"/>
        </w:rPr>
        <w:t>供应商</w:t>
      </w:r>
      <w:r>
        <w:rPr>
          <w:rFonts w:hint="eastAsia" w:ascii="宋体" w:hAnsi="宋体" w:cs="宋体"/>
          <w:color w:val="auto"/>
          <w:highlight w:val="none"/>
        </w:rPr>
        <w:t>。</w:t>
      </w:r>
    </w:p>
    <w:p>
      <w:pPr>
        <w:spacing w:line="360" w:lineRule="auto"/>
        <w:ind w:left="424" w:hanging="424" w:hangingChars="202"/>
        <w:rPr>
          <w:rFonts w:hint="eastAsia" w:ascii="宋体" w:hAnsi="宋体" w:cs="宋体"/>
          <w:color w:val="auto"/>
          <w:highlight w:val="none"/>
        </w:rPr>
      </w:pPr>
      <w:r>
        <w:rPr>
          <w:rFonts w:hint="eastAsia" w:ascii="宋体" w:hAnsi="宋体" w:cs="宋体"/>
          <w:color w:val="auto"/>
          <w:highlight w:val="none"/>
        </w:rPr>
        <w:t>9.4</w:t>
      </w:r>
      <w:r>
        <w:rPr>
          <w:rFonts w:hint="eastAsia" w:ascii="宋体" w:hAnsi="宋体" w:cs="宋体"/>
          <w:color w:val="auto"/>
          <w:highlight w:val="none"/>
          <w:lang w:eastAsia="zh-CN"/>
        </w:rPr>
        <w:t>供应商</w:t>
      </w:r>
      <w:r>
        <w:rPr>
          <w:rFonts w:hint="eastAsia" w:ascii="宋体" w:hAnsi="宋体" w:cs="宋体"/>
          <w:color w:val="auto"/>
          <w:highlight w:val="none"/>
        </w:rPr>
        <w:t>在收到招标代理机构发给的任何澄清和修改文件时，都应在收到后立即以书面形式向招标代理机构确认。</w:t>
      </w:r>
    </w:p>
    <w:p>
      <w:pPr>
        <w:spacing w:line="360" w:lineRule="auto"/>
        <w:ind w:left="491" w:hanging="491" w:hangingChars="234"/>
        <w:rPr>
          <w:rFonts w:hint="eastAsia" w:ascii="宋体" w:hAnsi="宋体" w:cs="宋体"/>
          <w:color w:val="auto"/>
          <w:highlight w:val="none"/>
        </w:rPr>
      </w:pPr>
      <w:r>
        <w:rPr>
          <w:rFonts w:hint="eastAsia" w:ascii="宋体" w:hAnsi="宋体" w:cs="宋体"/>
          <w:color w:val="auto"/>
          <w:highlight w:val="none"/>
        </w:rPr>
        <w:t>9.5对于招标文件的修改或补充文件，招标代理机构均将以书面形式或</w:t>
      </w:r>
      <w:r>
        <w:rPr>
          <w:rFonts w:hint="eastAsia" w:ascii="宋体" w:hAnsi="宋体" w:cs="宋体"/>
          <w:color w:val="auto"/>
          <w:highlight w:val="none"/>
          <w:u w:val="single"/>
        </w:rPr>
        <w:t>指定网站及媒体上</w:t>
      </w:r>
      <w:r>
        <w:rPr>
          <w:rFonts w:hint="eastAsia" w:ascii="宋体" w:hAnsi="宋体" w:cs="宋体"/>
          <w:color w:val="auto"/>
          <w:highlight w:val="none"/>
        </w:rPr>
        <w:t>发布的信息通知所有</w:t>
      </w:r>
      <w:r>
        <w:rPr>
          <w:rFonts w:hint="eastAsia" w:ascii="宋体" w:hAnsi="宋体" w:cs="宋体"/>
          <w:color w:val="auto"/>
          <w:highlight w:val="none"/>
          <w:lang w:eastAsia="zh-CN"/>
        </w:rPr>
        <w:t>供应商</w:t>
      </w:r>
      <w:r>
        <w:rPr>
          <w:rFonts w:hint="eastAsia" w:ascii="宋体" w:hAnsi="宋体" w:cs="宋体"/>
          <w:color w:val="auto"/>
          <w:highlight w:val="none"/>
        </w:rPr>
        <w:t>，凡在上述网上发布的信息，与招标文件具有同等法律效力，将被视为对所有</w:t>
      </w:r>
      <w:r>
        <w:rPr>
          <w:rFonts w:hint="eastAsia" w:ascii="宋体" w:hAnsi="宋体" w:cs="宋体"/>
          <w:color w:val="auto"/>
          <w:highlight w:val="none"/>
          <w:lang w:eastAsia="zh-CN"/>
        </w:rPr>
        <w:t>供应商</w:t>
      </w:r>
      <w:r>
        <w:rPr>
          <w:rFonts w:hint="eastAsia" w:ascii="宋体" w:hAnsi="宋体" w:cs="宋体"/>
          <w:color w:val="auto"/>
          <w:highlight w:val="none"/>
        </w:rPr>
        <w:t>进行了有效通知。</w:t>
      </w:r>
    </w:p>
    <w:p>
      <w:pPr>
        <w:tabs>
          <w:tab w:val="left" w:pos="720"/>
        </w:tabs>
        <w:spacing w:line="360" w:lineRule="auto"/>
        <w:rPr>
          <w:rFonts w:hint="eastAsia" w:ascii="宋体" w:hAnsi="宋体" w:cs="宋体"/>
          <w:b/>
          <w:bCs/>
          <w:color w:val="auto"/>
          <w:highlight w:val="none"/>
        </w:rPr>
      </w:pPr>
      <w:r>
        <w:rPr>
          <w:rFonts w:hint="eastAsia" w:ascii="宋体" w:hAnsi="宋体" w:cs="宋体"/>
          <w:b/>
          <w:bCs/>
          <w:color w:val="auto"/>
          <w:highlight w:val="none"/>
        </w:rPr>
        <w:t>10、招标语言及计量</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10.1投标文件和来往函件应用中文书写，</w:t>
      </w:r>
      <w:r>
        <w:rPr>
          <w:rFonts w:hint="eastAsia" w:ascii="宋体" w:hAnsi="宋体" w:cs="宋体"/>
          <w:color w:val="auto"/>
          <w:highlight w:val="none"/>
          <w:lang w:eastAsia="zh-CN"/>
        </w:rPr>
        <w:t>供应商</w:t>
      </w:r>
      <w:r>
        <w:rPr>
          <w:rFonts w:hint="eastAsia" w:ascii="宋体" w:hAnsi="宋体" w:cs="宋体"/>
          <w:color w:val="auto"/>
          <w:highlight w:val="none"/>
        </w:rPr>
        <w:t>提供的支持文件、技术资料和印刷的文献可以用其它语言，但相应内容应附有中文翻译本（经公证处公证），以中文为准，对不同文字文本投标文件的解释发生异议的，以中文文本为准。</w:t>
      </w:r>
    </w:p>
    <w:p>
      <w:pPr>
        <w:spacing w:line="360" w:lineRule="auto"/>
        <w:rPr>
          <w:rFonts w:hint="eastAsia" w:ascii="宋体" w:hAnsi="宋体" w:cs="宋体"/>
          <w:color w:val="auto"/>
          <w:highlight w:val="none"/>
        </w:rPr>
      </w:pPr>
      <w:r>
        <w:rPr>
          <w:rFonts w:hint="eastAsia" w:ascii="宋体" w:hAnsi="宋体" w:cs="宋体"/>
          <w:color w:val="auto"/>
          <w:highlight w:val="none"/>
        </w:rPr>
        <w:t>10.2招标文件中的所有计量单位和规格说明都使用国家法定计量单位表示。</w:t>
      </w:r>
    </w:p>
    <w:p>
      <w:pPr>
        <w:pStyle w:val="6"/>
        <w:numPr>
          <w:ilvl w:val="0"/>
          <w:numId w:val="0"/>
        </w:numPr>
        <w:ind w:left="422"/>
        <w:jc w:val="center"/>
        <w:rPr>
          <w:rFonts w:hint="eastAsia" w:hAnsi="宋体" w:cs="宋体"/>
          <w:b w:val="0"/>
          <w:bCs/>
          <w:color w:val="auto"/>
          <w:highlight w:val="none"/>
        </w:rPr>
      </w:pPr>
      <w:bookmarkStart w:id="54" w:name="_Toc409173105"/>
      <w:bookmarkStart w:id="55" w:name="_Toc513818903"/>
      <w:bookmarkStart w:id="56" w:name="_Toc409173219"/>
      <w:r>
        <w:rPr>
          <w:rFonts w:hint="eastAsia" w:hAnsi="宋体" w:cs="宋体"/>
          <w:color w:val="auto"/>
          <w:highlight w:val="none"/>
        </w:rPr>
        <w:t>三、投标文件的编制</w:t>
      </w:r>
      <w:bookmarkEnd w:id="54"/>
      <w:bookmarkEnd w:id="55"/>
      <w:bookmarkEnd w:id="56"/>
    </w:p>
    <w:p>
      <w:pPr>
        <w:tabs>
          <w:tab w:val="left" w:pos="540"/>
        </w:tabs>
        <w:spacing w:line="360" w:lineRule="auto"/>
        <w:rPr>
          <w:rFonts w:hint="eastAsia" w:ascii="宋体" w:hAnsi="宋体" w:cs="宋体"/>
          <w:b/>
          <w:bCs/>
          <w:color w:val="auto"/>
          <w:highlight w:val="none"/>
        </w:rPr>
      </w:pPr>
      <w:r>
        <w:rPr>
          <w:rFonts w:hint="eastAsia" w:ascii="宋体" w:hAnsi="宋体" w:cs="宋体"/>
          <w:b/>
          <w:bCs/>
          <w:color w:val="auto"/>
          <w:highlight w:val="none"/>
        </w:rPr>
        <w:t>11、特别说明</w:t>
      </w:r>
    </w:p>
    <w:p>
      <w:pPr>
        <w:spacing w:line="360" w:lineRule="auto"/>
        <w:ind w:left="464" w:hanging="464" w:hangingChars="221"/>
        <w:rPr>
          <w:rFonts w:hint="eastAsia" w:ascii="宋体" w:hAnsi="宋体" w:cs="宋体"/>
          <w:color w:val="auto"/>
          <w:highlight w:val="none"/>
        </w:rPr>
      </w:pPr>
      <w:r>
        <w:rPr>
          <w:rFonts w:hint="eastAsia" w:ascii="宋体" w:hAnsi="宋体" w:cs="宋体"/>
          <w:color w:val="auto"/>
          <w:highlight w:val="none"/>
        </w:rPr>
        <w:t>11.1本招标文件服务指标要求中，重要的、关键的服务指标要求或性能要求，</w:t>
      </w:r>
      <w:r>
        <w:rPr>
          <w:rFonts w:hint="eastAsia" w:ascii="宋体" w:hAnsi="宋体" w:cs="宋体"/>
          <w:color w:val="auto"/>
          <w:highlight w:val="none"/>
          <w:lang w:eastAsia="zh-CN"/>
        </w:rPr>
        <w:t>供应商</w:t>
      </w:r>
      <w:r>
        <w:rPr>
          <w:rFonts w:hint="eastAsia" w:ascii="宋体" w:hAnsi="宋体" w:cs="宋体"/>
          <w:color w:val="auto"/>
          <w:highlight w:val="none"/>
        </w:rPr>
        <w:t>要特别注意，必须对此响应或完全满足或优于这些要求。否则若有一项重要指标未响应或存在负偏差，将按投标无效处理，即废标。</w:t>
      </w:r>
    </w:p>
    <w:p>
      <w:pPr>
        <w:spacing w:line="360" w:lineRule="auto"/>
        <w:ind w:left="464" w:hanging="464" w:hangingChars="221"/>
        <w:rPr>
          <w:rFonts w:hint="eastAsia" w:ascii="宋体" w:hAnsi="宋体" w:cs="宋体"/>
          <w:color w:val="auto"/>
          <w:highlight w:val="none"/>
        </w:rPr>
      </w:pPr>
      <w:r>
        <w:rPr>
          <w:rFonts w:hint="eastAsia" w:ascii="宋体" w:hAnsi="宋体" w:cs="宋体"/>
          <w:color w:val="auto"/>
          <w:highlight w:val="none"/>
        </w:rPr>
        <w:t>11.2本招标文件的商务合同条款部分除保险、终止和合同生效条款外，均不允许实质性偏离。</w:t>
      </w:r>
      <w:r>
        <w:rPr>
          <w:rFonts w:hint="eastAsia" w:ascii="宋体" w:hAnsi="宋体" w:cs="宋体"/>
          <w:color w:val="auto"/>
          <w:highlight w:val="none"/>
          <w:lang w:eastAsia="zh-CN"/>
        </w:rPr>
        <w:t>供应商</w:t>
      </w:r>
      <w:r>
        <w:rPr>
          <w:rFonts w:hint="eastAsia" w:ascii="宋体" w:hAnsi="宋体" w:cs="宋体"/>
          <w:color w:val="auto"/>
          <w:highlight w:val="none"/>
        </w:rPr>
        <w:t>必须对本招标文件的每一项要求给予实质性的响应，否则其投标将被拒绝。</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11.3 </w:t>
      </w:r>
      <w:r>
        <w:rPr>
          <w:rFonts w:hint="eastAsia" w:ascii="宋体" w:hAnsi="宋体" w:cs="宋体"/>
          <w:color w:val="auto"/>
          <w:highlight w:val="none"/>
          <w:lang w:eastAsia="zh-CN"/>
        </w:rPr>
        <w:t>供应商</w:t>
      </w:r>
      <w:r>
        <w:rPr>
          <w:rFonts w:hint="eastAsia" w:ascii="宋体" w:hAnsi="宋体" w:cs="宋体"/>
          <w:color w:val="auto"/>
          <w:highlight w:val="none"/>
        </w:rPr>
        <w:t>对本投标文件的每一项要求所给予的响应必须是唯一的，否则将视为不响应。</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12、投标语言及计量</w:t>
      </w:r>
    </w:p>
    <w:p>
      <w:pPr>
        <w:spacing w:line="360" w:lineRule="auto"/>
        <w:ind w:left="464" w:hanging="464" w:hangingChars="221"/>
        <w:rPr>
          <w:rFonts w:hint="eastAsia" w:ascii="宋体" w:hAnsi="宋体" w:cs="宋体"/>
          <w:color w:val="auto"/>
          <w:highlight w:val="none"/>
        </w:rPr>
      </w:pPr>
      <w:r>
        <w:rPr>
          <w:rFonts w:hint="eastAsia" w:ascii="宋体" w:hAnsi="宋体" w:cs="宋体"/>
          <w:color w:val="auto"/>
          <w:highlight w:val="none"/>
        </w:rPr>
        <w:t>12.1</w:t>
      </w:r>
      <w:r>
        <w:rPr>
          <w:rFonts w:hint="eastAsia" w:ascii="宋体" w:hAnsi="宋体" w:cs="宋体"/>
          <w:color w:val="auto"/>
          <w:highlight w:val="none"/>
          <w:lang w:eastAsia="zh-CN"/>
        </w:rPr>
        <w:t>供应商</w:t>
      </w:r>
      <w:r>
        <w:rPr>
          <w:rFonts w:hint="eastAsia" w:ascii="宋体" w:hAnsi="宋体" w:cs="宋体"/>
          <w:color w:val="auto"/>
          <w:highlight w:val="none"/>
        </w:rPr>
        <w:t>提交的投标文件以及</w:t>
      </w:r>
      <w:r>
        <w:rPr>
          <w:rFonts w:hint="eastAsia" w:ascii="宋体" w:hAnsi="宋体" w:cs="宋体"/>
          <w:color w:val="auto"/>
          <w:highlight w:val="none"/>
          <w:lang w:eastAsia="zh-CN"/>
        </w:rPr>
        <w:t>供应商</w:t>
      </w:r>
      <w:r>
        <w:rPr>
          <w:rFonts w:hint="eastAsia" w:ascii="宋体" w:hAnsi="宋体" w:cs="宋体"/>
          <w:color w:val="auto"/>
          <w:highlight w:val="none"/>
        </w:rPr>
        <w:t>与</w:t>
      </w:r>
      <w:r>
        <w:rPr>
          <w:rFonts w:hint="eastAsia" w:ascii="宋体" w:hAnsi="宋体" w:cs="宋体"/>
          <w:color w:val="auto"/>
          <w:highlight w:val="none"/>
          <w:lang w:eastAsia="zh-CN"/>
        </w:rPr>
        <w:t>招标人</w:t>
      </w:r>
      <w:r>
        <w:rPr>
          <w:rFonts w:hint="eastAsia" w:ascii="宋体" w:hAnsi="宋体" w:cs="宋体"/>
          <w:color w:val="auto"/>
          <w:highlight w:val="none"/>
        </w:rPr>
        <w:t>就有关投标的所有往来函电均使用中文。</w:t>
      </w:r>
      <w:r>
        <w:rPr>
          <w:rFonts w:hint="eastAsia" w:ascii="宋体" w:hAnsi="宋体" w:cs="宋体"/>
          <w:color w:val="auto"/>
          <w:highlight w:val="none"/>
          <w:lang w:eastAsia="zh-CN"/>
        </w:rPr>
        <w:t>供应商</w:t>
      </w:r>
      <w:r>
        <w:rPr>
          <w:rFonts w:hint="eastAsia" w:ascii="宋体" w:hAnsi="宋体" w:cs="宋体"/>
          <w:color w:val="auto"/>
          <w:highlight w:val="none"/>
        </w:rPr>
        <w:t>提供的支持文件和印刷的文件可以使用英文，但相应内容应附有中文翻译本，在解释时以中文翻译为准。</w:t>
      </w:r>
    </w:p>
    <w:p>
      <w:pPr>
        <w:spacing w:line="360" w:lineRule="auto"/>
        <w:ind w:left="540" w:hanging="539" w:hangingChars="257"/>
        <w:rPr>
          <w:rFonts w:hint="eastAsia" w:ascii="宋体" w:hAnsi="宋体" w:cs="宋体"/>
          <w:color w:val="auto"/>
          <w:highlight w:val="none"/>
        </w:rPr>
      </w:pPr>
      <w:r>
        <w:rPr>
          <w:rFonts w:hint="eastAsia" w:ascii="宋体" w:hAnsi="宋体" w:cs="宋体"/>
          <w:color w:val="auto"/>
          <w:highlight w:val="none"/>
        </w:rPr>
        <w:t>12.2在投标文件及所有</w:t>
      </w:r>
      <w:r>
        <w:rPr>
          <w:rFonts w:hint="eastAsia" w:ascii="宋体" w:hAnsi="宋体" w:cs="宋体"/>
          <w:color w:val="auto"/>
          <w:highlight w:val="none"/>
          <w:lang w:eastAsia="zh-CN"/>
        </w:rPr>
        <w:t>供应商</w:t>
      </w:r>
      <w:r>
        <w:rPr>
          <w:rFonts w:hint="eastAsia" w:ascii="宋体" w:hAnsi="宋体" w:cs="宋体"/>
          <w:color w:val="auto"/>
          <w:highlight w:val="none"/>
        </w:rPr>
        <w:t>与</w:t>
      </w:r>
      <w:r>
        <w:rPr>
          <w:rFonts w:hint="eastAsia" w:ascii="宋体" w:hAnsi="宋体" w:cs="宋体"/>
          <w:color w:val="auto"/>
          <w:highlight w:val="none"/>
          <w:lang w:eastAsia="zh-CN"/>
        </w:rPr>
        <w:t>招标人</w:t>
      </w:r>
      <w:r>
        <w:rPr>
          <w:rFonts w:hint="eastAsia" w:ascii="宋体" w:hAnsi="宋体" w:cs="宋体"/>
          <w:color w:val="auto"/>
          <w:highlight w:val="none"/>
        </w:rPr>
        <w:t>往来文件中所有计量单位和规格说明均须用国家法定计量单位表示。</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13、投标文件的构成</w:t>
      </w:r>
    </w:p>
    <w:p>
      <w:pPr>
        <w:spacing w:line="360" w:lineRule="auto"/>
        <w:rPr>
          <w:rFonts w:hint="eastAsia" w:ascii="宋体" w:hAnsi="宋体" w:cs="宋体"/>
          <w:color w:val="auto"/>
          <w:highlight w:val="none"/>
        </w:rPr>
      </w:pPr>
      <w:r>
        <w:rPr>
          <w:rFonts w:hint="eastAsia" w:ascii="宋体" w:hAnsi="宋体" w:cs="宋体"/>
          <w:color w:val="auto"/>
          <w:highlight w:val="none"/>
        </w:rPr>
        <w:t>13.1</w:t>
      </w:r>
      <w:r>
        <w:rPr>
          <w:rFonts w:hint="eastAsia" w:ascii="宋体" w:hAnsi="宋体" w:cs="宋体"/>
          <w:color w:val="auto"/>
          <w:highlight w:val="none"/>
          <w:lang w:eastAsia="zh-CN"/>
        </w:rPr>
        <w:t>供应商</w:t>
      </w:r>
      <w:r>
        <w:rPr>
          <w:rFonts w:hint="eastAsia" w:ascii="宋体" w:hAnsi="宋体" w:cs="宋体"/>
          <w:color w:val="auto"/>
          <w:highlight w:val="none"/>
        </w:rPr>
        <w:t>编写的投标文件应包括下列部分：</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（1）按</w:t>
      </w:r>
      <w:r>
        <w:rPr>
          <w:rFonts w:hint="eastAsia" w:ascii="宋体" w:hAnsi="宋体" w:cs="宋体"/>
          <w:color w:val="auto"/>
          <w:highlight w:val="none"/>
          <w:lang w:eastAsia="zh-CN"/>
        </w:rPr>
        <w:t>投标人须知</w:t>
      </w:r>
      <w:r>
        <w:rPr>
          <w:rFonts w:hint="eastAsia" w:ascii="宋体" w:hAnsi="宋体" w:cs="宋体"/>
          <w:color w:val="auto"/>
          <w:highlight w:val="none"/>
        </w:rPr>
        <w:t>规定填写投标函。</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（2）按</w:t>
      </w:r>
      <w:r>
        <w:rPr>
          <w:rFonts w:hint="eastAsia" w:ascii="宋体" w:hAnsi="宋体" w:cs="宋体"/>
          <w:color w:val="auto"/>
          <w:highlight w:val="none"/>
          <w:lang w:eastAsia="zh-CN"/>
        </w:rPr>
        <w:t>投标人须知</w:t>
      </w:r>
      <w:r>
        <w:rPr>
          <w:rFonts w:hint="eastAsia" w:ascii="宋体" w:hAnsi="宋体" w:cs="宋体"/>
          <w:color w:val="auto"/>
          <w:highlight w:val="none"/>
        </w:rPr>
        <w:t>出具的资格证明文件，证明</w:t>
      </w:r>
      <w:r>
        <w:rPr>
          <w:rFonts w:hint="eastAsia" w:ascii="宋体" w:hAnsi="宋体" w:cs="宋体"/>
          <w:color w:val="auto"/>
          <w:highlight w:val="none"/>
          <w:lang w:eastAsia="zh-CN"/>
        </w:rPr>
        <w:t>供应商</w:t>
      </w:r>
      <w:r>
        <w:rPr>
          <w:rFonts w:hint="eastAsia" w:ascii="宋体" w:hAnsi="宋体" w:cs="宋体"/>
          <w:color w:val="auto"/>
          <w:highlight w:val="none"/>
        </w:rPr>
        <w:t>是合格的且中标后有能力履行合同。</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（3）按招标文件的规定出具的证明文件。</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（4）按</w:t>
      </w:r>
      <w:r>
        <w:rPr>
          <w:rFonts w:hint="eastAsia" w:ascii="宋体" w:hAnsi="宋体" w:cs="宋体"/>
          <w:color w:val="auto"/>
          <w:highlight w:val="none"/>
          <w:lang w:eastAsia="zh-CN"/>
        </w:rPr>
        <w:t>投标人须知</w:t>
      </w:r>
      <w:r>
        <w:rPr>
          <w:rFonts w:hint="eastAsia" w:ascii="宋体" w:hAnsi="宋体" w:cs="宋体"/>
          <w:color w:val="auto"/>
          <w:highlight w:val="none"/>
        </w:rPr>
        <w:t>规定提交的投标保证金。</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（5）对招标文件第三章做出书面响应。</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供应商</w:t>
      </w:r>
      <w:r>
        <w:rPr>
          <w:rFonts w:hint="eastAsia" w:ascii="宋体" w:hAnsi="宋体" w:cs="宋体"/>
          <w:color w:val="auto"/>
          <w:highlight w:val="none"/>
        </w:rPr>
        <w:t>应参照招标文件第五章的内容格式提供全面的响应的文件。</w:t>
      </w:r>
    </w:p>
    <w:p>
      <w:pPr>
        <w:spacing w:line="360" w:lineRule="auto"/>
        <w:rPr>
          <w:rFonts w:hint="eastAsia" w:ascii="宋体" w:hAnsi="宋体" w:cs="宋体"/>
          <w:color w:val="auto"/>
          <w:highlight w:val="none"/>
        </w:rPr>
      </w:pPr>
      <w:r>
        <w:rPr>
          <w:rFonts w:hint="eastAsia" w:ascii="宋体" w:hAnsi="宋体" w:cs="宋体"/>
          <w:b/>
          <w:bCs/>
          <w:color w:val="auto"/>
          <w:highlight w:val="none"/>
        </w:rPr>
        <w:t>14、投标文件的要求</w:t>
      </w:r>
    </w:p>
    <w:p>
      <w:pPr>
        <w:spacing w:line="360" w:lineRule="auto"/>
        <w:rPr>
          <w:rFonts w:hint="eastAsia" w:ascii="宋体" w:hAnsi="宋体" w:cs="宋体"/>
          <w:color w:val="auto"/>
          <w:highlight w:val="none"/>
        </w:rPr>
      </w:pPr>
      <w:r>
        <w:rPr>
          <w:rFonts w:hint="eastAsia" w:ascii="宋体" w:hAnsi="宋体" w:cs="宋体"/>
          <w:color w:val="auto"/>
          <w:highlight w:val="none"/>
        </w:rPr>
        <w:t>14.1</w:t>
      </w:r>
      <w:r>
        <w:rPr>
          <w:rFonts w:hint="eastAsia" w:ascii="宋体" w:hAnsi="宋体" w:cs="宋体"/>
          <w:color w:val="auto"/>
          <w:highlight w:val="none"/>
          <w:lang w:eastAsia="zh-CN"/>
        </w:rPr>
        <w:t>供应商</w:t>
      </w:r>
      <w:r>
        <w:rPr>
          <w:rFonts w:hint="eastAsia" w:ascii="宋体" w:hAnsi="宋体" w:cs="宋体"/>
          <w:color w:val="auto"/>
          <w:highlight w:val="none"/>
        </w:rPr>
        <w:t>应依照招标文件中投标文件格式填写，并真正对招标文件的要求做实质性的响应。</w:t>
      </w:r>
    </w:p>
    <w:p>
      <w:pPr>
        <w:spacing w:line="360" w:lineRule="auto"/>
        <w:rPr>
          <w:rFonts w:hint="eastAsia" w:ascii="宋体" w:hAnsi="宋体" w:cs="宋体"/>
          <w:color w:val="auto"/>
          <w:highlight w:val="none"/>
        </w:rPr>
      </w:pPr>
      <w:r>
        <w:rPr>
          <w:rFonts w:hint="eastAsia" w:ascii="宋体" w:hAnsi="宋体" w:cs="宋体"/>
          <w:color w:val="auto"/>
          <w:highlight w:val="none"/>
        </w:rPr>
        <w:t>14.2</w:t>
      </w:r>
      <w:r>
        <w:rPr>
          <w:rFonts w:hint="eastAsia" w:ascii="宋体" w:hAnsi="宋体" w:cs="宋体"/>
          <w:color w:val="auto"/>
          <w:highlight w:val="none"/>
          <w:lang w:eastAsia="zh-CN"/>
        </w:rPr>
        <w:t>供应商</w:t>
      </w:r>
      <w:r>
        <w:rPr>
          <w:rFonts w:hint="eastAsia" w:ascii="宋体" w:hAnsi="宋体" w:cs="宋体"/>
          <w:color w:val="auto"/>
          <w:highlight w:val="none"/>
        </w:rPr>
        <w:t>必须按照招标文件要求，正面回答所有的问题，并按所附格式要求正式签署。</w:t>
      </w:r>
    </w:p>
    <w:p>
      <w:pPr>
        <w:spacing w:line="360" w:lineRule="auto"/>
        <w:rPr>
          <w:rFonts w:hint="eastAsia" w:ascii="宋体" w:hAnsi="宋体" w:cs="宋体"/>
          <w:color w:val="auto"/>
          <w:highlight w:val="none"/>
        </w:rPr>
      </w:pPr>
      <w:r>
        <w:rPr>
          <w:rFonts w:hint="eastAsia" w:ascii="宋体" w:hAnsi="宋体" w:cs="宋体"/>
          <w:color w:val="auto"/>
          <w:highlight w:val="none"/>
        </w:rPr>
        <w:t>14.3</w:t>
      </w:r>
      <w:r>
        <w:rPr>
          <w:rFonts w:hint="eastAsia" w:ascii="宋体" w:hAnsi="宋体" w:cs="宋体"/>
          <w:color w:val="auto"/>
          <w:highlight w:val="none"/>
          <w:lang w:eastAsia="zh-CN"/>
        </w:rPr>
        <w:t>供应商</w:t>
      </w:r>
      <w:r>
        <w:rPr>
          <w:rFonts w:hint="eastAsia" w:ascii="宋体" w:hAnsi="宋体" w:cs="宋体"/>
          <w:color w:val="auto"/>
          <w:highlight w:val="none"/>
        </w:rPr>
        <w:t>对于招标文件的所有“★”号要求，必须作出真实满足的响应，否则将作无效投标处理。</w:t>
      </w:r>
    </w:p>
    <w:p>
      <w:pPr>
        <w:spacing w:line="360" w:lineRule="auto"/>
        <w:rPr>
          <w:rFonts w:hint="eastAsia" w:ascii="宋体" w:hAnsi="宋体" w:eastAsia="宋体" w:cs="宋体"/>
          <w:b/>
          <w:bCs/>
          <w:color w:val="auto"/>
          <w:highlight w:val="none"/>
          <w:lang w:eastAsia="zh-CN"/>
        </w:rPr>
      </w:pPr>
      <w:r>
        <w:rPr>
          <w:rFonts w:hint="eastAsia" w:ascii="宋体" w:hAnsi="宋体" w:cs="宋体"/>
          <w:b/>
          <w:bCs/>
          <w:color w:val="auto"/>
          <w:highlight w:val="none"/>
        </w:rPr>
        <w:t>15、投标报价</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本项目不涉及</w:t>
      </w:r>
      <w:r>
        <w:rPr>
          <w:rFonts w:hint="eastAsia" w:ascii="宋体" w:hAnsi="宋体" w:cs="宋体"/>
          <w:b/>
          <w:bCs/>
          <w:color w:val="auto"/>
          <w:highlight w:val="none"/>
          <w:lang w:eastAsia="zh-CN"/>
        </w:rPr>
        <w:t>）</w:t>
      </w:r>
    </w:p>
    <w:p>
      <w:pPr>
        <w:tabs>
          <w:tab w:val="left" w:pos="840"/>
        </w:tabs>
        <w:spacing w:line="360" w:lineRule="auto"/>
        <w:ind w:left="525" w:hanging="525" w:hangingChars="250"/>
        <w:rPr>
          <w:rFonts w:hint="eastAsia" w:ascii="宋体" w:hAnsi="宋体" w:cs="宋体"/>
          <w:color w:val="auto"/>
          <w:highlight w:val="none"/>
        </w:rPr>
      </w:pPr>
      <w:r>
        <w:rPr>
          <w:rFonts w:hint="eastAsia" w:ascii="宋体" w:hAnsi="宋体" w:cs="宋体"/>
          <w:color w:val="auto"/>
          <w:highlight w:val="none"/>
        </w:rPr>
        <w:t>15.1</w:t>
      </w:r>
      <w:r>
        <w:rPr>
          <w:rFonts w:hint="eastAsia" w:ascii="宋体" w:hAnsi="宋体" w:cs="宋体"/>
          <w:color w:val="auto"/>
          <w:highlight w:val="none"/>
          <w:u w:val="single"/>
          <w:lang w:eastAsia="zh-CN"/>
        </w:rPr>
        <w:t>供应商</w:t>
      </w:r>
      <w:r>
        <w:rPr>
          <w:rFonts w:hint="eastAsia" w:ascii="宋体" w:hAnsi="宋体" w:cs="宋体"/>
          <w:color w:val="auto"/>
          <w:highlight w:val="none"/>
          <w:u w:val="single"/>
        </w:rPr>
        <w:t>必须按招标文件中“用户需求书”等规定的报价方案报价，否则视为非实质响应性投标。</w:t>
      </w:r>
    </w:p>
    <w:p>
      <w:pPr>
        <w:tabs>
          <w:tab w:val="left" w:pos="840"/>
        </w:tabs>
        <w:spacing w:line="360" w:lineRule="auto"/>
        <w:ind w:left="525" w:hanging="525" w:hangingChars="250"/>
        <w:rPr>
          <w:rFonts w:hint="eastAsia" w:ascii="宋体" w:hAnsi="宋体" w:cs="宋体"/>
          <w:color w:val="auto"/>
          <w:szCs w:val="22"/>
          <w:highlight w:val="none"/>
        </w:rPr>
      </w:pPr>
      <w:r>
        <w:rPr>
          <w:rFonts w:hint="eastAsia" w:ascii="宋体" w:hAnsi="宋体" w:cs="宋体"/>
          <w:color w:val="auto"/>
          <w:highlight w:val="none"/>
        </w:rPr>
        <w:t>15.</w:t>
      </w:r>
      <w:r>
        <w:rPr>
          <w:rFonts w:hint="eastAsia" w:ascii="宋体" w:hAnsi="宋体" w:cs="宋体"/>
          <w:color w:val="auto"/>
          <w:highlight w:val="none"/>
          <w:lang w:val="en-US" w:eastAsia="zh-CN"/>
        </w:rPr>
        <w:t>2</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所报的投标价在合同执行期间是固定不变的，不得以任何理由予以变更。以可调整的价格提交的投标文件将作为非响应性投标而予以拒绝。</w:t>
      </w:r>
    </w:p>
    <w:p>
      <w:pPr>
        <w:tabs>
          <w:tab w:val="left" w:pos="840"/>
        </w:tabs>
        <w:spacing w:line="360" w:lineRule="auto"/>
        <w:ind w:left="527" w:hanging="527" w:hangingChars="250"/>
        <w:rPr>
          <w:rFonts w:hint="eastAsia" w:ascii="宋体" w:hAnsi="宋体" w:cs="宋体"/>
          <w:b/>
          <w:bCs/>
          <w:color w:val="auto"/>
          <w:szCs w:val="22"/>
          <w:highlight w:val="none"/>
        </w:rPr>
      </w:pPr>
      <w:r>
        <w:rPr>
          <w:rFonts w:hint="eastAsia" w:ascii="宋体" w:hAnsi="宋体" w:cs="宋体"/>
          <w:b/>
          <w:bCs/>
          <w:color w:val="auto"/>
          <w:szCs w:val="22"/>
          <w:highlight w:val="none"/>
        </w:rPr>
        <w:t>16、投标货币</w:t>
      </w:r>
    </w:p>
    <w:p>
      <w:pPr>
        <w:tabs>
          <w:tab w:val="left" w:pos="840"/>
        </w:tabs>
        <w:spacing w:line="360" w:lineRule="auto"/>
        <w:ind w:left="525" w:hanging="525" w:hangingChars="250"/>
        <w:rPr>
          <w:rFonts w:hint="eastAsia" w:ascii="宋体" w:hAnsi="宋体" w:cs="宋体"/>
          <w:color w:val="auto"/>
          <w:szCs w:val="22"/>
          <w:highlight w:val="none"/>
        </w:rPr>
      </w:pPr>
      <w:r>
        <w:rPr>
          <w:rFonts w:hint="eastAsia" w:ascii="宋体" w:hAnsi="宋体" w:cs="宋体"/>
          <w:color w:val="auto"/>
          <w:szCs w:val="22"/>
          <w:highlight w:val="none"/>
        </w:rPr>
        <w:t>16.1</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提供的服务须用人民币报价；</w:t>
      </w:r>
    </w:p>
    <w:p>
      <w:pPr>
        <w:tabs>
          <w:tab w:val="left" w:pos="840"/>
        </w:tabs>
        <w:spacing w:line="360" w:lineRule="auto"/>
        <w:ind w:left="525" w:hanging="525" w:hangingChars="250"/>
        <w:rPr>
          <w:rFonts w:hint="eastAsia" w:ascii="宋体" w:hAnsi="宋体" w:cs="宋体"/>
          <w:color w:val="auto"/>
          <w:szCs w:val="22"/>
          <w:highlight w:val="none"/>
        </w:rPr>
      </w:pPr>
      <w:r>
        <w:rPr>
          <w:rFonts w:hint="eastAsia" w:ascii="宋体" w:hAnsi="宋体" w:cs="宋体"/>
          <w:color w:val="auto"/>
          <w:szCs w:val="22"/>
          <w:highlight w:val="none"/>
        </w:rPr>
        <w:t>16.2投标文件中的大写金额和小写金额不一致的，以大写金额为准；总价金额与单价金额和数量乘积不一致的，以单价金额和数量乘积为准，但单价金额小数点有明显错误的除外。</w:t>
      </w:r>
    </w:p>
    <w:p>
      <w:pPr>
        <w:tabs>
          <w:tab w:val="left" w:pos="840"/>
        </w:tabs>
        <w:spacing w:line="360" w:lineRule="auto"/>
        <w:ind w:left="527" w:hanging="527" w:hangingChars="250"/>
        <w:rPr>
          <w:rFonts w:hint="eastAsia" w:ascii="宋体" w:hAnsi="宋体" w:cs="宋体"/>
          <w:b/>
          <w:bCs/>
          <w:color w:val="auto"/>
          <w:szCs w:val="22"/>
          <w:highlight w:val="none"/>
        </w:rPr>
      </w:pPr>
      <w:r>
        <w:rPr>
          <w:rFonts w:hint="eastAsia" w:ascii="宋体" w:hAnsi="宋体" w:cs="宋体"/>
          <w:b/>
          <w:bCs/>
          <w:color w:val="auto"/>
          <w:szCs w:val="22"/>
          <w:highlight w:val="none"/>
        </w:rPr>
        <w:t>17、证明</w:t>
      </w:r>
      <w:r>
        <w:rPr>
          <w:rFonts w:hint="eastAsia" w:ascii="宋体" w:hAnsi="宋体" w:cs="宋体"/>
          <w:b/>
          <w:bCs/>
          <w:color w:val="auto"/>
          <w:szCs w:val="22"/>
          <w:highlight w:val="none"/>
          <w:lang w:eastAsia="zh-CN"/>
        </w:rPr>
        <w:t>供应商</w:t>
      </w:r>
      <w:r>
        <w:rPr>
          <w:rFonts w:hint="eastAsia" w:ascii="宋体" w:hAnsi="宋体" w:cs="宋体"/>
          <w:b/>
          <w:bCs/>
          <w:color w:val="auto"/>
          <w:szCs w:val="22"/>
          <w:highlight w:val="none"/>
        </w:rPr>
        <w:t>合格和资格的文件</w:t>
      </w:r>
    </w:p>
    <w:p>
      <w:pPr>
        <w:tabs>
          <w:tab w:val="left" w:pos="840"/>
        </w:tabs>
        <w:spacing w:line="360" w:lineRule="auto"/>
        <w:ind w:left="525" w:hanging="525" w:hangingChars="250"/>
        <w:rPr>
          <w:rFonts w:hint="eastAsia" w:ascii="宋体" w:hAnsi="宋体" w:cs="宋体"/>
          <w:color w:val="auto"/>
          <w:highlight w:val="none"/>
        </w:rPr>
      </w:pPr>
      <w:r>
        <w:rPr>
          <w:rFonts w:hint="eastAsia" w:ascii="宋体" w:hAnsi="宋体" w:cs="宋体"/>
          <w:color w:val="auto"/>
          <w:szCs w:val="22"/>
          <w:highlight w:val="none"/>
        </w:rPr>
        <w:t>17.1如投标人须知规定，</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应提交证明</w:t>
      </w:r>
      <w:r>
        <w:rPr>
          <w:rFonts w:hint="eastAsia" w:ascii="宋体" w:hAnsi="宋体" w:cs="宋体"/>
          <w:color w:val="auto"/>
          <w:highlight w:val="none"/>
        </w:rPr>
        <w:t>其有资格参加投标和中标后有能力履行合同的文件，并作为其投标文件的一部分。</w:t>
      </w:r>
    </w:p>
    <w:p>
      <w:pPr>
        <w:spacing w:line="360" w:lineRule="auto"/>
        <w:rPr>
          <w:rFonts w:hint="eastAsia" w:ascii="宋体" w:hAnsi="宋体" w:cs="宋体"/>
          <w:color w:val="auto"/>
          <w:highlight w:val="none"/>
        </w:rPr>
      </w:pPr>
      <w:r>
        <w:rPr>
          <w:rFonts w:hint="eastAsia" w:ascii="宋体" w:hAnsi="宋体" w:cs="宋体"/>
          <w:color w:val="auto"/>
          <w:highlight w:val="none"/>
        </w:rPr>
        <w:t>17.2</w:t>
      </w:r>
      <w:r>
        <w:rPr>
          <w:rFonts w:hint="eastAsia" w:ascii="宋体" w:hAnsi="宋体" w:cs="宋体"/>
          <w:color w:val="auto"/>
          <w:highlight w:val="none"/>
          <w:lang w:eastAsia="zh-CN"/>
        </w:rPr>
        <w:t>供应商</w:t>
      </w:r>
      <w:r>
        <w:rPr>
          <w:rFonts w:hint="eastAsia" w:ascii="宋体" w:hAnsi="宋体" w:cs="宋体"/>
          <w:color w:val="auto"/>
          <w:highlight w:val="none"/>
        </w:rPr>
        <w:t>提交的中标后履行合同的资格证明文件应满足招标文件的要求：</w:t>
      </w:r>
    </w:p>
    <w:p>
      <w:pPr>
        <w:numPr>
          <w:ilvl w:val="0"/>
          <w:numId w:val="2"/>
        </w:numPr>
        <w:tabs>
          <w:tab w:val="left" w:pos="-180"/>
          <w:tab w:val="clear" w:pos="1365"/>
        </w:tabs>
        <w:spacing w:line="360" w:lineRule="auto"/>
        <w:ind w:left="1260" w:hanging="615"/>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与本次招标项目类似案例的业绩（提供合同复印件）；（如需）</w:t>
      </w:r>
    </w:p>
    <w:p>
      <w:pPr>
        <w:numPr>
          <w:ilvl w:val="0"/>
          <w:numId w:val="2"/>
        </w:numPr>
        <w:tabs>
          <w:tab w:val="clear" w:pos="1365"/>
        </w:tabs>
        <w:spacing w:line="360" w:lineRule="auto"/>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已具备履行合同所需的人力、财力、物力和服务能力；（如需）</w:t>
      </w:r>
    </w:p>
    <w:p>
      <w:pPr>
        <w:numPr>
          <w:ilvl w:val="0"/>
          <w:numId w:val="2"/>
        </w:numPr>
        <w:tabs>
          <w:tab w:val="clear" w:pos="1365"/>
        </w:tabs>
        <w:spacing w:line="360" w:lineRule="auto"/>
        <w:ind w:left="0" w:firstLine="638" w:firstLineChars="304"/>
        <w:rPr>
          <w:rFonts w:hint="eastAsia" w:ascii="宋体" w:hAnsi="宋体" w:cs="宋体"/>
          <w:color w:val="auto"/>
          <w:highlight w:val="none"/>
        </w:rPr>
      </w:pPr>
      <w:r>
        <w:rPr>
          <w:rFonts w:hint="eastAsia" w:ascii="宋体" w:hAnsi="宋体" w:cs="宋体"/>
          <w:color w:val="auto"/>
          <w:highlight w:val="none"/>
        </w:rPr>
        <w:t>有关确立</w:t>
      </w:r>
      <w:r>
        <w:rPr>
          <w:rFonts w:hint="eastAsia" w:ascii="宋体" w:hAnsi="宋体" w:cs="宋体"/>
          <w:color w:val="auto"/>
          <w:highlight w:val="none"/>
          <w:lang w:eastAsia="zh-CN"/>
        </w:rPr>
        <w:t>供应商</w:t>
      </w:r>
      <w:r>
        <w:rPr>
          <w:rFonts w:hint="eastAsia" w:ascii="宋体" w:hAnsi="宋体" w:cs="宋体"/>
          <w:color w:val="auto"/>
          <w:highlight w:val="none"/>
        </w:rPr>
        <w:t>法律地位和专业服务能力的原始文件副本复印件（如营业执照等资格证书）。（如需）</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8</w:t>
      </w:r>
      <w:r>
        <w:rPr>
          <w:rFonts w:hint="eastAsia" w:ascii="宋体" w:hAnsi="宋体" w:cs="宋体"/>
          <w:b/>
          <w:bCs/>
          <w:color w:val="auto"/>
          <w:highlight w:val="none"/>
        </w:rPr>
        <w:t>、投标保证金</w:t>
      </w:r>
    </w:p>
    <w:p>
      <w:pPr>
        <w:spacing w:line="360" w:lineRule="auto"/>
        <w:ind w:left="540" w:hanging="539" w:hangingChars="257"/>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.1招标代理机构受招标人委托代理招标人收取本项目投标保证金。所有</w:t>
      </w:r>
      <w:r>
        <w:rPr>
          <w:rFonts w:hint="eastAsia" w:ascii="宋体" w:hAnsi="宋体" w:cs="宋体"/>
          <w:color w:val="auto"/>
          <w:highlight w:val="none"/>
          <w:lang w:eastAsia="zh-CN"/>
        </w:rPr>
        <w:t>供应商</w:t>
      </w:r>
      <w:r>
        <w:rPr>
          <w:rFonts w:hint="eastAsia" w:ascii="宋体" w:hAnsi="宋体" w:cs="宋体"/>
          <w:color w:val="auto"/>
          <w:highlight w:val="none"/>
        </w:rPr>
        <w:t>必须就所投项目按规定提交投标保证金。投标保证金金额详见</w:t>
      </w:r>
      <w:r>
        <w:rPr>
          <w:rFonts w:hint="eastAsia" w:ascii="宋体" w:hAnsi="宋体" w:cs="宋体"/>
          <w:color w:val="auto"/>
          <w:highlight w:val="none"/>
          <w:lang w:eastAsia="zh-CN"/>
        </w:rPr>
        <w:t>投标人须知</w:t>
      </w:r>
      <w:r>
        <w:rPr>
          <w:rFonts w:hint="eastAsia" w:ascii="宋体" w:hAnsi="宋体" w:cs="宋体"/>
          <w:color w:val="auto"/>
          <w:highlight w:val="none"/>
        </w:rPr>
        <w:t>前附表规定。投标保证金应在投标截止时间前到达广东省机电设备招标有限公司帐户上。</w:t>
      </w:r>
    </w:p>
    <w:p>
      <w:pPr>
        <w:spacing w:line="360" w:lineRule="auto"/>
        <w:ind w:left="718" w:hanging="718" w:hangingChars="34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.2投标保证金是为了保护</w:t>
      </w:r>
      <w:r>
        <w:rPr>
          <w:rFonts w:hint="eastAsia" w:ascii="宋体" w:hAnsi="宋体" w:cs="宋体"/>
          <w:color w:val="auto"/>
          <w:highlight w:val="none"/>
          <w:lang w:eastAsia="zh-CN"/>
        </w:rPr>
        <w:t>招标人</w:t>
      </w:r>
      <w:r>
        <w:rPr>
          <w:rFonts w:hint="eastAsia" w:ascii="宋体" w:hAnsi="宋体" w:cs="宋体"/>
          <w:color w:val="auto"/>
          <w:highlight w:val="none"/>
        </w:rPr>
        <w:t>免遭因</w:t>
      </w:r>
      <w:r>
        <w:rPr>
          <w:rFonts w:hint="eastAsia" w:ascii="宋体" w:hAnsi="宋体" w:cs="宋体"/>
          <w:color w:val="auto"/>
          <w:highlight w:val="none"/>
          <w:lang w:eastAsia="zh-CN"/>
        </w:rPr>
        <w:t>供应商</w:t>
      </w:r>
      <w:r>
        <w:rPr>
          <w:rFonts w:hint="eastAsia" w:ascii="宋体" w:hAnsi="宋体" w:cs="宋体"/>
          <w:color w:val="auto"/>
          <w:highlight w:val="none"/>
        </w:rPr>
        <w:t>的行为而蒙受损失，</w:t>
      </w:r>
      <w:r>
        <w:rPr>
          <w:rFonts w:hint="eastAsia" w:ascii="宋体" w:hAnsi="宋体" w:cs="宋体"/>
          <w:color w:val="auto"/>
          <w:highlight w:val="none"/>
          <w:lang w:eastAsia="zh-CN"/>
        </w:rPr>
        <w:t>招标人</w:t>
      </w:r>
      <w:r>
        <w:rPr>
          <w:rFonts w:hint="eastAsia" w:ascii="宋体" w:hAnsi="宋体" w:cs="宋体"/>
          <w:color w:val="auto"/>
          <w:highlight w:val="none"/>
        </w:rPr>
        <w:t>在因</w:t>
      </w:r>
      <w:r>
        <w:rPr>
          <w:rFonts w:hint="eastAsia" w:ascii="宋体" w:hAnsi="宋体" w:cs="宋体"/>
          <w:color w:val="auto"/>
          <w:highlight w:val="none"/>
          <w:lang w:eastAsia="zh-CN"/>
        </w:rPr>
        <w:t>供应商</w:t>
      </w:r>
      <w:r>
        <w:rPr>
          <w:rFonts w:hint="eastAsia" w:ascii="宋体" w:hAnsi="宋体" w:cs="宋体"/>
          <w:color w:val="auto"/>
          <w:highlight w:val="none"/>
        </w:rPr>
        <w:t>的行为受到损害时可以依法没收</w:t>
      </w:r>
      <w:r>
        <w:rPr>
          <w:rFonts w:hint="eastAsia" w:ascii="宋体" w:hAnsi="宋体" w:cs="宋体"/>
          <w:color w:val="auto"/>
          <w:highlight w:val="none"/>
          <w:lang w:eastAsia="zh-CN"/>
        </w:rPr>
        <w:t>供应商</w:t>
      </w:r>
      <w:r>
        <w:rPr>
          <w:rFonts w:hint="eastAsia" w:ascii="宋体" w:hAnsi="宋体" w:cs="宋体"/>
          <w:color w:val="auto"/>
          <w:highlight w:val="none"/>
        </w:rPr>
        <w:t>的投标保证金。</w:t>
      </w:r>
    </w:p>
    <w:p>
      <w:pPr>
        <w:spacing w:line="360" w:lineRule="auto"/>
        <w:ind w:left="525" w:hanging="525" w:hangingChars="250"/>
        <w:rPr>
          <w:rFonts w:hint="eastAsia" w:ascii="宋体" w:hAnsi="宋体" w:cs="宋体"/>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8</w:t>
      </w:r>
      <w:r>
        <w:rPr>
          <w:rFonts w:hint="eastAsia" w:ascii="宋体" w:hAnsi="宋体" w:cs="宋体"/>
          <w:bCs/>
          <w:color w:val="auto"/>
          <w:highlight w:val="none"/>
        </w:rPr>
        <w:t>.3投</w:t>
      </w:r>
      <w:r>
        <w:rPr>
          <w:rFonts w:hint="eastAsia" w:ascii="宋体" w:hAnsi="宋体" w:cs="宋体"/>
          <w:color w:val="auto"/>
          <w:highlight w:val="none"/>
        </w:rPr>
        <w:t>标保证金投标保证金缴纳方式：子账号方式缴纳。</w:t>
      </w:r>
      <w:r>
        <w:rPr>
          <w:rFonts w:hint="eastAsia" w:ascii="宋体" w:hAnsi="宋体" w:cs="宋体"/>
          <w:color w:val="auto"/>
          <w:highlight w:val="none"/>
          <w:lang w:eastAsia="zh-CN"/>
        </w:rPr>
        <w:t>供应商</w:t>
      </w:r>
      <w:r>
        <w:rPr>
          <w:rFonts w:hint="eastAsia" w:ascii="宋体" w:hAnsi="宋体" w:cs="宋体"/>
          <w:color w:val="auto"/>
          <w:highlight w:val="none"/>
        </w:rPr>
        <w:t>网上登记成功后，应登录广东省机电设备招标有限公司广咨电子招投标交易平台网站（http://www.gzebid.cn）并选择对应项目获取缴纳投标保证金的子账号（每位</w:t>
      </w:r>
      <w:r>
        <w:rPr>
          <w:rFonts w:hint="eastAsia" w:ascii="宋体" w:hAnsi="宋体" w:cs="宋体"/>
          <w:bCs/>
          <w:color w:val="auto"/>
          <w:highlight w:val="none"/>
          <w:lang w:eastAsia="zh-CN"/>
        </w:rPr>
        <w:t>供应商</w:t>
      </w:r>
      <w:r>
        <w:rPr>
          <w:rFonts w:hint="eastAsia" w:ascii="宋体" w:hAnsi="宋体" w:cs="宋体"/>
          <w:color w:val="auto"/>
          <w:highlight w:val="none"/>
        </w:rPr>
        <w:t>每个项目的保证金缴纳账户是唯一的，该账号是针对每位</w:t>
      </w:r>
      <w:r>
        <w:rPr>
          <w:rFonts w:hint="eastAsia" w:ascii="宋体" w:hAnsi="宋体" w:cs="宋体"/>
          <w:bCs/>
          <w:color w:val="auto"/>
          <w:highlight w:val="none"/>
          <w:lang w:eastAsia="zh-CN"/>
        </w:rPr>
        <w:t>供应商</w:t>
      </w:r>
      <w:r>
        <w:rPr>
          <w:rFonts w:hint="eastAsia" w:ascii="宋体" w:hAnsi="宋体" w:cs="宋体"/>
          <w:color w:val="auto"/>
          <w:highlight w:val="none"/>
        </w:rPr>
        <w:t>随机生成的专属账号）。</w:t>
      </w:r>
    </w:p>
    <w:p>
      <w:pPr>
        <w:spacing w:line="360" w:lineRule="auto"/>
        <w:ind w:firstLine="617" w:firstLineChars="294"/>
        <w:rPr>
          <w:rFonts w:hint="eastAsia" w:ascii="宋体" w:hAnsi="宋体" w:cs="宋体"/>
          <w:color w:val="auto"/>
          <w:highlight w:val="none"/>
        </w:rPr>
      </w:pPr>
      <w:r>
        <w:rPr>
          <w:rFonts w:hint="eastAsia" w:ascii="宋体" w:hAnsi="宋体" w:cs="宋体"/>
          <w:color w:val="auto"/>
          <w:highlight w:val="none"/>
        </w:rPr>
        <w:t>①投标保证金应从</w:t>
      </w:r>
      <w:r>
        <w:rPr>
          <w:rFonts w:hint="eastAsia" w:ascii="宋体" w:hAnsi="宋体" w:cs="宋体"/>
          <w:color w:val="auto"/>
          <w:highlight w:val="none"/>
          <w:lang w:eastAsia="zh-CN"/>
        </w:rPr>
        <w:t>供应商</w:t>
      </w:r>
      <w:r>
        <w:rPr>
          <w:rFonts w:hint="eastAsia" w:ascii="宋体" w:hAnsi="宋体" w:cs="宋体"/>
          <w:color w:val="auto"/>
          <w:highlight w:val="none"/>
        </w:rPr>
        <w:t>的账号支付，并以资金到达该子账号的时间为准，如从其他账户、或未缴纳到指定的子账号，视为无效投标保证金。</w:t>
      </w:r>
    </w:p>
    <w:p>
      <w:pPr>
        <w:spacing w:line="360" w:lineRule="auto"/>
        <w:ind w:firstLine="617" w:firstLineChars="294"/>
        <w:rPr>
          <w:rFonts w:hint="eastAsia" w:ascii="宋体" w:hAnsi="宋体" w:cs="宋体"/>
          <w:color w:val="auto"/>
          <w:highlight w:val="none"/>
        </w:rPr>
      </w:pPr>
      <w:r>
        <w:rPr>
          <w:rFonts w:hint="eastAsia" w:ascii="宋体" w:hAnsi="宋体" w:cs="宋体"/>
          <w:color w:val="auto"/>
          <w:highlight w:val="none"/>
        </w:rPr>
        <w:t>②</w:t>
      </w:r>
      <w:r>
        <w:rPr>
          <w:rFonts w:hint="eastAsia" w:ascii="宋体" w:hAnsi="宋体" w:cs="宋体"/>
          <w:color w:val="auto"/>
          <w:highlight w:val="none"/>
          <w:lang w:eastAsia="zh-CN"/>
        </w:rPr>
        <w:t>供应商</w:t>
      </w:r>
      <w:r>
        <w:rPr>
          <w:rFonts w:hint="eastAsia" w:ascii="宋体" w:hAnsi="宋体" w:cs="宋体"/>
          <w:color w:val="auto"/>
          <w:highlight w:val="none"/>
        </w:rPr>
        <w:t>严禁采用EFT系统(广东金融结算系统/广州银行)方式缴纳投标保证，如采用此方式导致招投标系统无法识别缴纳账号信息的，视为未按要求缴纳保证金，由此造成后果由</w:t>
      </w:r>
      <w:r>
        <w:rPr>
          <w:rFonts w:hint="eastAsia" w:ascii="宋体" w:hAnsi="宋体" w:cs="宋体"/>
          <w:color w:val="auto"/>
          <w:highlight w:val="none"/>
          <w:lang w:eastAsia="zh-CN"/>
        </w:rPr>
        <w:t>供应商</w:t>
      </w:r>
      <w:r>
        <w:rPr>
          <w:rFonts w:hint="eastAsia" w:ascii="宋体" w:hAnsi="宋体" w:cs="宋体"/>
          <w:color w:val="auto"/>
          <w:highlight w:val="none"/>
        </w:rPr>
        <w:t>自行承担责任。</w:t>
      </w:r>
    </w:p>
    <w:p>
      <w:pPr>
        <w:spacing w:line="360" w:lineRule="auto"/>
        <w:ind w:firstLine="617" w:firstLineChars="294"/>
        <w:rPr>
          <w:rFonts w:hint="eastAsia" w:ascii="宋体" w:hAnsi="宋体" w:cs="宋体"/>
          <w:b/>
          <w:bCs/>
          <w:color w:val="auto"/>
          <w:highlight w:val="none"/>
        </w:rPr>
      </w:pPr>
      <w:r>
        <w:rPr>
          <w:rFonts w:hint="eastAsia" w:ascii="宋体" w:hAnsi="宋体" w:cs="宋体"/>
          <w:color w:val="auto"/>
          <w:highlight w:val="none"/>
        </w:rPr>
        <w:t>③根据银行跨行转账时间惯例，一般需要2个工作日到帐，部分银行需要3至5个工作日到账。为确保投标保证金有效，请</w:t>
      </w:r>
      <w:r>
        <w:rPr>
          <w:rFonts w:hint="eastAsia" w:ascii="宋体" w:hAnsi="宋体" w:cs="宋体"/>
          <w:color w:val="auto"/>
          <w:highlight w:val="none"/>
          <w:lang w:eastAsia="zh-CN"/>
        </w:rPr>
        <w:t>供应商</w:t>
      </w:r>
      <w:r>
        <w:rPr>
          <w:rFonts w:hint="eastAsia" w:ascii="宋体" w:hAnsi="宋体" w:cs="宋体"/>
          <w:color w:val="auto"/>
          <w:highlight w:val="none"/>
        </w:rPr>
        <w:t>预留足够的时间提前转账，以免影响投标。</w:t>
      </w:r>
    </w:p>
    <w:p>
      <w:pPr>
        <w:spacing w:line="360" w:lineRule="auto"/>
        <w:ind w:left="359" w:hanging="359" w:hangingChars="171"/>
        <w:jc w:val="lef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.4凡没有根据投标人须知的规定提交投标保证金的投标，将按投标人须知的规定视为非响应性投标予以拒绝。</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.5未中标的</w:t>
      </w:r>
      <w:r>
        <w:rPr>
          <w:rFonts w:hint="eastAsia" w:ascii="宋体" w:hAnsi="宋体" w:cs="宋体"/>
          <w:color w:val="auto"/>
          <w:highlight w:val="none"/>
          <w:lang w:eastAsia="zh-CN"/>
        </w:rPr>
        <w:t>供应商</w:t>
      </w:r>
      <w:r>
        <w:rPr>
          <w:rFonts w:hint="eastAsia" w:ascii="宋体" w:hAnsi="宋体" w:cs="宋体"/>
          <w:color w:val="auto"/>
          <w:highlight w:val="none"/>
        </w:rPr>
        <w:t>的保证金，将按投标人须知发出中标结果通知之日起5个工作日内由收款人原额退还</w:t>
      </w:r>
      <w:r>
        <w:rPr>
          <w:rFonts w:hint="eastAsia" w:ascii="宋体" w:hAnsi="宋体" w:cs="宋体"/>
          <w:b/>
          <w:bCs/>
          <w:color w:val="auto"/>
          <w:highlight w:val="none"/>
        </w:rPr>
        <w:t>（保证金不计利息）</w:t>
      </w:r>
      <w:r>
        <w:rPr>
          <w:rFonts w:hint="eastAsia" w:ascii="宋体" w:hAnsi="宋体" w:cs="宋体"/>
          <w:color w:val="auto"/>
          <w:highlight w:val="none"/>
        </w:rPr>
        <w:t>。为了便于投标保证金顺利退还，所有</w:t>
      </w:r>
      <w:r>
        <w:rPr>
          <w:rFonts w:hint="eastAsia" w:ascii="宋体" w:hAnsi="宋体" w:cs="宋体"/>
          <w:color w:val="auto"/>
          <w:highlight w:val="none"/>
          <w:lang w:eastAsia="zh-CN"/>
        </w:rPr>
        <w:t>供应商</w:t>
      </w:r>
      <w:r>
        <w:rPr>
          <w:rFonts w:hint="eastAsia" w:ascii="宋体" w:hAnsi="宋体" w:cs="宋体"/>
          <w:color w:val="auto"/>
          <w:highlight w:val="none"/>
        </w:rPr>
        <w:t>务必详细填写好投标保证金退还说明并在</w:t>
      </w:r>
      <w:r>
        <w:rPr>
          <w:rFonts w:hint="eastAsia" w:ascii="宋体" w:hAnsi="宋体" w:cs="宋体"/>
          <w:color w:val="auto"/>
          <w:highlight w:val="none"/>
          <w:lang w:eastAsia="zh-CN"/>
        </w:rPr>
        <w:t>投标截止</w:t>
      </w:r>
      <w:r>
        <w:rPr>
          <w:rFonts w:hint="eastAsia" w:ascii="宋体" w:hAnsi="宋体" w:cs="宋体"/>
          <w:color w:val="auto"/>
          <w:highlight w:val="none"/>
        </w:rPr>
        <w:t>时与标书一起递交。</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.6</w:t>
      </w:r>
      <w:r>
        <w:rPr>
          <w:rFonts w:hint="eastAsia" w:ascii="宋体" w:hAnsi="宋体" w:cs="宋体"/>
          <w:color w:val="auto"/>
          <w:highlight w:val="none"/>
          <w:lang w:val="en-US" w:eastAsia="zh-CN"/>
        </w:rPr>
        <w:t>中标人</w:t>
      </w:r>
      <w:r>
        <w:rPr>
          <w:rFonts w:hint="eastAsia" w:ascii="宋体" w:hAnsi="宋体" w:cs="宋体"/>
          <w:color w:val="auto"/>
          <w:highlight w:val="none"/>
        </w:rPr>
        <w:t>的投标保证金的退还必须同时满足以下要求：</w:t>
      </w:r>
    </w:p>
    <w:p>
      <w:pPr>
        <w:spacing w:line="360" w:lineRule="auto"/>
        <w:ind w:left="720"/>
        <w:rPr>
          <w:rFonts w:hint="eastAsia" w:ascii="宋体" w:hAnsi="宋体" w:cs="宋体"/>
          <w:color w:val="auto"/>
          <w:szCs w:val="22"/>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中标</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按投标人须知规定签订合同；</w:t>
      </w:r>
    </w:p>
    <w:p>
      <w:pPr>
        <w:spacing w:line="360" w:lineRule="auto"/>
        <w:ind w:left="7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中标</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按投标人须知规定支付招标代理服务费。如果</w:t>
      </w:r>
      <w:r>
        <w:rPr>
          <w:rFonts w:hint="eastAsia" w:ascii="宋体" w:hAnsi="宋体" w:cs="宋体"/>
          <w:color w:val="auto"/>
          <w:highlight w:val="none"/>
          <w:lang w:val="en-US" w:eastAsia="zh-CN"/>
        </w:rPr>
        <w:t>中标</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拒绝支付规定的招标代理服务费，</w:t>
      </w:r>
      <w:r>
        <w:rPr>
          <w:rFonts w:hint="eastAsia" w:ascii="宋体" w:hAnsi="宋体" w:cs="宋体"/>
          <w:color w:val="auto"/>
          <w:szCs w:val="22"/>
          <w:highlight w:val="none"/>
          <w:lang w:eastAsia="zh-CN"/>
        </w:rPr>
        <w:t>招标人</w:t>
      </w:r>
      <w:r>
        <w:rPr>
          <w:rFonts w:hint="eastAsia" w:ascii="宋体" w:hAnsi="宋体" w:cs="宋体"/>
          <w:color w:val="auto"/>
          <w:szCs w:val="22"/>
          <w:highlight w:val="none"/>
        </w:rPr>
        <w:t>有</w:t>
      </w:r>
      <w:r>
        <w:rPr>
          <w:rFonts w:hint="eastAsia" w:ascii="宋体" w:hAnsi="宋体" w:cs="宋体"/>
          <w:color w:val="auto"/>
          <w:highlight w:val="none"/>
        </w:rPr>
        <w:t>权在</w:t>
      </w:r>
      <w:r>
        <w:rPr>
          <w:rFonts w:hint="eastAsia" w:ascii="宋体" w:hAnsi="宋体" w:cs="宋体"/>
          <w:color w:val="auto"/>
          <w:highlight w:val="none"/>
          <w:lang w:eastAsia="zh-CN"/>
        </w:rPr>
        <w:t>供应商</w:t>
      </w:r>
      <w:r>
        <w:rPr>
          <w:rFonts w:hint="eastAsia" w:ascii="宋体" w:hAnsi="宋体" w:cs="宋体"/>
          <w:color w:val="auto"/>
          <w:highlight w:val="none"/>
        </w:rPr>
        <w:t>所交的投标保证金中扣除相应费用。</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.7下列任何一种情况发生时，投标保证金将被没收：</w:t>
      </w:r>
    </w:p>
    <w:p>
      <w:pPr>
        <w:spacing w:line="360" w:lineRule="auto"/>
        <w:ind w:left="720"/>
        <w:rPr>
          <w:rFonts w:hint="eastAsia" w:ascii="宋体" w:hAnsi="宋体" w:cs="宋体"/>
          <w:color w:val="auto"/>
          <w:szCs w:val="22"/>
          <w:highlight w:val="none"/>
        </w:rPr>
      </w:pPr>
      <w:r>
        <w:rPr>
          <w:rFonts w:hint="eastAsia" w:ascii="宋体" w:hAnsi="宋体" w:cs="宋体"/>
          <w:color w:val="auto"/>
          <w:szCs w:val="22"/>
          <w:highlight w:val="none"/>
        </w:rPr>
        <w:t>（1）</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在投标文件中规定的投标有效期内撤回其投标；</w:t>
      </w:r>
    </w:p>
    <w:p>
      <w:pPr>
        <w:spacing w:line="360" w:lineRule="auto"/>
        <w:ind w:left="720"/>
        <w:rPr>
          <w:rFonts w:hint="eastAsia" w:ascii="宋体" w:hAnsi="宋体" w:cs="宋体"/>
          <w:color w:val="auto"/>
          <w:szCs w:val="22"/>
          <w:highlight w:val="none"/>
        </w:rPr>
      </w:pPr>
      <w:r>
        <w:rPr>
          <w:rFonts w:hint="eastAsia" w:ascii="宋体" w:hAnsi="宋体" w:cs="宋体"/>
          <w:color w:val="auto"/>
          <w:szCs w:val="22"/>
          <w:highlight w:val="none"/>
        </w:rPr>
        <w:t>（2）</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在规定期限内未能根据</w:t>
      </w:r>
      <w:r>
        <w:rPr>
          <w:rFonts w:hint="eastAsia" w:ascii="宋体" w:hAnsi="宋体" w:cs="宋体"/>
          <w:color w:val="auto"/>
          <w:szCs w:val="22"/>
          <w:highlight w:val="none"/>
          <w:lang w:eastAsia="zh-CN"/>
        </w:rPr>
        <w:t>投标人须知</w:t>
      </w:r>
      <w:r>
        <w:rPr>
          <w:rFonts w:hint="eastAsia" w:ascii="宋体" w:hAnsi="宋体" w:cs="宋体"/>
          <w:color w:val="auto"/>
          <w:szCs w:val="22"/>
          <w:highlight w:val="none"/>
        </w:rPr>
        <w:t>规定签订合同；或未能根据</w:t>
      </w:r>
      <w:r>
        <w:rPr>
          <w:rFonts w:hint="eastAsia" w:ascii="宋体" w:hAnsi="宋体" w:cs="宋体"/>
          <w:color w:val="auto"/>
          <w:szCs w:val="22"/>
          <w:highlight w:val="none"/>
          <w:lang w:eastAsia="zh-CN"/>
        </w:rPr>
        <w:t>投标人须知</w:t>
      </w:r>
      <w:r>
        <w:rPr>
          <w:rFonts w:hint="eastAsia" w:ascii="宋体" w:hAnsi="宋体" w:cs="宋体"/>
          <w:color w:val="auto"/>
          <w:szCs w:val="22"/>
          <w:highlight w:val="none"/>
        </w:rPr>
        <w:t>规定接受对错误的修正；</w:t>
      </w:r>
    </w:p>
    <w:p>
      <w:pPr>
        <w:spacing w:line="360" w:lineRule="auto"/>
        <w:ind w:left="720"/>
        <w:rPr>
          <w:rFonts w:hint="eastAsia" w:ascii="宋体" w:hAnsi="宋体" w:cs="宋体"/>
          <w:color w:val="auto"/>
          <w:highlight w:val="none"/>
        </w:rPr>
      </w:pPr>
      <w:r>
        <w:rPr>
          <w:rFonts w:hint="eastAsia" w:ascii="宋体" w:hAnsi="宋体" w:cs="宋体"/>
          <w:color w:val="auto"/>
          <w:szCs w:val="22"/>
          <w:highlight w:val="none"/>
        </w:rPr>
        <w:t>（3）</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在</w:t>
      </w:r>
      <w:r>
        <w:rPr>
          <w:rFonts w:hint="eastAsia" w:ascii="宋体" w:hAnsi="宋体" w:cs="宋体"/>
          <w:color w:val="auto"/>
          <w:highlight w:val="none"/>
        </w:rPr>
        <w:t>投标过程中提供虚假材料。</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19</w:t>
      </w:r>
      <w:r>
        <w:rPr>
          <w:rFonts w:hint="eastAsia" w:ascii="宋体" w:hAnsi="宋体" w:cs="宋体"/>
          <w:b/>
          <w:bCs/>
          <w:color w:val="auto"/>
          <w:highlight w:val="none"/>
        </w:rPr>
        <w:t>、投标有效期</w:t>
      </w:r>
    </w:p>
    <w:p>
      <w:pPr>
        <w:spacing w:line="360" w:lineRule="auto"/>
        <w:ind w:left="630" w:hanging="630" w:hangingChars="300"/>
        <w:rPr>
          <w:rFonts w:hint="eastAsia"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.1投标文件应根据投标人须知的规定保持有效，比规定期限短的将视为非响应投标而予以拒绝。</w:t>
      </w:r>
    </w:p>
    <w:p>
      <w:pPr>
        <w:spacing w:line="360" w:lineRule="auto"/>
        <w:ind w:left="424" w:hanging="424" w:hangingChars="202"/>
        <w:rPr>
          <w:rFonts w:hint="eastAsia"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.2特殊情况下在原有投标有效期截止之前，</w:t>
      </w:r>
      <w:r>
        <w:rPr>
          <w:rFonts w:hint="eastAsia" w:ascii="宋体" w:hAnsi="宋体" w:cs="宋体"/>
          <w:color w:val="auto"/>
          <w:highlight w:val="none"/>
          <w:lang w:eastAsia="zh-CN"/>
        </w:rPr>
        <w:t>招标人</w:t>
      </w:r>
      <w:r>
        <w:rPr>
          <w:rFonts w:hint="eastAsia" w:ascii="宋体" w:hAnsi="宋体" w:cs="宋体"/>
          <w:color w:val="auto"/>
          <w:highlight w:val="none"/>
        </w:rPr>
        <w:t>可征求</w:t>
      </w:r>
      <w:r>
        <w:rPr>
          <w:rFonts w:hint="eastAsia" w:ascii="宋体" w:hAnsi="宋体" w:cs="宋体"/>
          <w:color w:val="auto"/>
          <w:highlight w:val="none"/>
          <w:lang w:eastAsia="zh-CN"/>
        </w:rPr>
        <w:t>供应商</w:t>
      </w:r>
      <w:r>
        <w:rPr>
          <w:rFonts w:hint="eastAsia" w:ascii="宋体" w:hAnsi="宋体" w:cs="宋体"/>
          <w:color w:val="auto"/>
          <w:highlight w:val="none"/>
        </w:rPr>
        <w:t>同意延长投标有效期。这种要求与答复均为书面形式提交。</w:t>
      </w:r>
      <w:r>
        <w:rPr>
          <w:rFonts w:hint="eastAsia" w:ascii="宋体" w:hAnsi="宋体" w:cs="宋体"/>
          <w:color w:val="auto"/>
          <w:highlight w:val="none"/>
          <w:lang w:eastAsia="zh-CN"/>
        </w:rPr>
        <w:t>供应商</w:t>
      </w:r>
      <w:r>
        <w:rPr>
          <w:rFonts w:hint="eastAsia" w:ascii="宋体" w:hAnsi="宋体" w:cs="宋体"/>
          <w:color w:val="auto"/>
          <w:highlight w:val="none"/>
        </w:rPr>
        <w:t>可以拒绝</w:t>
      </w:r>
      <w:r>
        <w:rPr>
          <w:rFonts w:hint="eastAsia" w:ascii="宋体" w:hAnsi="宋体" w:cs="宋体"/>
          <w:color w:val="auto"/>
          <w:highlight w:val="none"/>
          <w:lang w:eastAsia="zh-CN"/>
        </w:rPr>
        <w:t>招标人</w:t>
      </w:r>
      <w:r>
        <w:rPr>
          <w:rFonts w:hint="eastAsia" w:ascii="宋体" w:hAnsi="宋体" w:cs="宋体"/>
          <w:color w:val="auto"/>
          <w:highlight w:val="none"/>
        </w:rPr>
        <w:t>的这种要求，其投标保证金将不会被没收。接受投标的有效期延长的</w:t>
      </w:r>
      <w:r>
        <w:rPr>
          <w:rFonts w:hint="eastAsia" w:ascii="宋体" w:hAnsi="宋体" w:cs="宋体"/>
          <w:color w:val="auto"/>
          <w:highlight w:val="none"/>
          <w:lang w:eastAsia="zh-CN"/>
        </w:rPr>
        <w:t>供应商</w:t>
      </w:r>
      <w:r>
        <w:rPr>
          <w:rFonts w:hint="eastAsia" w:ascii="宋体" w:hAnsi="宋体" w:cs="宋体"/>
          <w:color w:val="auto"/>
          <w:highlight w:val="none"/>
        </w:rPr>
        <w:t>将不会被要求和允许修正其投标文件，而只会要求其相应地延长其投标保证金的有效期。在这种情况下，本须知有关投标保证金的退还和没收的规定将在延长了的有效期内继续有效。</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0</w:t>
      </w:r>
      <w:r>
        <w:rPr>
          <w:rFonts w:hint="eastAsia" w:ascii="宋体" w:hAnsi="宋体" w:cs="宋体"/>
          <w:b/>
          <w:bCs/>
          <w:color w:val="auto"/>
          <w:highlight w:val="none"/>
        </w:rPr>
        <w:t>、投标文件的样式和签署</w:t>
      </w:r>
    </w:p>
    <w:p>
      <w:pPr>
        <w:spacing w:line="360" w:lineRule="auto"/>
        <w:ind w:left="357" w:leftChars="8" w:hanging="340" w:hangingChars="162"/>
        <w:rPr>
          <w:rFonts w:hint="eastAsia" w:ascii="宋体" w:hAnsi="宋体" w:cs="宋体"/>
          <w:color w:val="auto"/>
          <w:highlight w:val="none"/>
        </w:rPr>
      </w:pPr>
      <w:bookmarkStart w:id="57" w:name="_Toc409173106"/>
      <w:bookmarkStart w:id="58" w:name="_Toc409173220"/>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.1投标文件应按第五章要求</w:t>
      </w:r>
      <w:bookmarkEnd w:id="57"/>
      <w:bookmarkEnd w:id="58"/>
      <w:r>
        <w:rPr>
          <w:rFonts w:hint="eastAsia" w:ascii="宋体" w:hAnsi="宋体" w:cs="宋体"/>
          <w:color w:val="auto"/>
          <w:highlight w:val="none"/>
        </w:rPr>
        <w:t>编制</w:t>
      </w:r>
      <w:r>
        <w:rPr>
          <w:rFonts w:hint="eastAsia" w:ascii="宋体" w:hAnsi="宋体" w:cs="宋体"/>
          <w:color w:val="auto"/>
          <w:highlight w:val="none"/>
          <w:lang w:val="en-US" w:eastAsia="zh-CN"/>
        </w:rPr>
        <w:t>对应子包的投标文件</w:t>
      </w:r>
      <w:r>
        <w:rPr>
          <w:rFonts w:hint="eastAsia" w:ascii="宋体" w:hAnsi="宋体" w:cs="宋体"/>
          <w:color w:val="auto"/>
          <w:highlight w:val="none"/>
        </w:rPr>
        <w:t>。</w:t>
      </w:r>
    </w:p>
    <w:p>
      <w:pPr>
        <w:spacing w:line="360" w:lineRule="auto"/>
        <w:ind w:left="462" w:leftChars="8" w:hanging="445" w:hangingChars="212"/>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.2</w:t>
      </w:r>
      <w:r>
        <w:rPr>
          <w:rFonts w:hint="eastAsia" w:ascii="宋体" w:hAnsi="宋体" w:cs="宋体"/>
          <w:highlight w:val="none"/>
          <w:lang w:eastAsia="zh-CN"/>
        </w:rPr>
        <w:t>供应商</w:t>
      </w:r>
      <w:r>
        <w:rPr>
          <w:rFonts w:hint="eastAsia" w:ascii="宋体" w:hAnsi="宋体" w:cs="宋体"/>
          <w:highlight w:val="none"/>
        </w:rPr>
        <w:t>应准备纸质投标文件1份（正本），2份（副本），1份（投标文件电子文档）。每份投标文件清楚标明“正本”或“副本”，如果“正本”与“副本”或“投标系统上传的电子投标文件”不符，以“投标系统上传的电子投标文件”为准。</w:t>
      </w:r>
    </w:p>
    <w:p>
      <w:pPr>
        <w:spacing w:line="360" w:lineRule="auto"/>
        <w:ind w:left="437" w:leftChars="208"/>
        <w:rPr>
          <w:rFonts w:hint="eastAsia" w:ascii="宋体" w:hAnsi="宋体" w:cs="宋体"/>
          <w:b/>
          <w:bCs/>
          <w:color w:val="auto"/>
          <w:highlight w:val="none"/>
        </w:rPr>
      </w:pPr>
      <w:r>
        <w:rPr>
          <w:rFonts w:hint="eastAsia" w:ascii="宋体" w:hAnsi="宋体" w:cs="宋体"/>
          <w:b/>
          <w:bCs/>
          <w:color w:val="auto"/>
          <w:highlight w:val="none"/>
        </w:rPr>
        <w:t>电子文件的内容</w:t>
      </w:r>
      <w:r>
        <w:rPr>
          <w:rFonts w:hint="eastAsia" w:ascii="宋体" w:hAnsi="宋体" w:cs="宋体"/>
          <w:b/>
          <w:bCs/>
          <w:color w:val="auto"/>
          <w:szCs w:val="21"/>
          <w:highlight w:val="none"/>
        </w:rPr>
        <w:t>为投标文件可</w:t>
      </w:r>
      <w:r>
        <w:rPr>
          <w:rFonts w:hint="eastAsia" w:ascii="宋体" w:hAnsi="宋体" w:cs="宋体"/>
          <w:b/>
          <w:bCs/>
          <w:color w:val="auto"/>
          <w:szCs w:val="21"/>
          <w:highlight w:val="none"/>
          <w:lang w:val="zh-CN"/>
        </w:rPr>
        <w:t>编辑电子版</w:t>
      </w:r>
      <w:r>
        <w:rPr>
          <w:rFonts w:hint="eastAsia" w:ascii="宋体" w:hAnsi="宋体" w:cs="宋体"/>
          <w:b/>
          <w:bCs/>
          <w:color w:val="auto"/>
          <w:szCs w:val="21"/>
          <w:highlight w:val="none"/>
        </w:rPr>
        <w:t>及正本盖章签字PDF扫描件</w:t>
      </w:r>
      <w:r>
        <w:rPr>
          <w:rFonts w:hint="eastAsia" w:ascii="宋体" w:hAnsi="宋体" w:cs="宋体"/>
          <w:b/>
          <w:bCs/>
          <w:color w:val="auto"/>
          <w:highlight w:val="none"/>
        </w:rPr>
        <w:t>保存至usb闪存盘介质。</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文件“正本”是属于</w:t>
      </w:r>
      <w:r>
        <w:rPr>
          <w:rFonts w:hint="eastAsia" w:ascii="宋体" w:hAnsi="宋体" w:cs="宋体"/>
          <w:color w:val="auto"/>
          <w:highlight w:val="none"/>
          <w:lang w:eastAsia="zh-CN"/>
        </w:rPr>
        <w:t>供应商</w:t>
      </w:r>
      <w:r>
        <w:rPr>
          <w:rFonts w:hint="eastAsia" w:ascii="宋体" w:hAnsi="宋体" w:cs="宋体"/>
          <w:color w:val="auto"/>
          <w:highlight w:val="none"/>
        </w:rPr>
        <w:t>自己制作的，均需用不褪色墨水书写或打印。</w:t>
      </w:r>
    </w:p>
    <w:p>
      <w:pPr>
        <w:spacing w:line="360" w:lineRule="auto"/>
        <w:ind w:left="462" w:hanging="462" w:hangingChars="2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.4投标文件的任何行间插字、涂改和增删，必须由投标文件的签字人用姓氏或首字母在旁边签字并加盖修改章或法人公章才有效。</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.5投标文件（副本），所有资料都有可以用投标文件的（正本）复印而成。</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.6投标文件的正本及所有副本的封面均须由</w:t>
      </w:r>
      <w:r>
        <w:rPr>
          <w:rFonts w:hint="eastAsia" w:ascii="宋体" w:hAnsi="宋体" w:cs="宋体"/>
          <w:color w:val="auto"/>
          <w:highlight w:val="none"/>
          <w:lang w:eastAsia="zh-CN"/>
        </w:rPr>
        <w:t>供应商</w:t>
      </w:r>
      <w:r>
        <w:rPr>
          <w:rFonts w:hint="eastAsia" w:ascii="宋体" w:hAnsi="宋体" w:cs="宋体"/>
          <w:color w:val="auto"/>
          <w:highlight w:val="none"/>
        </w:rPr>
        <w:t>加盖公章。</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.7</w:t>
      </w:r>
      <w:r>
        <w:rPr>
          <w:rFonts w:hint="eastAsia" w:ascii="宋体" w:hAnsi="宋体" w:cs="宋体"/>
          <w:color w:val="auto"/>
          <w:highlight w:val="none"/>
          <w:lang w:eastAsia="zh-CN"/>
        </w:rPr>
        <w:t>供应商</w:t>
      </w:r>
      <w:r>
        <w:rPr>
          <w:rFonts w:hint="eastAsia" w:ascii="宋体" w:hAnsi="宋体" w:cs="宋体"/>
          <w:color w:val="auto"/>
          <w:highlight w:val="none"/>
        </w:rPr>
        <w:t>须为其投标文件的正本及所有副本</w:t>
      </w:r>
      <w:r>
        <w:rPr>
          <w:rFonts w:hint="eastAsia" w:ascii="宋体" w:hAnsi="宋体" w:cs="宋体"/>
          <w:b/>
          <w:bCs/>
          <w:color w:val="auto"/>
          <w:highlight w:val="none"/>
          <w:u w:val="single"/>
        </w:rPr>
        <w:t>制作目录并标明页码</w:t>
      </w:r>
      <w:r>
        <w:rPr>
          <w:rFonts w:hint="eastAsia" w:ascii="宋体" w:hAnsi="宋体" w:cs="宋体"/>
          <w:color w:val="auto"/>
          <w:highlight w:val="none"/>
        </w:rPr>
        <w:t>。</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.8电报、电话、电传、传真的投标文件将被拒绝。</w:t>
      </w:r>
    </w:p>
    <w:p>
      <w:pPr>
        <w:pStyle w:val="6"/>
        <w:numPr>
          <w:ilvl w:val="0"/>
          <w:numId w:val="0"/>
        </w:numPr>
        <w:jc w:val="center"/>
        <w:rPr>
          <w:rFonts w:hint="eastAsia" w:hAnsi="宋体" w:cs="宋体"/>
          <w:color w:val="auto"/>
          <w:highlight w:val="none"/>
        </w:rPr>
      </w:pPr>
      <w:bookmarkStart w:id="59" w:name="_Toc513818904"/>
      <w:bookmarkStart w:id="60" w:name="_Toc409173221"/>
      <w:bookmarkStart w:id="61" w:name="_Toc409173107"/>
      <w:r>
        <w:rPr>
          <w:rFonts w:hint="eastAsia" w:hAnsi="宋体" w:cs="宋体"/>
          <w:color w:val="auto"/>
          <w:highlight w:val="none"/>
        </w:rPr>
        <w:t>四、投标文件的递交</w:t>
      </w:r>
      <w:bookmarkEnd w:id="59"/>
      <w:bookmarkEnd w:id="60"/>
      <w:bookmarkEnd w:id="61"/>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1</w:t>
      </w:r>
      <w:r>
        <w:rPr>
          <w:rFonts w:hint="eastAsia" w:ascii="宋体" w:hAnsi="宋体" w:cs="宋体"/>
          <w:b/>
          <w:bCs/>
          <w:color w:val="auto"/>
          <w:highlight w:val="none"/>
        </w:rPr>
        <w:t>、投标文件的密封和标记</w:t>
      </w:r>
    </w:p>
    <w:p>
      <w:pPr>
        <w:tabs>
          <w:tab w:val="left" w:pos="360"/>
          <w:tab w:val="left" w:pos="540"/>
          <w:tab w:val="left" w:pos="900"/>
          <w:tab w:val="left" w:pos="1680"/>
        </w:tabs>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 xml:space="preserve">.1  </w:t>
      </w:r>
      <w:r>
        <w:rPr>
          <w:rFonts w:hint="eastAsia" w:ascii="宋体" w:hAnsi="宋体" w:cs="宋体"/>
          <w:b/>
          <w:color w:val="auto"/>
          <w:highlight w:val="none"/>
          <w:u w:val="single"/>
        </w:rPr>
        <w:t>投标文件的包封要求；</w:t>
      </w:r>
      <w:r>
        <w:rPr>
          <w:rFonts w:hint="eastAsia" w:ascii="宋体" w:hAnsi="宋体" w:cs="宋体"/>
          <w:b/>
          <w:color w:val="auto"/>
          <w:highlight w:val="none"/>
          <w:u w:val="single"/>
          <w:lang w:eastAsia="zh-CN"/>
        </w:rPr>
        <w:t>供应商</w:t>
      </w:r>
      <w:r>
        <w:rPr>
          <w:rFonts w:hint="eastAsia" w:ascii="宋体" w:hAnsi="宋体" w:cs="宋体"/>
          <w:b/>
          <w:color w:val="auto"/>
          <w:highlight w:val="none"/>
          <w:u w:val="single"/>
        </w:rPr>
        <w:t>最好按以下规定分别独立包封投标文件，独自分开的封包数共为3包:</w:t>
      </w:r>
    </w:p>
    <w:p>
      <w:pPr>
        <w:tabs>
          <w:tab w:val="left" w:pos="360"/>
          <w:tab w:val="left" w:pos="540"/>
          <w:tab w:val="left" w:pos="900"/>
        </w:tabs>
        <w:spacing w:line="360" w:lineRule="auto"/>
        <w:ind w:left="420"/>
        <w:rPr>
          <w:rFonts w:hint="eastAsia" w:ascii="宋体" w:hAnsi="宋体" w:cs="宋体"/>
          <w:color w:val="auto"/>
          <w:highlight w:val="none"/>
        </w:rPr>
      </w:pPr>
      <w:r>
        <w:rPr>
          <w:rFonts w:hint="eastAsia" w:ascii="宋体" w:hAnsi="宋体" w:cs="宋体"/>
          <w:color w:val="auto"/>
          <w:highlight w:val="none"/>
        </w:rPr>
        <w:t>（1）投标文件正本包封为一包，并在外包装上清晰标明“正本”字样；</w:t>
      </w:r>
    </w:p>
    <w:p>
      <w:pPr>
        <w:tabs>
          <w:tab w:val="left" w:pos="360"/>
          <w:tab w:val="left" w:pos="540"/>
          <w:tab w:val="left" w:pos="900"/>
        </w:tabs>
        <w:spacing w:line="360" w:lineRule="auto"/>
        <w:ind w:left="420"/>
        <w:rPr>
          <w:rFonts w:hint="eastAsia" w:ascii="宋体" w:hAnsi="宋体" w:cs="宋体"/>
          <w:color w:val="auto"/>
          <w:highlight w:val="none"/>
        </w:rPr>
      </w:pPr>
      <w:r>
        <w:rPr>
          <w:rFonts w:hint="eastAsia" w:ascii="宋体" w:hAnsi="宋体" w:cs="宋体"/>
          <w:color w:val="auto"/>
          <w:highlight w:val="none"/>
        </w:rPr>
        <w:t>（2）投标文件所有的副本一起包封为一包，并在外包装上清晰标明“副本”字样；</w:t>
      </w:r>
    </w:p>
    <w:p>
      <w:pPr>
        <w:tabs>
          <w:tab w:val="left" w:pos="360"/>
          <w:tab w:val="left" w:pos="540"/>
          <w:tab w:val="left" w:pos="900"/>
        </w:tabs>
        <w:spacing w:line="360" w:lineRule="auto"/>
        <w:ind w:left="420"/>
        <w:rPr>
          <w:rFonts w:hint="eastAsia" w:ascii="宋体" w:hAnsi="宋体" w:cs="宋体"/>
          <w:color w:val="auto"/>
          <w:highlight w:val="none"/>
        </w:rPr>
      </w:pPr>
      <w:r>
        <w:rPr>
          <w:rFonts w:hint="eastAsia" w:ascii="宋体" w:hAnsi="宋体" w:cs="宋体"/>
          <w:color w:val="auto"/>
          <w:highlight w:val="none"/>
        </w:rPr>
        <w:t>（3）投标文件的电子文件封为一包，并在外包装上清晰标明“电子文件”字样；</w:t>
      </w:r>
    </w:p>
    <w:p>
      <w:pPr>
        <w:spacing w:line="360" w:lineRule="auto"/>
        <w:ind w:left="359" w:hanging="359" w:hangingChars="171"/>
        <w:rPr>
          <w:rFonts w:hint="eastAsia" w:ascii="宋体" w:hAnsi="宋体" w:cs="宋体"/>
          <w:color w:val="auto"/>
          <w:highlight w:val="none"/>
        </w:rPr>
      </w:pPr>
      <w:bookmarkStart w:id="62" w:name="_Toc409173222"/>
      <w:bookmarkStart w:id="63" w:name="_Toc409173108"/>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.2</w:t>
      </w:r>
      <w:bookmarkEnd w:id="62"/>
      <w:bookmarkEnd w:id="63"/>
      <w:r>
        <w:rPr>
          <w:rFonts w:hint="eastAsia" w:ascii="宋体" w:hAnsi="宋体" w:cs="宋体"/>
          <w:color w:val="auto"/>
          <w:highlight w:val="none"/>
        </w:rPr>
        <w:t>投标文件的密封要求：</w:t>
      </w:r>
      <w:r>
        <w:rPr>
          <w:rFonts w:hint="eastAsia" w:ascii="宋体" w:hAnsi="宋体" w:cs="宋体"/>
          <w:color w:val="auto"/>
          <w:highlight w:val="none"/>
          <w:lang w:eastAsia="zh-CN"/>
        </w:rPr>
        <w:t>供应商</w:t>
      </w:r>
      <w:r>
        <w:rPr>
          <w:rFonts w:hint="eastAsia" w:ascii="宋体" w:hAnsi="宋体" w:cs="宋体"/>
          <w:color w:val="auto"/>
          <w:highlight w:val="none"/>
        </w:rPr>
        <w:t>应确保上述各包分别独立密闭封装，外包装材料不应留有可在包封后添加或抽取投标文件的空隙。</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.3信封或外包装封套上应当注明项目名称、</w:t>
      </w:r>
      <w:r>
        <w:rPr>
          <w:rFonts w:hint="eastAsia" w:ascii="宋体" w:hAnsi="宋体" w:cs="宋体"/>
          <w:color w:val="auto"/>
          <w:highlight w:val="none"/>
          <w:lang w:eastAsia="zh-CN"/>
        </w:rPr>
        <w:t>供应商</w:t>
      </w:r>
      <w:r>
        <w:rPr>
          <w:rFonts w:hint="eastAsia" w:ascii="宋体" w:hAnsi="宋体" w:cs="宋体"/>
          <w:color w:val="auto"/>
          <w:highlight w:val="none"/>
        </w:rPr>
        <w:t>名称。如果未按要求标记，招标人和招标代理机构对误投或提前启封概不负责。</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w:t>
      </w:r>
      <w:r>
        <w:rPr>
          <w:rFonts w:hint="eastAsia" w:ascii="宋体" w:hAnsi="宋体" w:cs="宋体"/>
          <w:color w:val="auto"/>
          <w:highlight w:val="none"/>
        </w:rPr>
        <w:t>.4招标代理机构对不可抗力事件造成的投标文件的损坏、丢失不承担任何责任。</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2</w:t>
      </w:r>
      <w:r>
        <w:rPr>
          <w:rFonts w:hint="eastAsia" w:ascii="宋体" w:hAnsi="宋体" w:cs="宋体"/>
          <w:b/>
          <w:bCs/>
          <w:color w:val="auto"/>
          <w:highlight w:val="none"/>
        </w:rPr>
        <w:t>、投标截止日期</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2</w:t>
      </w:r>
      <w:r>
        <w:rPr>
          <w:rFonts w:hint="eastAsia" w:ascii="宋体" w:hAnsi="宋体" w:cs="宋体"/>
          <w:color w:val="auto"/>
          <w:highlight w:val="none"/>
        </w:rPr>
        <w:t>.1所有投标文件应在投标截止时间前送达投标地点，并交予招标代理机构工作人员，任何迟于这个时间的投标将被拒绝。</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3</w:t>
      </w:r>
      <w:r>
        <w:rPr>
          <w:rFonts w:hint="eastAsia" w:ascii="宋体" w:hAnsi="宋体" w:cs="宋体"/>
          <w:b/>
          <w:bCs/>
          <w:color w:val="auto"/>
          <w:highlight w:val="none"/>
        </w:rPr>
        <w:t>、迟交的投标文件</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.1按照投标人须知规定，招标代理机构将拒绝并原封退回在规定的投标截止时间后收到的任何投标证明文件。</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4</w:t>
      </w:r>
      <w:r>
        <w:rPr>
          <w:rFonts w:hint="eastAsia" w:ascii="宋体" w:hAnsi="宋体" w:cs="宋体"/>
          <w:b/>
          <w:bCs/>
          <w:color w:val="auto"/>
          <w:highlight w:val="none"/>
        </w:rPr>
        <w:t>、投标文件的修改与撤回</w:t>
      </w:r>
    </w:p>
    <w:p>
      <w:pPr>
        <w:spacing w:line="360" w:lineRule="auto"/>
        <w:ind w:left="359" w:hanging="359" w:hangingChars="171"/>
        <w:rPr>
          <w:rFonts w:hint="eastAsia" w:ascii="宋体" w:hAnsi="宋体" w:eastAsia="宋体" w:cs="宋体"/>
          <w:color w:val="auto"/>
          <w:highlight w:val="none"/>
          <w:lang w:val="en-US" w:eastAsia="zh-CN"/>
        </w:rPr>
      </w:pPr>
      <w:r>
        <w:rPr>
          <w:rFonts w:hint="eastAsia" w:ascii="宋体" w:hAnsi="宋体" w:cs="宋体"/>
          <w:highlight w:val="none"/>
          <w:lang w:val="en-US" w:eastAsia="zh-CN"/>
        </w:rPr>
        <w:t>24</w:t>
      </w:r>
      <w:r>
        <w:rPr>
          <w:rFonts w:hint="eastAsia" w:ascii="宋体" w:hAnsi="宋体" w:cs="宋体"/>
          <w:highlight w:val="none"/>
        </w:rPr>
        <w:t>.1</w:t>
      </w:r>
      <w:r>
        <w:rPr>
          <w:rFonts w:hint="eastAsia" w:ascii="宋体" w:hAnsi="宋体" w:cs="宋体"/>
          <w:highlight w:val="none"/>
          <w:lang w:eastAsia="zh-CN"/>
        </w:rPr>
        <w:t>供应商</w:t>
      </w:r>
      <w:r>
        <w:rPr>
          <w:rFonts w:hint="eastAsia" w:ascii="宋体" w:hAnsi="宋体" w:cs="宋体"/>
          <w:highlight w:val="none"/>
        </w:rPr>
        <w:t>在递交电子投标文件后，在投标截止时间前</w:t>
      </w:r>
      <w:r>
        <w:rPr>
          <w:rFonts w:hint="eastAsia" w:ascii="宋体" w:hAnsi="宋体" w:cs="宋体"/>
          <w:highlight w:val="none"/>
          <w:lang w:eastAsia="zh-CN"/>
        </w:rPr>
        <w:t>供应商</w:t>
      </w:r>
      <w:r>
        <w:rPr>
          <w:rFonts w:hint="eastAsia" w:ascii="宋体" w:hAnsi="宋体" w:cs="宋体"/>
          <w:highlight w:val="none"/>
        </w:rPr>
        <w:t>可以修改其投标，需在交易平台发出修改或撤回通知，并按要求加盖供应商印章。投标截止时间后不得修改其投标</w:t>
      </w:r>
      <w:r>
        <w:rPr>
          <w:rFonts w:hint="eastAsia" w:ascii="宋体" w:hAnsi="宋体" w:cs="宋体"/>
          <w:highlight w:val="none"/>
          <w:lang w:eastAsia="zh-CN"/>
        </w:rPr>
        <w:t>。</w:t>
      </w:r>
    </w:p>
    <w:p>
      <w:pPr>
        <w:spacing w:line="360" w:lineRule="auto"/>
        <w:ind w:left="360" w:hanging="360"/>
        <w:rPr>
          <w:rFonts w:hint="eastAsia" w:ascii="宋体" w:hAnsi="宋体" w:cs="宋体"/>
          <w:b/>
          <w:bCs/>
          <w:color w:val="auto"/>
          <w:sz w:val="32"/>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4</w:t>
      </w:r>
      <w:r>
        <w:rPr>
          <w:rFonts w:hint="eastAsia" w:ascii="宋体" w:hAnsi="宋体" w:cs="宋体"/>
          <w:color w:val="auto"/>
          <w:highlight w:val="none"/>
        </w:rPr>
        <w:t xml:space="preserve">.2 </w:t>
      </w:r>
      <w:r>
        <w:rPr>
          <w:rFonts w:hint="eastAsia" w:ascii="宋体" w:hAnsi="宋体" w:cs="宋体"/>
          <w:color w:val="auto"/>
          <w:highlight w:val="none"/>
          <w:lang w:eastAsia="zh-CN"/>
        </w:rPr>
        <w:t>供应商</w:t>
      </w:r>
      <w:r>
        <w:rPr>
          <w:rFonts w:hint="eastAsia" w:ascii="宋体" w:hAnsi="宋体" w:cs="宋体"/>
          <w:color w:val="auto"/>
          <w:highlight w:val="none"/>
        </w:rPr>
        <w:t>可以在投标截止时间前撤回其投标。</w:t>
      </w:r>
    </w:p>
    <w:p>
      <w:pPr>
        <w:pStyle w:val="6"/>
        <w:numPr>
          <w:ilvl w:val="0"/>
          <w:numId w:val="0"/>
        </w:numPr>
        <w:ind w:left="422"/>
        <w:jc w:val="center"/>
        <w:rPr>
          <w:rFonts w:hint="eastAsia" w:hAnsi="宋体" w:cs="宋体"/>
          <w:b w:val="0"/>
          <w:bCs/>
          <w:color w:val="auto"/>
          <w:sz w:val="32"/>
          <w:highlight w:val="none"/>
        </w:rPr>
      </w:pPr>
      <w:bookmarkStart w:id="64" w:name="_Toc409173109"/>
      <w:bookmarkStart w:id="65" w:name="_Toc409173223"/>
      <w:bookmarkStart w:id="66" w:name="_Toc513818905"/>
      <w:r>
        <w:rPr>
          <w:rFonts w:hint="eastAsia" w:hAnsi="宋体" w:cs="宋体"/>
          <w:color w:val="auto"/>
          <w:szCs w:val="30"/>
          <w:highlight w:val="none"/>
        </w:rPr>
        <w:t>五、</w:t>
      </w:r>
      <w:r>
        <w:rPr>
          <w:rFonts w:hint="eastAsia" w:hAnsi="宋体" w:cs="宋体"/>
          <w:color w:val="auto"/>
          <w:szCs w:val="30"/>
          <w:highlight w:val="none"/>
          <w:lang w:val="en-US" w:eastAsia="zh-CN"/>
        </w:rPr>
        <w:t>投标文件解密</w:t>
      </w:r>
      <w:r>
        <w:rPr>
          <w:rFonts w:hint="eastAsia" w:hAnsi="宋体" w:cs="宋体"/>
          <w:color w:val="auto"/>
          <w:szCs w:val="30"/>
          <w:highlight w:val="none"/>
        </w:rPr>
        <w:t>与评标</w:t>
      </w:r>
      <w:bookmarkEnd w:id="64"/>
      <w:bookmarkEnd w:id="65"/>
      <w:bookmarkEnd w:id="66"/>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5</w:t>
      </w:r>
      <w:r>
        <w:rPr>
          <w:rFonts w:hint="eastAsia" w:ascii="宋体" w:hAnsi="宋体" w:cs="宋体"/>
          <w:b/>
          <w:bCs/>
          <w:color w:val="auto"/>
          <w:highlight w:val="none"/>
        </w:rPr>
        <w:t>、</w:t>
      </w:r>
      <w:r>
        <w:rPr>
          <w:rFonts w:hint="eastAsia" w:ascii="宋体" w:hAnsi="宋体" w:cs="宋体"/>
          <w:b/>
          <w:bCs/>
          <w:color w:val="auto"/>
          <w:highlight w:val="none"/>
          <w:lang w:val="en-US" w:eastAsia="zh-CN"/>
        </w:rPr>
        <w:t>投标文件解密</w:t>
      </w:r>
    </w:p>
    <w:p>
      <w:pPr>
        <w:spacing w:line="360" w:lineRule="auto"/>
        <w:ind w:left="359" w:hanging="359" w:hangingChars="171"/>
        <w:rPr>
          <w:rFonts w:hint="eastAsia" w:ascii="宋体" w:hAnsi="宋体" w:cs="宋体"/>
          <w:highlight w:val="none"/>
        </w:rPr>
      </w:pPr>
      <w:r>
        <w:rPr>
          <w:rFonts w:hint="eastAsia" w:ascii="宋体" w:hAnsi="宋体" w:cs="宋体"/>
        </w:rPr>
        <w:t>2</w:t>
      </w:r>
      <w:r>
        <w:rPr>
          <w:rFonts w:hint="eastAsia" w:ascii="宋体" w:hAnsi="宋体" w:cs="宋体"/>
          <w:lang w:val="en-US" w:eastAsia="zh-CN"/>
        </w:rPr>
        <w:t>5</w:t>
      </w:r>
      <w:r>
        <w:rPr>
          <w:rFonts w:hint="eastAsia" w:ascii="宋体" w:hAnsi="宋体" w:cs="宋体"/>
        </w:rPr>
        <w:t>.1.</w:t>
      </w:r>
      <w:r>
        <w:rPr>
          <w:rFonts w:hint="eastAsia" w:ascii="宋体" w:hAnsi="宋体" w:cs="宋体"/>
          <w:highlight w:val="none"/>
        </w:rPr>
        <w:t>在投标截止时间后，招标代理通过广咨电子招投标交易平台对已递交的电子投标文件进行系统解密。</w:t>
      </w:r>
    </w:p>
    <w:p>
      <w:pPr>
        <w:spacing w:line="360" w:lineRule="auto"/>
        <w:ind w:left="359" w:hanging="359" w:hangingChars="171"/>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.2</w:t>
      </w:r>
      <w:r>
        <w:rPr>
          <w:rFonts w:hint="eastAsia" w:ascii="宋体" w:hAnsi="宋体" w:cs="宋体"/>
          <w:color w:val="auto"/>
          <w:highlight w:val="none"/>
          <w:lang w:val="en-US" w:eastAsia="zh-CN"/>
        </w:rPr>
        <w:t>投标文件解密后</w:t>
      </w:r>
      <w:r>
        <w:rPr>
          <w:rFonts w:hint="eastAsia" w:ascii="宋体" w:hAnsi="宋体" w:cs="宋体"/>
          <w:color w:val="auto"/>
          <w:highlight w:val="none"/>
        </w:rPr>
        <w:t>，发现</w:t>
      </w:r>
      <w:r>
        <w:rPr>
          <w:rFonts w:hint="eastAsia" w:ascii="宋体" w:hAnsi="宋体" w:cs="宋体"/>
          <w:color w:val="auto"/>
          <w:highlight w:val="none"/>
          <w:lang w:val="en-US" w:eastAsia="zh-CN"/>
        </w:rPr>
        <w:t>子包1递交投标文件的供应商不足6</w:t>
      </w:r>
      <w:r>
        <w:rPr>
          <w:rFonts w:hint="eastAsia" w:ascii="宋体" w:hAnsi="宋体" w:cs="宋体"/>
          <w:color w:val="auto"/>
          <w:highlight w:val="none"/>
        </w:rPr>
        <w:t>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子包2递交投标文件的供应商不足5家的</w:t>
      </w:r>
      <w:r>
        <w:rPr>
          <w:rFonts w:hint="eastAsia" w:ascii="宋体" w:hAnsi="宋体" w:cs="宋体"/>
          <w:color w:val="auto"/>
          <w:highlight w:val="none"/>
        </w:rPr>
        <w:t>，</w:t>
      </w:r>
      <w:r>
        <w:rPr>
          <w:rFonts w:hint="eastAsia" w:ascii="宋体" w:hAnsi="宋体" w:cs="宋体"/>
          <w:color w:val="auto"/>
          <w:highlight w:val="none"/>
          <w:lang w:val="en-US" w:eastAsia="zh-CN"/>
        </w:rPr>
        <w:t>对应子包</w:t>
      </w:r>
      <w:r>
        <w:rPr>
          <w:rFonts w:hint="eastAsia" w:ascii="宋体" w:hAnsi="宋体" w:cs="宋体"/>
          <w:color w:val="auto"/>
          <w:highlight w:val="none"/>
        </w:rPr>
        <w:t>做废标处理。</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迟到或撤回的投标文件将被原封退回给</w:t>
      </w:r>
      <w:r>
        <w:rPr>
          <w:rFonts w:hint="eastAsia" w:ascii="宋体" w:hAnsi="宋体" w:cs="宋体"/>
          <w:color w:val="auto"/>
          <w:highlight w:val="none"/>
          <w:lang w:eastAsia="zh-CN"/>
        </w:rPr>
        <w:t>供应商</w:t>
      </w:r>
      <w:r>
        <w:rPr>
          <w:rFonts w:hint="eastAsia" w:ascii="宋体" w:hAnsi="宋体" w:cs="宋体"/>
          <w:color w:val="auto"/>
          <w:highlight w:val="none"/>
        </w:rPr>
        <w:t>。</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6</w:t>
      </w:r>
      <w:r>
        <w:rPr>
          <w:rFonts w:hint="eastAsia" w:ascii="宋体" w:hAnsi="宋体" w:cs="宋体"/>
          <w:b/>
          <w:bCs/>
          <w:color w:val="auto"/>
          <w:highlight w:val="none"/>
        </w:rPr>
        <w:t>、评标委员会</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.1本次招标，招标人参照相关法律法规组成评标委员会。</w:t>
      </w:r>
    </w:p>
    <w:p>
      <w:pPr>
        <w:spacing w:line="360" w:lineRule="auto"/>
        <w:ind w:left="420" w:hanging="420" w:hanging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.2 评标委员会</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.3评标委员会只对确定为实质上响应招标文件要求的投标，即通过</w:t>
      </w:r>
      <w:r>
        <w:rPr>
          <w:rFonts w:hint="eastAsia" w:ascii="宋体" w:hAnsi="宋体" w:cs="宋体"/>
          <w:color w:val="auto"/>
          <w:highlight w:val="none"/>
          <w:lang w:val="en-US" w:eastAsia="zh-CN"/>
        </w:rPr>
        <w:t>初步审</w:t>
      </w:r>
      <w:r>
        <w:rPr>
          <w:rFonts w:hint="eastAsia" w:ascii="宋体" w:hAnsi="宋体" w:cs="宋体"/>
          <w:color w:val="auto"/>
          <w:highlight w:val="none"/>
        </w:rPr>
        <w:t>查的投标进行评价和比较，响应的依据是招标文件本身的内容，而不寻求其它证据。实质上响应的投标应该是与招标文件要求的全部主要条款、条件和规格相符，没有重大偏离的投标、关键条文的偏离、保留或反对。</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2</w:t>
      </w:r>
      <w:r>
        <w:rPr>
          <w:rFonts w:hint="eastAsia" w:ascii="宋体" w:hAnsi="宋体" w:cs="宋体"/>
          <w:b/>
          <w:bCs/>
          <w:color w:val="auto"/>
          <w:highlight w:val="none"/>
          <w:lang w:val="en-US" w:eastAsia="zh-CN"/>
        </w:rPr>
        <w:t>7</w:t>
      </w:r>
      <w:r>
        <w:rPr>
          <w:rFonts w:hint="eastAsia" w:ascii="宋体" w:hAnsi="宋体" w:cs="宋体"/>
          <w:b/>
          <w:bCs/>
          <w:color w:val="auto"/>
          <w:highlight w:val="none"/>
        </w:rPr>
        <w:t>、评标原则和评标方法</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.1评标遵循公平、公正、科学、择优的原则。评标委员会将按照规定只对通过初步评审的招标文件进行详细评审。</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.2评标方法：本次招标的评标方法采用综合评分法。</w:t>
      </w:r>
    </w:p>
    <w:p>
      <w:pPr>
        <w:spacing w:line="360" w:lineRule="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.3评标规则与步骤：详见第六章；</w:t>
      </w:r>
    </w:p>
    <w:p>
      <w:p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28</w:t>
      </w:r>
      <w:r>
        <w:rPr>
          <w:rFonts w:hint="eastAsia" w:ascii="宋体" w:hAnsi="宋体" w:cs="宋体"/>
          <w:b/>
          <w:bCs/>
          <w:color w:val="auto"/>
          <w:highlight w:val="none"/>
        </w:rPr>
        <w:t>、投标文件的修正和澄清</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.1为有助于投标文件的审核、评价和比较，评标委员会可分别要求</w:t>
      </w:r>
      <w:r>
        <w:rPr>
          <w:rFonts w:hint="eastAsia" w:ascii="宋体" w:hAnsi="宋体" w:cs="宋体"/>
          <w:color w:val="auto"/>
          <w:highlight w:val="none"/>
          <w:lang w:eastAsia="zh-CN"/>
        </w:rPr>
        <w:t>供应商</w:t>
      </w:r>
      <w:r>
        <w:rPr>
          <w:rFonts w:hint="eastAsia" w:ascii="宋体" w:hAnsi="宋体" w:cs="宋体"/>
          <w:color w:val="auto"/>
          <w:highlight w:val="none"/>
        </w:rPr>
        <w:t>对其投标文件进行澄清，有关澄清的要求和答复先以口头形式答辩，然后在要求的时间内以书面形式提交，但不得寻求、提供或允许对投标价格或实质性内容做任何更改。</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.2</w:t>
      </w:r>
      <w:r>
        <w:rPr>
          <w:rFonts w:hint="eastAsia" w:ascii="宋体" w:hAnsi="宋体" w:cs="宋体"/>
          <w:color w:val="auto"/>
          <w:highlight w:val="none"/>
          <w:lang w:eastAsia="zh-CN"/>
        </w:rPr>
        <w:t>供应商</w:t>
      </w:r>
      <w:r>
        <w:rPr>
          <w:rFonts w:hint="eastAsia" w:ascii="宋体" w:hAnsi="宋体" w:cs="宋体"/>
          <w:color w:val="auto"/>
          <w:highlight w:val="none"/>
        </w:rPr>
        <w:t>不得通过修正和撤销不合要求的偏离或保留从而使其没有实质上响应招标文件要求的投标成为实质上响应的投标。</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.3所谓实质上响应投标应是与招标文件要求的全部条款、条件和规格相符，没有重大偏离或保留。所谓重大偏离和保留是指实质上与招标文件不一致，而且限制了合同中</w:t>
      </w:r>
      <w:r>
        <w:rPr>
          <w:rFonts w:hint="eastAsia" w:ascii="宋体" w:hAnsi="宋体" w:cs="宋体"/>
          <w:color w:val="auto"/>
          <w:highlight w:val="none"/>
          <w:lang w:eastAsia="zh-CN"/>
        </w:rPr>
        <w:t>招标人</w:t>
      </w:r>
      <w:r>
        <w:rPr>
          <w:rFonts w:hint="eastAsia" w:ascii="宋体" w:hAnsi="宋体" w:cs="宋体"/>
          <w:color w:val="auto"/>
          <w:highlight w:val="none"/>
        </w:rPr>
        <w:t>的权力或</w:t>
      </w:r>
      <w:r>
        <w:rPr>
          <w:rFonts w:hint="eastAsia" w:ascii="宋体" w:hAnsi="宋体" w:cs="宋体"/>
          <w:color w:val="auto"/>
          <w:highlight w:val="none"/>
          <w:lang w:eastAsia="zh-CN"/>
        </w:rPr>
        <w:t>供应商</w:t>
      </w:r>
      <w:r>
        <w:rPr>
          <w:rFonts w:hint="eastAsia" w:ascii="宋体" w:hAnsi="宋体" w:cs="宋体"/>
          <w:color w:val="auto"/>
          <w:highlight w:val="none"/>
        </w:rPr>
        <w:t>的业务。纠正这些偏离或保留将会对其他实质上的响应要求的</w:t>
      </w:r>
      <w:r>
        <w:rPr>
          <w:rFonts w:hint="eastAsia" w:ascii="宋体" w:hAnsi="宋体" w:cs="宋体"/>
          <w:color w:val="auto"/>
          <w:highlight w:val="none"/>
          <w:lang w:eastAsia="zh-CN"/>
        </w:rPr>
        <w:t>供应商</w:t>
      </w:r>
      <w:r>
        <w:rPr>
          <w:rFonts w:hint="eastAsia" w:ascii="宋体" w:hAnsi="宋体" w:cs="宋体"/>
          <w:color w:val="auto"/>
          <w:highlight w:val="none"/>
        </w:rPr>
        <w:t>的竞争地位产生不公正的影响，评标委员会决定投标文件的响应性只根据投标文件本身内容，而不寻求外部的证据。对于在技术响应/差异表中的描述与投标文件其他地方的描述有差异的，以该表为准。评标委员会若注意到该差异，可要求</w:t>
      </w:r>
      <w:r>
        <w:rPr>
          <w:rFonts w:hint="eastAsia" w:ascii="宋体" w:hAnsi="宋体" w:cs="宋体"/>
          <w:color w:val="auto"/>
          <w:highlight w:val="none"/>
          <w:lang w:eastAsia="zh-CN"/>
        </w:rPr>
        <w:t>供应商</w:t>
      </w:r>
      <w:r>
        <w:rPr>
          <w:rFonts w:hint="eastAsia" w:ascii="宋体" w:hAnsi="宋体" w:cs="宋体"/>
          <w:color w:val="auto"/>
          <w:highlight w:val="none"/>
        </w:rPr>
        <w:t>澄清（除不允许偏离的★条款外）或视为完全响应；若未注意到，则视为完全响应。</w:t>
      </w:r>
      <w:r>
        <w:rPr>
          <w:rFonts w:hint="eastAsia" w:ascii="宋体" w:hAnsi="宋体" w:cs="宋体"/>
          <w:color w:val="auto"/>
          <w:highlight w:val="none"/>
          <w:lang w:val="en-US" w:eastAsia="zh-CN"/>
        </w:rPr>
        <w:t>供应商</w:t>
      </w:r>
      <w:r>
        <w:rPr>
          <w:rFonts w:hint="eastAsia" w:ascii="宋体" w:hAnsi="宋体" w:cs="宋体"/>
          <w:color w:val="auto"/>
          <w:highlight w:val="none"/>
        </w:rPr>
        <w:t>必须按照技术响应表中对用户需求书的实际响应情况提供服务，否则按提供虚假材料处理，已中标的可取消中标资格。</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28</w:t>
      </w:r>
      <w:r>
        <w:rPr>
          <w:rFonts w:hint="eastAsia" w:ascii="宋体" w:hAnsi="宋体" w:cs="宋体"/>
          <w:color w:val="auto"/>
          <w:highlight w:val="none"/>
        </w:rPr>
        <w:t>.4评标委员会将允许修正投标文件中的不构成重大偏离的、微小的、非正规的、不一致的或不规则的地方，但这些修正不能影响任何</w:t>
      </w:r>
      <w:r>
        <w:rPr>
          <w:rFonts w:hint="eastAsia" w:ascii="宋体" w:hAnsi="宋体" w:cs="宋体"/>
          <w:color w:val="auto"/>
          <w:highlight w:val="none"/>
          <w:lang w:eastAsia="zh-CN"/>
        </w:rPr>
        <w:t>供应商</w:t>
      </w:r>
      <w:r>
        <w:rPr>
          <w:rFonts w:hint="eastAsia" w:ascii="宋体" w:hAnsi="宋体" w:cs="宋体"/>
          <w:color w:val="auto"/>
          <w:highlight w:val="none"/>
        </w:rPr>
        <w:t>相应的名次排列。</w:t>
      </w:r>
    </w:p>
    <w:p>
      <w:pPr>
        <w:spacing w:line="360" w:lineRule="auto"/>
        <w:rPr>
          <w:rFonts w:hint="eastAsia" w:ascii="宋体" w:hAnsi="宋体" w:cs="宋体"/>
          <w:b/>
          <w:bCs/>
          <w:color w:val="auto"/>
          <w:highlight w:val="none"/>
        </w:rPr>
      </w:pPr>
      <w:r>
        <w:rPr>
          <w:rFonts w:hint="eastAsia" w:ascii="宋体" w:hAnsi="宋体" w:cs="宋体"/>
          <w:b/>
          <w:color w:val="auto"/>
          <w:highlight w:val="none"/>
          <w:lang w:val="en-US" w:eastAsia="zh-CN"/>
        </w:rPr>
        <w:t>29</w:t>
      </w:r>
      <w:r>
        <w:rPr>
          <w:rFonts w:hint="eastAsia" w:ascii="宋体" w:hAnsi="宋体" w:cs="宋体"/>
          <w:b/>
          <w:color w:val="auto"/>
          <w:highlight w:val="none"/>
        </w:rPr>
        <w:t>、</w:t>
      </w:r>
      <w:r>
        <w:rPr>
          <w:rFonts w:hint="eastAsia" w:ascii="宋体" w:hAnsi="宋体" w:cs="宋体"/>
          <w:b/>
          <w:bCs/>
          <w:color w:val="auto"/>
          <w:highlight w:val="none"/>
        </w:rPr>
        <w:t>拒绝任何或所有投标的权力</w:t>
      </w:r>
    </w:p>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.1评标委员会经评审，认为所有投标都不符合招标文件实质性要求的，可以否决所有投标。</w:t>
      </w:r>
    </w:p>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.2当</w:t>
      </w:r>
      <w:r>
        <w:rPr>
          <w:rFonts w:hint="eastAsia" w:ascii="宋体" w:hAnsi="宋体"/>
          <w:b w:val="0"/>
          <w:bCs w:val="0"/>
          <w:color w:val="auto"/>
          <w:highlight w:val="none"/>
        </w:rPr>
        <w:t>子包1</w:t>
      </w:r>
      <w:r>
        <w:rPr>
          <w:rFonts w:hint="eastAsia" w:ascii="宋体" w:hAnsi="宋体" w:cs="宋体"/>
          <w:color w:val="auto"/>
          <w:highlight w:val="none"/>
        </w:rPr>
        <w:t>有效</w:t>
      </w:r>
      <w:r>
        <w:rPr>
          <w:rFonts w:hint="eastAsia" w:ascii="宋体" w:hAnsi="宋体" w:cs="宋体"/>
          <w:color w:val="auto"/>
          <w:highlight w:val="none"/>
          <w:lang w:eastAsia="zh-CN"/>
        </w:rPr>
        <w:t>供应商</w:t>
      </w:r>
      <w:r>
        <w:rPr>
          <w:rFonts w:hint="eastAsia" w:ascii="宋体" w:hAnsi="宋体" w:cs="宋体"/>
          <w:color w:val="auto"/>
          <w:highlight w:val="none"/>
        </w:rPr>
        <w:t>少于</w:t>
      </w:r>
      <w:r>
        <w:rPr>
          <w:rFonts w:hint="eastAsia" w:ascii="宋体" w:hAnsi="宋体" w:cs="宋体"/>
          <w:color w:val="auto"/>
          <w:highlight w:val="none"/>
          <w:lang w:val="en-US" w:eastAsia="zh-CN"/>
        </w:rPr>
        <w:t>6</w:t>
      </w:r>
      <w:r>
        <w:rPr>
          <w:rFonts w:hint="eastAsia" w:ascii="宋体" w:hAnsi="宋体" w:cs="宋体"/>
          <w:color w:val="auto"/>
          <w:highlight w:val="none"/>
        </w:rPr>
        <w:t>名，</w:t>
      </w:r>
      <w:r>
        <w:rPr>
          <w:rFonts w:hint="eastAsia" w:ascii="宋体" w:hAnsi="宋体"/>
          <w:b w:val="0"/>
          <w:bCs w:val="0"/>
          <w:color w:val="auto"/>
          <w:highlight w:val="none"/>
        </w:rPr>
        <w:t>子包</w:t>
      </w:r>
      <w:r>
        <w:rPr>
          <w:rFonts w:hint="eastAsia" w:ascii="宋体" w:hAnsi="宋体"/>
          <w:b w:val="0"/>
          <w:bCs w:val="0"/>
          <w:color w:val="auto"/>
          <w:highlight w:val="none"/>
          <w:lang w:val="en-US" w:eastAsia="zh-CN"/>
        </w:rPr>
        <w:t>2</w:t>
      </w:r>
      <w:r>
        <w:rPr>
          <w:rFonts w:hint="eastAsia" w:ascii="宋体" w:hAnsi="宋体" w:cs="宋体"/>
          <w:color w:val="auto"/>
          <w:highlight w:val="none"/>
        </w:rPr>
        <w:t>有效</w:t>
      </w:r>
      <w:r>
        <w:rPr>
          <w:rFonts w:hint="eastAsia" w:ascii="宋体" w:hAnsi="宋体" w:cs="宋体"/>
          <w:color w:val="auto"/>
          <w:highlight w:val="none"/>
          <w:lang w:eastAsia="zh-CN"/>
        </w:rPr>
        <w:t>供应商</w:t>
      </w:r>
      <w:r>
        <w:rPr>
          <w:rFonts w:hint="eastAsia" w:ascii="宋体" w:hAnsi="宋体" w:cs="宋体"/>
          <w:color w:val="auto"/>
          <w:highlight w:val="none"/>
        </w:rPr>
        <w:t>少于</w:t>
      </w:r>
      <w:r>
        <w:rPr>
          <w:rFonts w:hint="eastAsia" w:ascii="宋体" w:hAnsi="宋体" w:cs="宋体"/>
          <w:color w:val="auto"/>
          <w:highlight w:val="none"/>
          <w:lang w:val="en-US" w:eastAsia="zh-CN"/>
        </w:rPr>
        <w:t>5</w:t>
      </w:r>
      <w:r>
        <w:rPr>
          <w:rFonts w:hint="eastAsia" w:ascii="宋体" w:hAnsi="宋体" w:cs="宋体"/>
          <w:color w:val="auto"/>
          <w:highlight w:val="none"/>
        </w:rPr>
        <w:t>名</w:t>
      </w:r>
      <w:r>
        <w:rPr>
          <w:rFonts w:hint="eastAsia" w:ascii="宋体" w:hAnsi="宋体" w:cs="宋体"/>
          <w:color w:val="auto"/>
          <w:highlight w:val="none"/>
          <w:lang w:eastAsia="zh-CN"/>
        </w:rPr>
        <w:t>，</w:t>
      </w:r>
      <w:r>
        <w:rPr>
          <w:rFonts w:hint="eastAsia" w:ascii="宋体" w:hAnsi="宋体" w:cs="宋体"/>
          <w:color w:val="auto"/>
          <w:highlight w:val="none"/>
        </w:rPr>
        <w:t>可以拒绝</w:t>
      </w:r>
      <w:r>
        <w:rPr>
          <w:rFonts w:hint="eastAsia" w:ascii="宋体" w:hAnsi="宋体" w:cs="宋体"/>
          <w:color w:val="auto"/>
          <w:highlight w:val="none"/>
          <w:lang w:val="en-US" w:eastAsia="zh-CN"/>
        </w:rPr>
        <w:t>对应子包的</w:t>
      </w:r>
      <w:r>
        <w:rPr>
          <w:rFonts w:hint="eastAsia" w:ascii="宋体" w:hAnsi="宋体" w:cs="宋体"/>
          <w:color w:val="auto"/>
          <w:highlight w:val="none"/>
        </w:rPr>
        <w:t>所有投标并重新组织招标。</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.3如果</w:t>
      </w:r>
      <w:r>
        <w:rPr>
          <w:rFonts w:hint="eastAsia" w:ascii="宋体" w:hAnsi="宋体" w:cs="宋体"/>
          <w:color w:val="auto"/>
          <w:highlight w:val="none"/>
          <w:lang w:val="en-US" w:eastAsia="zh-CN"/>
        </w:rPr>
        <w:t>子包1前6名</w:t>
      </w:r>
      <w:r>
        <w:rPr>
          <w:rFonts w:hint="eastAsia" w:ascii="宋体" w:hAnsi="宋体" w:cs="宋体"/>
          <w:color w:val="auto"/>
          <w:highlight w:val="none"/>
        </w:rPr>
        <w:t>中标候选人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子包2前5名中标候选人，出现有中标候选人</w:t>
      </w:r>
      <w:r>
        <w:rPr>
          <w:rFonts w:hint="eastAsia" w:ascii="宋体" w:hAnsi="宋体" w:cs="宋体"/>
          <w:color w:val="auto"/>
          <w:highlight w:val="none"/>
        </w:rPr>
        <w:t>不能按照招标文件要求及其投标文件的承诺签订合同或其投标文件与事实不符，</w:t>
      </w:r>
      <w:r>
        <w:rPr>
          <w:rFonts w:hint="eastAsia" w:ascii="宋体" w:hAnsi="宋体" w:cs="宋体"/>
          <w:color w:val="auto"/>
          <w:highlight w:val="none"/>
          <w:lang w:eastAsia="zh-CN"/>
        </w:rPr>
        <w:t>招标人</w:t>
      </w:r>
      <w:r>
        <w:rPr>
          <w:rFonts w:hint="eastAsia" w:ascii="宋体" w:hAnsi="宋体" w:cs="宋体"/>
          <w:color w:val="auto"/>
          <w:highlight w:val="none"/>
        </w:rPr>
        <w:t>有权依照法定程序将合同按顺序授予</w:t>
      </w:r>
      <w:r>
        <w:rPr>
          <w:rFonts w:hint="eastAsia" w:ascii="宋体" w:hAnsi="宋体" w:cs="宋体"/>
          <w:color w:val="auto"/>
          <w:highlight w:val="none"/>
          <w:lang w:val="en-US" w:eastAsia="zh-CN"/>
        </w:rPr>
        <w:t>该子包</w:t>
      </w:r>
      <w:r>
        <w:rPr>
          <w:rFonts w:hint="eastAsia" w:ascii="宋体" w:hAnsi="宋体" w:cs="宋体"/>
          <w:color w:val="auto"/>
          <w:highlight w:val="none"/>
        </w:rPr>
        <w:t>其他中标候选人或重新开启招标程序，对受影响的</w:t>
      </w:r>
      <w:r>
        <w:rPr>
          <w:rFonts w:hint="eastAsia" w:ascii="宋体" w:hAnsi="宋体" w:cs="宋体"/>
          <w:color w:val="auto"/>
          <w:highlight w:val="none"/>
          <w:lang w:eastAsia="zh-CN"/>
        </w:rPr>
        <w:t>供应商</w:t>
      </w:r>
      <w:r>
        <w:rPr>
          <w:rFonts w:hint="eastAsia" w:ascii="宋体" w:hAnsi="宋体" w:cs="宋体"/>
          <w:color w:val="auto"/>
          <w:highlight w:val="none"/>
        </w:rPr>
        <w:t>不承担任何责任，也无义务向受影响的</w:t>
      </w:r>
      <w:r>
        <w:rPr>
          <w:rFonts w:hint="eastAsia" w:ascii="宋体" w:hAnsi="宋体" w:cs="宋体"/>
          <w:color w:val="auto"/>
          <w:highlight w:val="none"/>
          <w:lang w:eastAsia="zh-CN"/>
        </w:rPr>
        <w:t>供应商</w:t>
      </w:r>
      <w:r>
        <w:rPr>
          <w:rFonts w:hint="eastAsia" w:ascii="宋体" w:hAnsi="宋体" w:cs="宋体"/>
          <w:color w:val="auto"/>
          <w:highlight w:val="none"/>
        </w:rPr>
        <w:t>解释采取这一行动的理由。</w:t>
      </w:r>
    </w:p>
    <w:p>
      <w:pPr>
        <w:pStyle w:val="6"/>
        <w:numPr>
          <w:ilvl w:val="0"/>
          <w:numId w:val="0"/>
        </w:numPr>
        <w:ind w:left="422"/>
        <w:jc w:val="center"/>
        <w:rPr>
          <w:rFonts w:hint="eastAsia" w:hAnsi="宋体" w:cs="宋体"/>
          <w:color w:val="auto"/>
          <w:sz w:val="32"/>
          <w:highlight w:val="none"/>
        </w:rPr>
      </w:pPr>
      <w:bookmarkStart w:id="67" w:name="_Toc513818906"/>
      <w:r>
        <w:rPr>
          <w:rFonts w:hint="eastAsia" w:hAnsi="宋体" w:cs="宋体"/>
          <w:color w:val="auto"/>
          <w:szCs w:val="30"/>
          <w:highlight w:val="none"/>
        </w:rPr>
        <w:t>六、授予合同</w:t>
      </w:r>
      <w:bookmarkEnd w:id="67"/>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0</w:t>
      </w:r>
      <w:r>
        <w:rPr>
          <w:rFonts w:hint="eastAsia" w:ascii="宋体" w:hAnsi="宋体" w:cs="宋体"/>
          <w:b/>
          <w:bCs/>
          <w:color w:val="auto"/>
          <w:highlight w:val="none"/>
        </w:rPr>
        <w:t>、中标人的确定</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0</w:t>
      </w:r>
      <w:r>
        <w:rPr>
          <w:rFonts w:hint="eastAsia" w:ascii="宋体" w:hAnsi="宋体" w:cs="宋体"/>
          <w:color w:val="auto"/>
          <w:highlight w:val="none"/>
        </w:rPr>
        <w:t>.1根据评标结果，招标人将按照招标文件的约定确定中标人。</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1</w:t>
      </w:r>
      <w:r>
        <w:rPr>
          <w:rFonts w:hint="eastAsia" w:ascii="宋体" w:hAnsi="宋体" w:cs="宋体"/>
          <w:b/>
          <w:bCs/>
          <w:color w:val="auto"/>
          <w:highlight w:val="none"/>
        </w:rPr>
        <w:t>、中标结果公示</w:t>
      </w:r>
    </w:p>
    <w:p>
      <w:pPr>
        <w:spacing w:line="360" w:lineRule="auto"/>
        <w:rPr>
          <w:rFonts w:hint="eastAsia" w:ascii="宋体" w:hAnsi="宋体" w:cs="宋体"/>
          <w:b/>
          <w:color w:val="auto"/>
          <w:highlight w:val="none"/>
        </w:rPr>
      </w:pPr>
      <w:r>
        <w:rPr>
          <w:rFonts w:hint="eastAsia" w:ascii="宋体" w:hAnsi="宋体" w:cs="宋体"/>
          <w:b/>
          <w:color w:val="auto"/>
          <w:highlight w:val="none"/>
        </w:rPr>
        <w:t>3</w:t>
      </w:r>
      <w:r>
        <w:rPr>
          <w:rFonts w:hint="eastAsia" w:ascii="宋体" w:hAnsi="宋体" w:cs="宋体"/>
          <w:b/>
          <w:color w:val="auto"/>
          <w:highlight w:val="none"/>
          <w:lang w:val="en-US" w:eastAsia="zh-CN"/>
        </w:rPr>
        <w:t>1</w:t>
      </w:r>
      <w:r>
        <w:rPr>
          <w:rFonts w:hint="eastAsia" w:ascii="宋体" w:hAnsi="宋体" w:cs="宋体"/>
          <w:b/>
          <w:color w:val="auto"/>
          <w:highlight w:val="none"/>
        </w:rPr>
        <w:t>.1</w:t>
      </w:r>
      <w:r>
        <w:rPr>
          <w:rFonts w:hint="eastAsia" w:ascii="宋体" w:hAnsi="宋体" w:cs="宋体"/>
          <w:b/>
          <w:color w:val="auto"/>
          <w:szCs w:val="21"/>
          <w:highlight w:val="none"/>
        </w:rPr>
        <w:t>广东省机电设备招标有限公司</w:t>
      </w:r>
      <w:r>
        <w:rPr>
          <w:rFonts w:hint="eastAsia" w:ascii="宋体" w:hAnsi="宋体" w:cs="宋体"/>
          <w:b/>
          <w:color w:val="auto"/>
          <w:highlight w:val="none"/>
        </w:rPr>
        <w:t>将在规定的时间通过指定网址公示中标结果。</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1</w:t>
      </w:r>
      <w:r>
        <w:rPr>
          <w:rFonts w:hint="eastAsia" w:ascii="宋体" w:hAnsi="宋体" w:cs="宋体"/>
          <w:color w:val="auto"/>
          <w:highlight w:val="none"/>
        </w:rPr>
        <w:t>.2在投标有效期满之前，广东省机电设备招标有限公司将在指定网址公告中标结果，并将招标结果通知</w:t>
      </w:r>
      <w:r>
        <w:rPr>
          <w:rFonts w:hint="eastAsia" w:ascii="宋体" w:hAnsi="宋体" w:cs="宋体"/>
          <w:color w:val="auto"/>
          <w:highlight w:val="none"/>
          <w:lang w:eastAsia="zh-CN"/>
        </w:rPr>
        <w:t>招标人</w:t>
      </w:r>
      <w:r>
        <w:rPr>
          <w:rFonts w:hint="eastAsia" w:ascii="宋体" w:hAnsi="宋体" w:cs="宋体"/>
          <w:color w:val="auto"/>
          <w:highlight w:val="none"/>
        </w:rPr>
        <w:t>。</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2</w:t>
      </w:r>
      <w:r>
        <w:rPr>
          <w:rFonts w:hint="eastAsia" w:ascii="宋体" w:hAnsi="宋体" w:cs="宋体"/>
          <w:b/>
          <w:bCs/>
          <w:color w:val="auto"/>
          <w:highlight w:val="none"/>
        </w:rPr>
        <w:t>、合同授予</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2</w:t>
      </w:r>
      <w:r>
        <w:rPr>
          <w:rFonts w:hint="eastAsia" w:ascii="宋体" w:hAnsi="宋体" w:cs="宋体"/>
          <w:color w:val="auto"/>
          <w:highlight w:val="none"/>
        </w:rPr>
        <w:t>.1</w:t>
      </w:r>
      <w:r>
        <w:rPr>
          <w:rFonts w:hint="eastAsia" w:ascii="宋体" w:hAnsi="宋体" w:cs="宋体"/>
          <w:color w:val="auto"/>
          <w:highlight w:val="none"/>
          <w:lang w:eastAsia="zh-CN"/>
        </w:rPr>
        <w:t>招标人</w:t>
      </w:r>
      <w:r>
        <w:rPr>
          <w:rFonts w:hint="eastAsia" w:ascii="宋体" w:hAnsi="宋体" w:cs="宋体"/>
          <w:color w:val="auto"/>
          <w:highlight w:val="none"/>
        </w:rPr>
        <w:t>将合同授予被确定的中标人，中标人必须以中标人名义签订合同，若中标人为分公司或子公司的，应当在合同签订前提交由总公司出具的授权函。</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2</w:t>
      </w:r>
      <w:r>
        <w:rPr>
          <w:rFonts w:hint="eastAsia" w:ascii="宋体" w:hAnsi="宋体" w:cs="宋体"/>
          <w:color w:val="auto"/>
          <w:highlight w:val="none"/>
        </w:rPr>
        <w:t>.2</w:t>
      </w:r>
      <w:r>
        <w:rPr>
          <w:rFonts w:hint="eastAsia" w:ascii="宋体" w:hAnsi="宋体" w:cs="宋体"/>
          <w:color w:val="auto"/>
          <w:highlight w:val="none"/>
          <w:lang w:eastAsia="zh-CN"/>
        </w:rPr>
        <w:t>招标人</w:t>
      </w:r>
      <w:r>
        <w:rPr>
          <w:rFonts w:hint="eastAsia" w:ascii="宋体" w:hAnsi="宋体" w:cs="宋体"/>
          <w:color w:val="auto"/>
          <w:highlight w:val="none"/>
        </w:rPr>
        <w:t>在授予合同时根据实际的需要有权对“用户需求书”中列举的涉及内容予以适当的增减，涉及内容的增减，该等增减行为不得对整个“用户需求”产生实际背离。按实际内容变化修正相应的价格。</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3</w:t>
      </w:r>
      <w:r>
        <w:rPr>
          <w:rFonts w:hint="eastAsia" w:ascii="宋体" w:hAnsi="宋体" w:cs="宋体"/>
          <w:b/>
          <w:bCs/>
          <w:color w:val="auto"/>
          <w:highlight w:val="none"/>
        </w:rPr>
        <w:t>、中标通知书及中标结果通知书</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highlight w:val="none"/>
        </w:rPr>
        <w:t>3</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.1招标代理机构将用书面的方式向中标人发出经确认的书面《中标通知书》，中标人收到《中标通知书》后及时书面向广东省机电设备招标有限公司确认。</w:t>
      </w:r>
    </w:p>
    <w:p>
      <w:pPr>
        <w:spacing w:line="360" w:lineRule="auto"/>
        <w:ind w:left="359" w:hanging="359" w:hangingChars="171"/>
        <w:rPr>
          <w:rFonts w:hint="eastAsia" w:ascii="宋体" w:hAnsi="宋体" w:cs="宋体"/>
          <w:color w:val="auto"/>
          <w:szCs w:val="22"/>
          <w:highlight w:val="none"/>
        </w:rPr>
      </w:pPr>
      <w:r>
        <w:rPr>
          <w:rFonts w:hint="eastAsia" w:ascii="宋体" w:hAnsi="宋体" w:cs="宋体"/>
          <w:color w:val="auto"/>
          <w:szCs w:val="22"/>
          <w:highlight w:val="none"/>
        </w:rPr>
        <w:t>3</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.2 《中标通知书》将是合同的一个组成部分。</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szCs w:val="22"/>
          <w:highlight w:val="none"/>
        </w:rPr>
        <w:t>3</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.3广东省机电设备招标有限公司发出《中标通知书》时，向所有未中标人公告中标结果，对不中标的</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不另行</w:t>
      </w:r>
      <w:r>
        <w:rPr>
          <w:rFonts w:hint="eastAsia" w:ascii="宋体" w:hAnsi="宋体" w:cs="宋体"/>
          <w:color w:val="auto"/>
          <w:highlight w:val="none"/>
        </w:rPr>
        <w:t>通知，亦不作任何解释。</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4</w:t>
      </w:r>
      <w:r>
        <w:rPr>
          <w:rFonts w:hint="eastAsia" w:ascii="宋体" w:hAnsi="宋体" w:cs="宋体"/>
          <w:b/>
          <w:bCs/>
          <w:color w:val="auto"/>
          <w:highlight w:val="none"/>
        </w:rPr>
        <w:t>、签订合同</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.1</w:t>
      </w:r>
      <w:r>
        <w:rPr>
          <w:rFonts w:hint="eastAsia" w:ascii="宋体" w:hAnsi="宋体" w:cs="宋体"/>
        </w:rPr>
        <w:t>各子包</w:t>
      </w:r>
      <w:r>
        <w:rPr>
          <w:rFonts w:hint="eastAsia" w:ascii="宋体" w:hAnsi="宋体" w:cs="宋体"/>
          <w:color w:val="auto"/>
          <w:highlight w:val="none"/>
        </w:rPr>
        <w:t>中标人应自《中标通知书》发出之日起三十日内，应按照《中标通知书》指定的时间、地点，派遣其授权代表前往与</w:t>
      </w:r>
      <w:r>
        <w:rPr>
          <w:rFonts w:hint="eastAsia" w:ascii="宋体" w:hAnsi="宋体" w:cs="宋体"/>
          <w:color w:val="auto"/>
          <w:highlight w:val="none"/>
          <w:lang w:val="en-US" w:eastAsia="zh-CN"/>
        </w:rPr>
        <w:t>招标人</w:t>
      </w:r>
      <w:r>
        <w:rPr>
          <w:rFonts w:hint="eastAsia" w:ascii="宋体" w:hAnsi="宋体" w:cs="宋体"/>
          <w:color w:val="auto"/>
          <w:highlight w:val="none"/>
        </w:rPr>
        <w:t>签署合同。</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.2合同的组成基于但不限于以下部分：</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（1）《合同条款》；</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（2）招标文件及澄清、补充、修改文件；</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（3）中标人的投标文件及澄清、补充、修改文件；</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（4）相关资料；</w:t>
      </w:r>
    </w:p>
    <w:p>
      <w:pPr>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（5）《中标通知书》。</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.3签定合同过程中的解释顺序：1、中标通知书；2、</w:t>
      </w:r>
      <w:r>
        <w:rPr>
          <w:rFonts w:hint="eastAsia" w:ascii="宋体" w:hAnsi="宋体" w:cs="宋体"/>
          <w:color w:val="auto"/>
          <w:highlight w:val="none"/>
          <w:lang w:eastAsia="zh-CN"/>
        </w:rPr>
        <w:t>中标人</w:t>
      </w:r>
      <w:r>
        <w:rPr>
          <w:rFonts w:hint="eastAsia" w:ascii="宋体" w:hAnsi="宋体" w:cs="宋体"/>
          <w:color w:val="auto"/>
          <w:highlight w:val="none"/>
        </w:rPr>
        <w:t>投标文件；3、招标文件；当上述三份文件中的表述有冲突之处，以上述文件顺序列前的文件表述为准。</w:t>
      </w:r>
    </w:p>
    <w:p>
      <w:pPr>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.4不接受中标人授权其分公司或者分支机构签订合同。</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5</w:t>
      </w:r>
      <w:r>
        <w:rPr>
          <w:rFonts w:hint="eastAsia" w:ascii="宋体" w:hAnsi="宋体" w:cs="宋体"/>
          <w:b/>
          <w:bCs/>
          <w:color w:val="auto"/>
          <w:highlight w:val="none"/>
        </w:rPr>
        <w:t>、招标代理服务费</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.1.中标人应按中标通知书要求与招标人签订合同。</w:t>
      </w:r>
    </w:p>
    <w:p>
      <w:pPr>
        <w:spacing w:line="360" w:lineRule="auto"/>
        <w:ind w:left="439" w:hanging="439" w:hangingChars="208"/>
        <w:rPr>
          <w:rFonts w:hint="eastAsia" w:ascii="宋体" w:hAnsi="宋体"/>
          <w:color w:val="auto"/>
          <w:szCs w:val="21"/>
          <w:lang w:eastAsia="zh-CN"/>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.2.中标人须向招标代理机构交纳的招标代理服务费，</w:t>
      </w:r>
      <w:r>
        <w:rPr>
          <w:rFonts w:hint="eastAsia" w:ascii="宋体" w:hAnsi="宋体" w:eastAsia="宋体" w:cs="宋体"/>
          <w:b/>
          <w:bCs/>
          <w:color w:val="auto"/>
          <w:szCs w:val="20"/>
          <w:highlight w:val="none"/>
        </w:rPr>
        <w:t>招标代理服务费约定由</w:t>
      </w:r>
      <w:r>
        <w:rPr>
          <w:rFonts w:hint="eastAsia" w:ascii="宋体" w:hAnsi="宋体" w:eastAsia="宋体" w:cs="宋体"/>
          <w:b/>
          <w:bCs/>
          <w:color w:val="auto"/>
          <w:szCs w:val="20"/>
          <w:highlight w:val="none"/>
          <w:lang w:eastAsia="zh-CN"/>
        </w:rPr>
        <w:t>中标入围单位</w:t>
      </w:r>
      <w:r>
        <w:rPr>
          <w:rFonts w:hint="eastAsia" w:ascii="宋体" w:hAnsi="宋体" w:eastAsia="宋体" w:cs="宋体"/>
          <w:b/>
          <w:bCs/>
          <w:color w:val="auto"/>
          <w:szCs w:val="20"/>
          <w:highlight w:val="none"/>
        </w:rPr>
        <w:t>支付，</w:t>
      </w:r>
      <w:r>
        <w:rPr>
          <w:rFonts w:hint="eastAsia" w:ascii="宋体" w:hAnsi="宋体" w:eastAsia="宋体" w:cs="宋体"/>
          <w:b/>
          <w:bCs/>
          <w:color w:val="auto"/>
          <w:szCs w:val="20"/>
          <w:highlight w:val="none"/>
          <w:lang w:val="en-US" w:eastAsia="zh-CN"/>
        </w:rPr>
        <w:t>每个中标单位需缴纳本项目代理服务为固定金额</w:t>
      </w:r>
      <w:r>
        <w:rPr>
          <w:rFonts w:hint="eastAsia" w:ascii="宋体" w:hAnsi="宋体" w:cs="宋体"/>
          <w:b/>
          <w:bCs/>
          <w:color w:val="auto"/>
          <w:szCs w:val="20"/>
          <w:highlight w:val="none"/>
          <w:lang w:val="en-US" w:eastAsia="zh-CN"/>
        </w:rPr>
        <w:t>2500</w:t>
      </w:r>
      <w:r>
        <w:rPr>
          <w:rFonts w:hint="eastAsia" w:ascii="宋体" w:hAnsi="宋体" w:eastAsia="宋体" w:cs="宋体"/>
          <w:b/>
          <w:bCs/>
          <w:color w:val="auto"/>
          <w:szCs w:val="20"/>
          <w:highlight w:val="none"/>
        </w:rPr>
        <w:t>元</w:t>
      </w:r>
      <w:r>
        <w:rPr>
          <w:rFonts w:hint="eastAsia" w:ascii="宋体" w:hAnsi="宋体"/>
          <w:color w:val="auto"/>
          <w:szCs w:val="21"/>
          <w:lang w:eastAsia="zh-CN"/>
        </w:rPr>
        <w:t>。</w:t>
      </w:r>
    </w:p>
    <w:p>
      <w:pPr>
        <w:spacing w:line="360" w:lineRule="auto"/>
        <w:ind w:left="439" w:hanging="439" w:hangingChars="208"/>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5</w:t>
      </w:r>
      <w:r>
        <w:rPr>
          <w:rFonts w:hint="eastAsia" w:ascii="宋体" w:hAnsi="宋体" w:cs="宋体"/>
          <w:b/>
          <w:bCs/>
          <w:color w:val="auto"/>
          <w:highlight w:val="none"/>
        </w:rPr>
        <w:t>.3招标代理服务费由中标</w:t>
      </w:r>
      <w:r>
        <w:rPr>
          <w:rFonts w:hint="eastAsia" w:ascii="宋体" w:hAnsi="宋体" w:cs="宋体"/>
          <w:b/>
          <w:bCs/>
          <w:color w:val="auto"/>
          <w:highlight w:val="none"/>
          <w:lang w:val="en-US" w:eastAsia="zh-CN"/>
        </w:rPr>
        <w:t>人</w:t>
      </w:r>
      <w:r>
        <w:rPr>
          <w:rFonts w:hint="eastAsia" w:ascii="宋体" w:hAnsi="宋体" w:cs="宋体"/>
          <w:b/>
          <w:bCs/>
          <w:color w:val="auto"/>
          <w:highlight w:val="none"/>
        </w:rPr>
        <w:t>通过广咨电子招投标交易平台（http://www.gzebid.cn）向招标代理机构缴交。【严禁采用EFT系统(广东金融结算系统)方式缴纳，如采用此方式导致招投标系统无法识别缴纳账号信息的，视为未按要求缴纳招标代理服务费，由此造成后果由</w:t>
      </w:r>
      <w:r>
        <w:rPr>
          <w:rFonts w:hint="eastAsia" w:ascii="宋体" w:hAnsi="宋体" w:cs="宋体"/>
          <w:b/>
          <w:bCs/>
          <w:color w:val="auto"/>
          <w:highlight w:val="none"/>
          <w:lang w:eastAsia="zh-CN"/>
        </w:rPr>
        <w:t>供应商</w:t>
      </w:r>
      <w:r>
        <w:rPr>
          <w:rFonts w:hint="eastAsia" w:ascii="宋体" w:hAnsi="宋体" w:cs="宋体"/>
          <w:b/>
          <w:bCs/>
          <w:color w:val="auto"/>
          <w:highlight w:val="none"/>
        </w:rPr>
        <w:t>自行承担责任。】。</w:t>
      </w:r>
    </w:p>
    <w:p>
      <w:pPr>
        <w:widowControl/>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、监督与检查</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6</w:t>
      </w:r>
      <w:r>
        <w:rPr>
          <w:rFonts w:hint="eastAsia" w:ascii="宋体" w:hAnsi="宋体" w:cs="宋体"/>
          <w:color w:val="auto"/>
          <w:highlight w:val="none"/>
        </w:rPr>
        <w:t>.1</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有下列情形之一，则中标、成交无效，投标保证金不予退还，取消</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一年至三年内参加</w:t>
      </w:r>
      <w:r>
        <w:rPr>
          <w:rFonts w:hint="eastAsia" w:ascii="宋体" w:hAnsi="宋体" w:cs="宋体"/>
          <w:color w:val="auto"/>
          <w:highlight w:val="none"/>
          <w:u w:val="single"/>
          <w:lang w:eastAsia="zh-CN"/>
        </w:rPr>
        <w:t>广东南方日报展示科技有限公司</w:t>
      </w:r>
      <w:r>
        <w:rPr>
          <w:rFonts w:hint="eastAsia" w:ascii="宋体" w:hAnsi="宋体" w:cs="宋体"/>
          <w:color w:val="auto"/>
          <w:highlight w:val="none"/>
        </w:rPr>
        <w:t>招标项目的投标资格并予以公告；给招标人造成损失的，应追究其经济责任或法律责任：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1.提供虚假投标材料的；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2.采取不正当手段诋毁、排挤其他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3.与招标单位、其他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恶意串通的；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4.向招标单位行贿或者提供其他不正当利益的；</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5.其它违法、违纪或违规的行为。</w:t>
      </w:r>
    </w:p>
    <w:p>
      <w:pPr>
        <w:spacing w:line="360" w:lineRule="auto"/>
        <w:rPr>
          <w:rFonts w:hint="eastAsia" w:ascii="宋体" w:hAnsi="宋体" w:cs="宋体"/>
          <w:b/>
          <w:bCs/>
          <w:color w:val="auto"/>
          <w:highlight w:val="none"/>
        </w:rPr>
      </w:pPr>
      <w:r>
        <w:rPr>
          <w:rFonts w:hint="eastAsia" w:ascii="宋体" w:hAnsi="宋体" w:cs="宋体"/>
          <w:b/>
          <w:bCs/>
          <w:color w:val="auto"/>
          <w:highlight w:val="none"/>
        </w:rPr>
        <w:t>3</w:t>
      </w:r>
      <w:r>
        <w:rPr>
          <w:rFonts w:hint="eastAsia" w:ascii="宋体" w:hAnsi="宋体" w:cs="宋体"/>
          <w:b/>
          <w:bCs/>
          <w:color w:val="auto"/>
          <w:highlight w:val="none"/>
          <w:lang w:val="en-US" w:eastAsia="zh-CN"/>
        </w:rPr>
        <w:t>7</w:t>
      </w:r>
      <w:r>
        <w:rPr>
          <w:rFonts w:hint="eastAsia" w:ascii="宋体" w:hAnsi="宋体" w:cs="宋体"/>
          <w:b/>
          <w:bCs/>
          <w:color w:val="auto"/>
          <w:highlight w:val="none"/>
        </w:rPr>
        <w:t>、招标文件的解释权</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7</w:t>
      </w:r>
      <w:r>
        <w:rPr>
          <w:rFonts w:hint="eastAsia" w:ascii="宋体" w:hAnsi="宋体" w:cs="宋体"/>
          <w:color w:val="auto"/>
          <w:highlight w:val="none"/>
        </w:rPr>
        <w:t>.1如果</w:t>
      </w:r>
      <w:r>
        <w:rPr>
          <w:rFonts w:hint="eastAsia" w:ascii="宋体" w:hAnsi="宋体" w:cs="宋体"/>
          <w:color w:val="auto"/>
          <w:highlight w:val="none"/>
          <w:lang w:eastAsia="zh-CN"/>
        </w:rPr>
        <w:t>供应商</w:t>
      </w:r>
      <w:r>
        <w:rPr>
          <w:rFonts w:hint="eastAsia" w:ascii="宋体" w:hAnsi="宋体" w:cs="宋体"/>
          <w:color w:val="auto"/>
          <w:highlight w:val="none"/>
        </w:rPr>
        <w:t>对此次招标活动有疑问，可参照相关法律法规向广东省机电设备招标有限公司提出异议。广东省机电设备招标有限公司应当给与答复，并将结果告知有关当事人。异议应符合以下条件，如不符合，广东省机电设备招标有限公司将不予受理。</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(1) 提出异议的应是</w:t>
      </w:r>
      <w:r>
        <w:rPr>
          <w:rFonts w:hint="eastAsia" w:ascii="宋体" w:hAnsi="宋体" w:cs="宋体"/>
          <w:color w:val="auto"/>
          <w:highlight w:val="none"/>
          <w:lang w:eastAsia="zh-CN"/>
        </w:rPr>
        <w:t>供应商</w:t>
      </w:r>
      <w:r>
        <w:rPr>
          <w:rFonts w:hint="eastAsia" w:ascii="宋体" w:hAnsi="宋体" w:cs="宋体"/>
          <w:color w:val="auto"/>
          <w:highlight w:val="none"/>
        </w:rPr>
        <w:t>或者其他利害关系人。</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(2) 异议必须以书面形式提出，注明异议的项目名称、项目编号、异议</w:t>
      </w:r>
      <w:r>
        <w:rPr>
          <w:rFonts w:hint="eastAsia" w:ascii="宋体" w:hAnsi="宋体" w:cs="宋体"/>
          <w:color w:val="auto"/>
          <w:highlight w:val="none"/>
          <w:lang w:val="en-US" w:eastAsia="zh-CN"/>
        </w:rPr>
        <w:t>供应商</w:t>
      </w:r>
      <w:r>
        <w:rPr>
          <w:rFonts w:hint="eastAsia" w:ascii="宋体" w:hAnsi="宋体" w:cs="宋体"/>
          <w:color w:val="auto"/>
          <w:highlight w:val="none"/>
        </w:rPr>
        <w:t>的单位名称、详细地址、邮政编码、联系人及联系电话等基本情况。</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(3) 异议文件必须由</w:t>
      </w:r>
      <w:r>
        <w:rPr>
          <w:rFonts w:hint="eastAsia" w:ascii="宋体" w:hAnsi="宋体" w:cs="宋体"/>
          <w:color w:val="auto"/>
          <w:highlight w:val="none"/>
          <w:lang w:eastAsia="zh-CN"/>
        </w:rPr>
        <w:t>法定代表人/负责人</w:t>
      </w:r>
      <w:r>
        <w:rPr>
          <w:rFonts w:hint="eastAsia" w:ascii="宋体" w:hAnsi="宋体" w:cs="宋体"/>
          <w:color w:val="auto"/>
          <w:highlight w:val="none"/>
        </w:rPr>
        <w:t>签署或经</w:t>
      </w:r>
      <w:r>
        <w:rPr>
          <w:rFonts w:hint="eastAsia" w:ascii="宋体" w:hAnsi="宋体" w:cs="宋体"/>
          <w:color w:val="auto"/>
          <w:highlight w:val="none"/>
          <w:lang w:eastAsia="zh-CN"/>
        </w:rPr>
        <w:t>法定代表人/负责人</w:t>
      </w:r>
      <w:r>
        <w:rPr>
          <w:rFonts w:hint="eastAsia" w:ascii="宋体" w:hAnsi="宋体" w:cs="宋体"/>
          <w:color w:val="auto"/>
          <w:highlight w:val="none"/>
        </w:rPr>
        <w:t>授权的代表签署，加盖单位公章，在规定的时限内将异议书原件送抵广东省机电设备招标有限公司。</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(4) 有异议的具体事项、请求及理由，不得含有虚假、恶意成份，并附相关证据材料，所依据的有关法律、法规、规章的名称及条款内容。</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(5) 异议材料中有外文资料的，应一并附上中文译本，并以中文译本为准。</w:t>
      </w:r>
    </w:p>
    <w:p>
      <w:pPr>
        <w:spacing w:line="360" w:lineRule="auto"/>
        <w:ind w:left="359" w:hanging="359" w:hangingChars="171"/>
        <w:rPr>
          <w:rFonts w:hint="eastAsia" w:ascii="宋体" w:hAnsi="宋体" w:cs="宋体"/>
          <w:color w:val="auto"/>
          <w:highlight w:val="none"/>
        </w:rPr>
      </w:pPr>
      <w:r>
        <w:rPr>
          <w:rFonts w:hint="eastAsia" w:ascii="宋体" w:hAnsi="宋体" w:cs="宋体"/>
          <w:color w:val="auto"/>
          <w:highlight w:val="none"/>
        </w:rPr>
        <w:t>(6) 异议事项属于有关法律、法规和规章规定处于保密阶段的事项，异议的当事人应当提供信息来源或有效证据。</w:t>
      </w:r>
      <w:r>
        <w:rPr>
          <w:rFonts w:hint="eastAsia" w:ascii="宋体" w:hAnsi="宋体" w:cs="宋体"/>
          <w:color w:val="auto"/>
          <w:highlight w:val="none"/>
        </w:rPr>
        <w:br w:type="page"/>
      </w:r>
    </w:p>
    <w:p>
      <w:pPr>
        <w:pStyle w:val="2"/>
        <w:rPr>
          <w:rFonts w:hint="eastAsia"/>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numPr>
          <w:ilvl w:val="0"/>
          <w:numId w:val="3"/>
        </w:numPr>
        <w:jc w:val="center"/>
        <w:outlineLvl w:val="0"/>
        <w:rPr>
          <w:rFonts w:hint="eastAsia" w:ascii="宋体" w:hAnsi="宋体" w:cs="宋体"/>
          <w:b/>
          <w:color w:val="auto"/>
          <w:sz w:val="44"/>
          <w:szCs w:val="44"/>
          <w:highlight w:val="none"/>
        </w:rPr>
      </w:pPr>
      <w:bookmarkStart w:id="68" w:name="_Toc477186261"/>
      <w:bookmarkStart w:id="69" w:name="_Toc5009"/>
      <w:r>
        <w:rPr>
          <w:rFonts w:hint="eastAsia" w:ascii="宋体" w:hAnsi="宋体" w:cs="宋体"/>
          <w:b/>
          <w:color w:val="auto"/>
          <w:sz w:val="44"/>
          <w:szCs w:val="44"/>
          <w:highlight w:val="none"/>
        </w:rPr>
        <w:t xml:space="preserve"> </w:t>
      </w:r>
      <w:bookmarkEnd w:id="68"/>
      <w:r>
        <w:rPr>
          <w:rFonts w:hint="eastAsia" w:ascii="宋体" w:hAnsi="宋体" w:cs="宋体"/>
          <w:b/>
          <w:color w:val="auto"/>
          <w:sz w:val="44"/>
          <w:szCs w:val="44"/>
          <w:highlight w:val="none"/>
        </w:rPr>
        <w:t>用户需求书</w:t>
      </w:r>
      <w:bookmarkEnd w:id="69"/>
    </w:p>
    <w:p>
      <w:pPr>
        <w:pStyle w:val="10"/>
        <w:ind w:left="0" w:leftChars="0"/>
        <w:rPr>
          <w:rFonts w:hint="eastAsia" w:ascii="宋体" w:hAnsi="宋体" w:cs="宋体"/>
          <w:color w:val="auto"/>
          <w:highlight w:val="none"/>
        </w:rPr>
      </w:pPr>
    </w:p>
    <w:p>
      <w:pPr>
        <w:rPr>
          <w:rFonts w:hint="eastAsia" w:ascii="宋体" w:hAnsi="宋体" w:cs="宋体"/>
          <w:color w:val="auto"/>
          <w:highlight w:val="none"/>
        </w:rPr>
      </w:pPr>
    </w:p>
    <w:p>
      <w:pPr>
        <w:pStyle w:val="10"/>
        <w:rPr>
          <w:rFonts w:hint="eastAsia" w:ascii="宋体" w:hAnsi="宋体" w:cs="宋体"/>
          <w:color w:val="auto"/>
          <w:highlight w:val="none"/>
        </w:rPr>
      </w:pPr>
    </w:p>
    <w:p>
      <w:pPr>
        <w:spacing w:line="360" w:lineRule="auto"/>
        <w:rPr>
          <w:rFonts w:hint="eastAsia" w:ascii="宋体" w:hAnsi="宋体" w:cs="宋体"/>
          <w:color w:val="auto"/>
          <w:szCs w:val="21"/>
          <w:highlight w:val="none"/>
        </w:rPr>
      </w:pPr>
      <w:bookmarkStart w:id="70" w:name="_Toc474757211"/>
      <w:bookmarkStart w:id="71" w:name="_Toc475448858"/>
      <w:r>
        <w:rPr>
          <w:rFonts w:hint="eastAsia" w:ascii="宋体" w:hAnsi="宋体" w:cs="宋体"/>
          <w:color w:val="auto"/>
          <w:szCs w:val="21"/>
          <w:highlight w:val="none"/>
        </w:rPr>
        <w:t>1.打“★”号条款为实质性条款（如有），若有任何一条负偏离或不满足则导致投标（响应）无效。</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2.打“▲”号条款为重要技术参数（如有），若有部分“▲”条款未响应或不满足，将根据评审要求影响其得分，但不作为无效投标（响应）条款。</w:t>
      </w:r>
    </w:p>
    <w:p>
      <w:pPr>
        <w:pStyle w:val="17"/>
        <w:adjustRightInd w:val="0"/>
        <w:snapToGrid w:val="0"/>
        <w:spacing w:line="360" w:lineRule="auto"/>
        <w:jc w:val="left"/>
        <w:rPr>
          <w:rFonts w:hint="eastAsia" w:hAnsi="宋体"/>
          <w:b/>
          <w:sz w:val="28"/>
          <w:szCs w:val="28"/>
          <w:highlight w:val="none"/>
          <w:lang w:val="en-US" w:eastAsia="zh-CN"/>
        </w:rPr>
      </w:pPr>
      <w:r>
        <w:rPr>
          <w:rFonts w:hint="eastAsia" w:ascii="宋体" w:hAnsi="宋体" w:cs="宋体"/>
          <w:color w:val="auto"/>
          <w:sz w:val="24"/>
          <w:szCs w:val="24"/>
          <w:highlight w:val="none"/>
        </w:rPr>
        <w:br w:type="page"/>
      </w:r>
    </w:p>
    <w:p>
      <w:pPr>
        <w:spacing w:before="156" w:beforeLines="50" w:after="156" w:afterLines="50" w:line="360" w:lineRule="auto"/>
        <w:jc w:val="center"/>
        <w:outlineLvl w:val="9"/>
        <w:rPr>
          <w:rFonts w:hint="default" w:cs="Times New Roman" w:asciiTheme="minorEastAsia" w:hAnsiTheme="minorEastAsia" w:eastAsiaTheme="minorEastAsia"/>
          <w:color w:val="auto"/>
          <w:sz w:val="32"/>
          <w:szCs w:val="32"/>
          <w:lang w:val="en-US" w:eastAsia="zh-CN"/>
        </w:rPr>
      </w:pPr>
      <w:bookmarkStart w:id="72" w:name="_Toc68684318"/>
      <w:bookmarkStart w:id="73" w:name="_Toc26541"/>
      <w:bookmarkStart w:id="74" w:name="_Toc32130"/>
      <w:bookmarkStart w:id="75" w:name="_Toc5272"/>
      <w:bookmarkStart w:id="76" w:name="_Toc70434247"/>
      <w:bookmarkStart w:id="77" w:name="_Toc18739"/>
      <w:r>
        <w:rPr>
          <w:rFonts w:hint="eastAsia" w:ascii="宋体" w:hAnsi="宋体" w:cs="宋体"/>
          <w:b/>
          <w:bCs/>
          <w:color w:val="auto"/>
          <w:sz w:val="24"/>
          <w:szCs w:val="24"/>
          <w:highlight w:val="none"/>
          <w:lang w:val="en-US" w:eastAsia="zh-CN"/>
        </w:rPr>
        <w:t>子包1：布展实施年度供应商用户需求</w:t>
      </w:r>
    </w:p>
    <w:bookmarkEnd w:id="72"/>
    <w:bookmarkEnd w:id="73"/>
    <w:bookmarkEnd w:id="74"/>
    <w:bookmarkEnd w:id="75"/>
    <w:bookmarkEnd w:id="76"/>
    <w:bookmarkEnd w:id="77"/>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一、采购需求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本项目为年度招标入围服务采购。项目通过公开招标方式为招标人选取布展实施年度供应商。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二、项目服务要求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在服务期内，中标人根据招标人提供的具体项目设计方案、施工图纸</w:t>
      </w:r>
      <w:r>
        <w:rPr>
          <w:rFonts w:hint="eastAsia" w:ascii="宋体" w:hAnsi="宋体"/>
          <w:color w:val="auto"/>
          <w:szCs w:val="21"/>
          <w:highlight w:val="none"/>
          <w:lang w:val="en-US" w:eastAsia="zh-CN"/>
        </w:rPr>
        <w:t>（或空间模型）</w:t>
      </w:r>
      <w:r>
        <w:rPr>
          <w:rFonts w:hint="eastAsia" w:ascii="宋体" w:hAnsi="宋体" w:eastAsia="宋体" w:cs="宋体"/>
          <w:color w:val="auto"/>
          <w:sz w:val="21"/>
          <w:szCs w:val="21"/>
          <w:highlight w:val="none"/>
          <w:lang w:val="en-US" w:eastAsia="zh-CN"/>
        </w:rPr>
        <w:t>及</w:t>
      </w:r>
      <w:r>
        <w:rPr>
          <w:rFonts w:hint="eastAsia" w:ascii="宋体" w:hAnsi="宋体"/>
          <w:color w:val="auto"/>
          <w:szCs w:val="21"/>
          <w:highlight w:val="none"/>
          <w:lang w:val="en-US" w:eastAsia="zh-CN"/>
        </w:rPr>
        <w:t>报价材料等</w:t>
      </w:r>
      <w:r>
        <w:rPr>
          <w:rFonts w:hint="eastAsia" w:ascii="宋体" w:hAnsi="宋体" w:eastAsia="宋体" w:cs="宋体"/>
          <w:color w:val="auto"/>
          <w:sz w:val="21"/>
          <w:szCs w:val="21"/>
          <w:highlight w:val="none"/>
          <w:lang w:val="en-US" w:eastAsia="zh-CN"/>
        </w:rPr>
        <w:t>，负责项目的布展实施工作及相关配套服务，包括但不限于：装饰装修、</w:t>
      </w:r>
      <w:r>
        <w:rPr>
          <w:rFonts w:hint="eastAsia" w:ascii="宋体" w:hAnsi="宋体" w:cs="宋体"/>
          <w:szCs w:val="24"/>
          <w:highlight w:val="none"/>
          <w:vertAlign w:val="baseline"/>
          <w:lang w:val="en-US" w:eastAsia="zh-CN"/>
        </w:rPr>
        <w:t>强弱电配套</w:t>
      </w:r>
      <w:r>
        <w:rPr>
          <w:rFonts w:hint="eastAsia" w:ascii="宋体" w:hAnsi="宋体" w:eastAsia="宋体" w:cs="宋体"/>
          <w:color w:val="auto"/>
          <w:sz w:val="21"/>
          <w:szCs w:val="21"/>
          <w:highlight w:val="none"/>
          <w:lang w:val="en-US" w:eastAsia="zh-CN"/>
        </w:rPr>
        <w:t>、空调通风、消防</w:t>
      </w:r>
      <w:r>
        <w:rPr>
          <w:rFonts w:hint="eastAsia" w:ascii="宋体" w:hAnsi="宋体" w:cs="宋体"/>
          <w:szCs w:val="24"/>
          <w:highlight w:val="none"/>
          <w:vertAlign w:val="baseline"/>
          <w:lang w:val="en-US" w:eastAsia="zh-CN"/>
        </w:rPr>
        <w:t>配套</w:t>
      </w:r>
      <w:r>
        <w:rPr>
          <w:rFonts w:hint="eastAsia" w:ascii="宋体" w:hAnsi="宋体" w:eastAsia="宋体" w:cs="宋体"/>
          <w:color w:val="auto"/>
          <w:sz w:val="21"/>
          <w:szCs w:val="21"/>
          <w:highlight w:val="none"/>
          <w:lang w:val="en-US" w:eastAsia="zh-CN"/>
        </w:rPr>
        <w:t>、灯光设备、平面展陈、多媒体设备协同等施工及实施服务，以及项目资料整理、质保期维保等配套服务。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需根据招标人实际开展的项目需求在规定时限内提供布展实施服务（包括但不限于进行布展配套装饰服务、与本项目相关配套服务及维保服务等）。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服务期限：自合同签订之日起一年。服务期满后，根据中标人履约评价结果，经招标人同意后可再续期一年，累计不超过2年。单个具体项目的服务期限根据招标人具体要求为准。本项目为招标入围，合同履约期间招标人根据每个具体项目实际产生费用据实结算。</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在本次招标入围采购中的具体结算金额招标人不作承诺。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服务地点：招标人指定。</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项目人员要求：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（1）管理人员：</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须有详细项目管理组织机构，列出项目负责人、项目组主要人员以及项目组组成人员名单，并在</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中详细列出参与本项目组所有人员的姓名、年龄、职务、职称、承担的工作、主要资历、经验及承担过的项目。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（2）实施人员：单个具体项目的具体实施人员应根据具体实施项目安排</w:t>
      </w:r>
      <w:r>
        <w:rPr>
          <w:rFonts w:hint="eastAsia" w:ascii="宋体" w:hAnsi="宋体" w:cs="宋体"/>
          <w:color w:val="auto"/>
          <w:sz w:val="21"/>
          <w:szCs w:val="21"/>
          <w:highlight w:val="none"/>
          <w:lang w:val="en-US" w:eastAsia="zh-CN"/>
        </w:rPr>
        <w:t>，特种作业人员需持证上岗</w:t>
      </w:r>
      <w:r>
        <w:rPr>
          <w:rFonts w:hint="eastAsia" w:ascii="宋体" w:hAnsi="宋体" w:eastAsia="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5、其他服务要求：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应与招标人针对单个具体项目各指定合作负责人一名，负责双方日常事务联络、推动、跟踪、落实和检查具体合作活动开展、过程、信息交流等工作。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（2）验收方式：</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根据单个具体项目的实际需求，组织项目服务人员在约定时间完成各项服务工作，招标人对实施服务开展日常工作监督检查，项目服务工作完成后，由招标人根据单个项目约定的验收标准组织验收。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（3）质量保障要求：</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应在保证安全和服务质量的前提下开展服务工作，服务过程中的非招标单位造成的一切风险（包括安全责任事故）均由</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负责承担。</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三、知识产权与保密要求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1、招标人提供的任何与本项目相关的图文材料的知识产权均归招标人所有，</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不得将其用于合同项目以外的其他目的或向第三方提供上述材料，否则</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应另行承担侵权责任。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在签订和履行本合同中知悉的招标人的全部信息（包括技术信息和经营信息等）均为招标人的商业秘密。除本合同规定之工作所需外，未经招标人事先书面同意，</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不得使用、披露甲方的商业秘密，不得擅自使用、复制招标人的商标、标志、商业信息、技术及其他资料，否则</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应承担相应的侵权责任。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四、合同签订及付款方式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1、合同签订：本项目采用“框架入围协议+单项合同”方式。招标人与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签署框架入围协议后，根据招标人单个具体项目需求进行报价并签订单项合同。</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2、付款方式：招标人根据单项合同与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进行项目结算。</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五、年度供应商的使用及管理原则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（一）使用原则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每个具体项目实施前，招标人通知全部</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，并以书面形式向全部</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发送项目需求。</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需在规定时间内进行响应报价。招标人依照南方报业传媒集团</w:t>
      </w:r>
      <w:r>
        <w:rPr>
          <w:rFonts w:hint="eastAsia" w:ascii="宋体" w:hAnsi="宋体" w:cs="宋体"/>
          <w:color w:val="auto"/>
          <w:sz w:val="21"/>
          <w:szCs w:val="21"/>
          <w:highlight w:val="none"/>
          <w:lang w:val="en-US" w:eastAsia="zh-CN"/>
        </w:rPr>
        <w:t>（南方日报社）</w:t>
      </w:r>
      <w:r>
        <w:rPr>
          <w:rFonts w:hint="eastAsia" w:ascii="宋体" w:hAnsi="宋体" w:eastAsia="宋体" w:cs="宋体"/>
          <w:color w:val="auto"/>
          <w:sz w:val="21"/>
          <w:szCs w:val="21"/>
          <w:highlight w:val="none"/>
          <w:lang w:val="en-US" w:eastAsia="zh-CN"/>
        </w:rPr>
        <w:t>和广东南方日报经营有限公司有关管理规定，根据单个具体项目情况及供应商的报价，以最低报价确定该项目的实施单位，并签订项目合同。不满三家供应商响应报价的，招标人在对项目材料作相应调整后，重新向全部</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发送项目需求，</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在规定时间内重新进行报价。</w:t>
      </w:r>
      <w:r>
        <w:rPr>
          <w:rFonts w:hint="eastAsia" w:ascii="宋体" w:hAnsi="宋体" w:cs="宋体"/>
          <w:color w:val="auto"/>
          <w:sz w:val="21"/>
          <w:szCs w:val="21"/>
          <w:highlight w:val="none"/>
          <w:lang w:val="en-US" w:eastAsia="zh-CN"/>
        </w:rPr>
        <w:t>若存在两次</w:t>
      </w:r>
      <w:r>
        <w:rPr>
          <w:rFonts w:hint="eastAsia" w:ascii="宋体" w:hAnsi="宋体" w:eastAsia="宋体" w:cs="宋体"/>
          <w:color w:val="auto"/>
          <w:sz w:val="21"/>
          <w:szCs w:val="21"/>
          <w:highlight w:val="none"/>
          <w:lang w:val="en-US" w:eastAsia="zh-CN"/>
        </w:rPr>
        <w:t>不满三家供应商响应报价的</w:t>
      </w:r>
      <w:r>
        <w:rPr>
          <w:rFonts w:hint="eastAsia" w:ascii="宋体" w:hAnsi="宋体" w:cs="宋体"/>
          <w:color w:val="auto"/>
          <w:sz w:val="21"/>
          <w:szCs w:val="21"/>
          <w:highlight w:val="none"/>
          <w:lang w:val="en-US" w:eastAsia="zh-CN"/>
        </w:rPr>
        <w:t>情况</w:t>
      </w:r>
      <w:r>
        <w:rPr>
          <w:rFonts w:hint="eastAsia" w:ascii="宋体" w:hAnsi="宋体" w:eastAsia="宋体" w:cs="宋体"/>
          <w:color w:val="auto"/>
          <w:sz w:val="21"/>
          <w:szCs w:val="21"/>
          <w:highlight w:val="none"/>
          <w:lang w:val="en-US" w:eastAsia="zh-CN"/>
        </w:rPr>
        <w:t>，招标人</w:t>
      </w:r>
      <w:r>
        <w:rPr>
          <w:rFonts w:hint="eastAsia" w:ascii="宋体" w:hAnsi="宋体" w:cs="宋体"/>
          <w:color w:val="auto"/>
          <w:sz w:val="21"/>
          <w:szCs w:val="21"/>
          <w:highlight w:val="none"/>
          <w:lang w:val="en-US" w:eastAsia="zh-CN"/>
        </w:rPr>
        <w:t>可针对单个实施项目采用其他方式进行采购。</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本次年度招标入围采购</w:t>
      </w:r>
      <w:r>
        <w:rPr>
          <w:rFonts w:hint="eastAsia" w:ascii="宋体" w:hAnsi="宋体" w:cs="宋体"/>
          <w:color w:val="auto"/>
          <w:sz w:val="21"/>
          <w:szCs w:val="21"/>
          <w:highlight w:val="none"/>
          <w:lang w:val="en-US" w:eastAsia="zh-CN"/>
        </w:rPr>
        <w:t>适用范围不包含设计施工一体化服务采购项目。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（二）管理原则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度供应商合作期自合同签订之日起一年。服务期满后，根据中标人履约评价结果，经招标人同意后可再续期一年，累计不超过2年。合作期内，招标人将根据实际情况对年度供应商进行评价考核和动态管理。部分细则如下：</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1、每个具体项目实施前，招标人以书面形式向可参与报价的全部</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发送项目需求。</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根据招标人的具体项目需求，在规定时间内以书面形式进行响应报价，如不响应则记一次“不参与项目”。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2、招标人发出的项目采购需求原则上均设定项目最高限价，</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的报价不得超过招标人设定的最高限价，否则视为无效报价。</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 xml:space="preserve">提供无效报价的，记为一次“不参与项目”。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 xml:space="preserve">累计 3 次“不参与项目”，则直接解除合作，取消其年度供应商资格。被取消资格的年度供应商2年内不得参与招标人的同类项目投标。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4、为加强布展实施年度</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的管理，招标人将拟定布展实施年度</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管理规定。在具体项目完成后，招标人将对照供应商管理规定，对具体项目实施供应商的需求响应、项目执行、综合服务、施工质量等方面的履约情况进行相应履约评价。评价考核得分低于</w:t>
      </w:r>
      <w:r>
        <w:rPr>
          <w:rFonts w:hint="eastAsia" w:ascii="宋体" w:hAnsi="宋体" w:cs="宋体"/>
          <w:color w:val="auto"/>
          <w:sz w:val="21"/>
          <w:szCs w:val="21"/>
          <w:highlight w:val="none"/>
          <w:lang w:val="en-US" w:eastAsia="zh-CN"/>
        </w:rPr>
        <w:t>80分的，暂停参与一次项目的报价资格，评价考核低于</w:t>
      </w:r>
      <w:r>
        <w:rPr>
          <w:rFonts w:hint="eastAsia" w:ascii="宋体" w:hAnsi="宋体" w:eastAsia="宋体" w:cs="宋体"/>
          <w:color w:val="auto"/>
          <w:sz w:val="21"/>
          <w:szCs w:val="21"/>
          <w:highlight w:val="none"/>
          <w:lang w:val="en-US" w:eastAsia="zh-CN"/>
        </w:rPr>
        <w:t>60分的，取消其后续具体项目的参与资格。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5、当服务期内可参与报价的年度供应商数量少于3家时，招标人将重新启动招标增补供应商或采取其他方式开展工作。</w:t>
      </w:r>
    </w:p>
    <w:p>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spacing w:before="156" w:beforeLines="50" w:after="156" w:afterLines="50" w:line="360" w:lineRule="auto"/>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子包2：</w:t>
      </w:r>
      <w:bookmarkStart w:id="78" w:name="OLE_LINK8"/>
      <w:r>
        <w:rPr>
          <w:rFonts w:hint="eastAsia" w:ascii="宋体" w:hAnsi="宋体" w:eastAsia="宋体" w:cs="宋体"/>
          <w:b/>
          <w:bCs/>
          <w:color w:val="auto"/>
          <w:sz w:val="24"/>
          <w:szCs w:val="24"/>
          <w:highlight w:val="none"/>
          <w:lang w:val="en-US" w:eastAsia="zh-CN"/>
        </w:rPr>
        <w:t>展陈</w:t>
      </w:r>
      <w:bookmarkEnd w:id="78"/>
      <w:r>
        <w:rPr>
          <w:rFonts w:hint="eastAsia" w:ascii="宋体" w:hAnsi="宋体" w:eastAsia="宋体" w:cs="宋体"/>
          <w:b/>
          <w:bCs/>
          <w:color w:val="auto"/>
          <w:sz w:val="24"/>
          <w:szCs w:val="24"/>
          <w:highlight w:val="none"/>
          <w:lang w:val="en-US" w:eastAsia="zh-CN"/>
        </w:rPr>
        <w:t>多媒体硬件年度供应商用户需求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一、采购需求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本项目为年度招标入围服务采购。项目通过公开招标方式为招标人选取展陈多媒体硬件年度供应商。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kern w:val="2"/>
          <w:sz w:val="21"/>
          <w:szCs w:val="21"/>
          <w:highlight w:val="none"/>
          <w:lang w:val="en-US" w:eastAsia="zh-CN" w:bidi="ar-SA"/>
        </w:rPr>
        <w:t>项目服务要求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1、展陈</w:t>
      </w:r>
      <w:r>
        <w:rPr>
          <w:rFonts w:hint="eastAsia" w:ascii="宋体" w:hAnsi="宋体" w:eastAsia="宋体" w:cs="宋体"/>
          <w:b/>
          <w:bCs/>
          <w:color w:val="auto"/>
          <w:kern w:val="2"/>
          <w:sz w:val="21"/>
          <w:szCs w:val="21"/>
          <w:highlight w:val="none"/>
          <w:lang w:val="en-US" w:eastAsia="zh-CN" w:bidi="ar-SA"/>
        </w:rPr>
        <w:t>多媒体硬件项目服务内容不限于</w:t>
      </w:r>
      <w:r>
        <w:rPr>
          <w:rFonts w:hint="eastAsia" w:ascii="宋体" w:hAnsi="宋体" w:cs="宋体"/>
          <w:b/>
          <w:bCs/>
          <w:color w:val="auto"/>
          <w:kern w:val="2"/>
          <w:sz w:val="21"/>
          <w:szCs w:val="21"/>
          <w:highlight w:val="none"/>
          <w:lang w:val="en-US" w:eastAsia="zh-CN" w:bidi="ar-SA"/>
        </w:rPr>
        <w:t>以下多媒体设备：</w:t>
      </w:r>
    </w:p>
    <w:p>
      <w:pPr>
        <w:pStyle w:val="59"/>
        <w:spacing w:before="240" w:after="12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多媒体设备参数</w:t>
      </w:r>
    </w:p>
    <w:tbl>
      <w:tblPr>
        <w:tblStyle w:val="31"/>
        <w:tblW w:w="0" w:type="auto"/>
        <w:tblInd w:w="-5" w:type="dxa"/>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Layout w:type="autofit"/>
        <w:tblCellMar>
          <w:top w:w="0" w:type="dxa"/>
          <w:left w:w="108" w:type="dxa"/>
          <w:bottom w:w="0" w:type="dxa"/>
          <w:right w:w="108" w:type="dxa"/>
        </w:tblCellMar>
      </w:tblPr>
      <w:tblGrid>
        <w:gridCol w:w="750"/>
        <w:gridCol w:w="1084"/>
        <w:gridCol w:w="6363"/>
      </w:tblGrid>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trHeight w:val="703" w:hRule="atLeast"/>
        </w:trPr>
        <w:tc>
          <w:tcPr>
            <w:tcW w:w="750" w:type="dxa"/>
            <w:tcBorders>
              <w:top w:val="single" w:color="000000" w:sz="4" w:space="0"/>
              <w:left w:val="single" w:color="000000" w:sz="4" w:space="0"/>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79" w:name="_Toc16653"/>
            <w:bookmarkStart w:id="80" w:name="_Toc30598"/>
            <w:r>
              <w:rPr>
                <w:rFonts w:hint="eastAsia" w:ascii="Calibri" w:hAnsi="Calibri" w:eastAsia="宋体" w:cs="宋体"/>
                <w:sz w:val="21"/>
                <w:szCs w:val="21"/>
                <w:lang w:bidi="ar"/>
              </w:rPr>
              <w:t>序号</w:t>
            </w:r>
            <w:bookmarkEnd w:id="79"/>
            <w:bookmarkEnd w:id="80"/>
          </w:p>
        </w:tc>
        <w:tc>
          <w:tcPr>
            <w:tcW w:w="1084" w:type="dxa"/>
            <w:tcBorders>
              <w:top w:val="single" w:color="000000" w:sz="4" w:space="0"/>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81" w:name="_Toc19147"/>
            <w:bookmarkStart w:id="82" w:name="_Toc30729"/>
            <w:r>
              <w:rPr>
                <w:rFonts w:hint="eastAsia" w:ascii="Calibri" w:hAnsi="Calibri" w:eastAsia="宋体" w:cs="宋体"/>
                <w:sz w:val="21"/>
                <w:szCs w:val="21"/>
                <w:lang w:bidi="ar"/>
              </w:rPr>
              <w:t>设备名称</w:t>
            </w:r>
            <w:bookmarkEnd w:id="81"/>
            <w:bookmarkEnd w:id="82"/>
          </w:p>
        </w:tc>
        <w:tc>
          <w:tcPr>
            <w:tcW w:w="6363" w:type="dxa"/>
            <w:tcBorders>
              <w:top w:val="single" w:color="000000" w:sz="4" w:space="0"/>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83" w:name="_Toc10050"/>
            <w:bookmarkStart w:id="84" w:name="_Toc10973"/>
            <w:r>
              <w:rPr>
                <w:rFonts w:hint="eastAsia" w:ascii="Calibri" w:hAnsi="Calibri" w:eastAsia="宋体" w:cs="宋体"/>
                <w:sz w:val="21"/>
                <w:szCs w:val="21"/>
                <w:lang w:bidi="ar"/>
              </w:rPr>
              <w:t>规格参数及功能要求</w:t>
            </w:r>
            <w:bookmarkEnd w:id="83"/>
            <w:bookmarkEnd w:id="84"/>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rPr>
          <w:trHeight w:val="721" w:hRule="atLeast"/>
        </w:trPr>
        <w:tc>
          <w:tcPr>
            <w:tcW w:w="750" w:type="dxa"/>
            <w:tcBorders>
              <w:top w:val="nil"/>
              <w:left w:val="single" w:color="000000" w:sz="4" w:space="0"/>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85" w:name="_Toc18039"/>
            <w:bookmarkStart w:id="86" w:name="_Toc24379"/>
            <w:r>
              <w:rPr>
                <w:rFonts w:ascii="Calibri" w:hAnsi="Calibri" w:eastAsia="宋体"/>
                <w:sz w:val="21"/>
                <w:szCs w:val="21"/>
                <w:lang w:bidi="ar"/>
              </w:rPr>
              <w:t>1</w:t>
            </w:r>
            <w:bookmarkEnd w:id="85"/>
            <w:bookmarkEnd w:id="86"/>
          </w:p>
        </w:tc>
        <w:tc>
          <w:tcPr>
            <w:tcW w:w="1084" w:type="dxa"/>
            <w:tcBorders>
              <w:top w:val="nil"/>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87" w:name="_Toc25784"/>
            <w:bookmarkStart w:id="88" w:name="_Toc7937"/>
            <w:r>
              <w:rPr>
                <w:rFonts w:hint="eastAsia" w:ascii="Calibri" w:hAnsi="Calibri" w:eastAsia="宋体" w:cs="宋体"/>
                <w:sz w:val="21"/>
                <w:szCs w:val="21"/>
                <w:lang w:bidi="ar"/>
              </w:rPr>
              <w:t>展示设备</w:t>
            </w:r>
            <w:bookmarkEnd w:id="87"/>
            <w:bookmarkEnd w:id="88"/>
          </w:p>
        </w:tc>
        <w:tc>
          <w:tcPr>
            <w:tcW w:w="6363" w:type="dxa"/>
            <w:tcBorders>
              <w:top w:val="nil"/>
              <w:left w:val="nil"/>
              <w:bottom w:val="single" w:color="000000" w:sz="4" w:space="0"/>
              <w:right w:val="single" w:color="000000" w:sz="4" w:space="0"/>
            </w:tcBorders>
            <w:tcMar>
              <w:left w:w="105" w:type="dxa"/>
              <w:right w:w="105" w:type="dxa"/>
            </w:tcMar>
          </w:tcPr>
          <w:p>
            <w:pPr>
              <w:pStyle w:val="26"/>
              <w:widowControl/>
              <w:spacing w:beforeAutospacing="0" w:afterAutospacing="0"/>
              <w:jc w:val="both"/>
              <w:outlineLvl w:val="2"/>
              <w:rPr>
                <w:rFonts w:hint="default" w:ascii="Calibri" w:hAnsi="Calibri" w:eastAsia="宋体"/>
                <w:sz w:val="21"/>
                <w:szCs w:val="21"/>
                <w:lang w:val="en-US" w:eastAsia="zh-CN" w:bidi="ar"/>
              </w:rPr>
            </w:pPr>
            <w:bookmarkStart w:id="89" w:name="_Toc6532"/>
            <w:bookmarkStart w:id="90" w:name="_Toc31432"/>
            <w:r>
              <w:rPr>
                <w:rFonts w:hint="eastAsia" w:ascii="Calibri" w:hAnsi="Calibri" w:eastAsia="宋体"/>
                <w:sz w:val="21"/>
                <w:szCs w:val="21"/>
                <w:lang w:bidi="ar"/>
              </w:rPr>
              <w:t>（</w:t>
            </w:r>
            <w:r>
              <w:rPr>
                <w:rFonts w:hint="eastAsia" w:ascii="Calibri" w:hAnsi="Calibri"/>
                <w:sz w:val="21"/>
                <w:szCs w:val="21"/>
                <w:lang w:val="en-US" w:eastAsia="zh-CN" w:bidi="ar"/>
              </w:rPr>
              <w:t>一</w:t>
            </w:r>
            <w:r>
              <w:rPr>
                <w:rFonts w:hint="eastAsia" w:ascii="Calibri" w:hAnsi="Calibri" w:eastAsia="宋体"/>
                <w:sz w:val="21"/>
                <w:szCs w:val="21"/>
                <w:lang w:bidi="ar"/>
              </w:rPr>
              <w:t>）</w:t>
            </w:r>
            <w:bookmarkEnd w:id="89"/>
            <w:bookmarkEnd w:id="90"/>
            <w:r>
              <w:rPr>
                <w:rFonts w:hint="eastAsia" w:ascii="Calibri" w:hAnsi="Calibri" w:eastAsia="宋体"/>
                <w:sz w:val="21"/>
                <w:szCs w:val="21"/>
                <w:lang w:val="en-US" w:eastAsia="zh-CN" w:bidi="ar"/>
              </w:rPr>
              <w:t>非触摸一体机（播放屏）</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 xml:space="preserve">屏幕尺寸：32寸/43寸/49寸/55寸/65寸/75寸/86寸/98寸LED屏(16:9) </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分辨率：1920（H）×1080（V）/3840（H）×2160（V)可选</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可视角度：≧178 degree(H)；≧178 degree(V)</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亮度：≧350cd/m2</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对比度：≧5000：1</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响应时间：8ms</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色域：72%</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扫描频率：4K-60HZ</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背光源:DLED</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显示输出:HDMI</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彩色制式:PAL、NTSC</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声音:3维立体声音效 输出功率≧2*10W</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显示屏保护:全钢化玻璃（防炫可选）</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存储环境 存储温度：-20℃~60℃;存储湿度：10%RH~90%RH</w:t>
            </w:r>
          </w:p>
          <w:p>
            <w:pPr>
              <w:pStyle w:val="26"/>
              <w:widowControl/>
              <w:numPr>
                <w:ilvl w:val="0"/>
                <w:numId w:val="4"/>
              </w:numPr>
              <w:outlineLvl w:val="2"/>
              <w:rPr>
                <w:rFonts w:hint="eastAsia" w:ascii="Calibri" w:hAnsi="Calibri" w:eastAsia="宋体"/>
                <w:sz w:val="21"/>
                <w:szCs w:val="21"/>
                <w:lang w:bidi="ar"/>
              </w:rPr>
            </w:pPr>
            <w:r>
              <w:rPr>
                <w:rFonts w:hint="eastAsia" w:ascii="Calibri" w:hAnsi="Calibri" w:eastAsia="宋体"/>
                <w:sz w:val="21"/>
                <w:szCs w:val="21"/>
                <w:lang w:bidi="ar"/>
              </w:rPr>
              <w:t>工作环境 工作温度：-10℃~55℃；工作湿度：10%RH~90%RH</w:t>
            </w:r>
          </w:p>
          <w:p>
            <w:pPr>
              <w:pStyle w:val="26"/>
              <w:widowControl/>
              <w:numPr>
                <w:ilvl w:val="0"/>
                <w:numId w:val="4"/>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使用寿命 ≧50000小时</w:t>
            </w:r>
          </w:p>
          <w:p>
            <w:pPr>
              <w:pStyle w:val="26"/>
              <w:widowControl/>
              <w:numPr>
                <w:ilvl w:val="0"/>
                <w:numId w:val="4"/>
              </w:numPr>
              <w:spacing w:beforeAutospacing="0" w:afterAutospacing="0"/>
              <w:jc w:val="both"/>
              <w:outlineLvl w:val="2"/>
              <w:rPr>
                <w:rFonts w:ascii="Calibri" w:hAnsi="Calibri" w:eastAsia="宋体"/>
                <w:sz w:val="21"/>
                <w:szCs w:val="21"/>
                <w:lang w:bidi="ar"/>
              </w:rPr>
            </w:pPr>
            <w:r>
              <w:rPr>
                <w:rFonts w:hint="eastAsia" w:ascii="宋体" w:hAnsi="宋体" w:cs="宋体"/>
                <w:color w:val="auto"/>
                <w:szCs w:val="21"/>
                <w:highlight w:val="none"/>
              </w:rPr>
              <w:t>▲</w:t>
            </w:r>
            <w:r>
              <w:rPr>
                <w:rFonts w:hint="eastAsia" w:ascii="Calibri" w:hAnsi="Calibri" w:eastAsia="宋体"/>
                <w:sz w:val="21"/>
                <w:szCs w:val="21"/>
                <w:lang w:bidi="ar"/>
              </w:rPr>
              <w:t>主机配置：</w:t>
            </w:r>
          </w:p>
          <w:p>
            <w:pPr>
              <w:pStyle w:val="26"/>
              <w:widowControl/>
              <w:spacing w:beforeAutospacing="0" w:afterAutospacing="0"/>
              <w:jc w:val="both"/>
              <w:outlineLvl w:val="2"/>
              <w:rPr>
                <w:rFonts w:ascii="Calibri" w:hAnsi="Calibri" w:eastAsia="宋体"/>
                <w:sz w:val="21"/>
                <w:szCs w:val="21"/>
                <w:lang w:bidi="ar"/>
              </w:rPr>
            </w:pPr>
            <w:r>
              <w:rPr>
                <w:rFonts w:ascii="Calibri" w:hAnsi="Calibri" w:eastAsia="宋体"/>
                <w:sz w:val="21"/>
                <w:szCs w:val="21"/>
                <w:lang w:bidi="ar"/>
              </w:rPr>
              <w:t>Windows</w:t>
            </w:r>
            <w:r>
              <w:rPr>
                <w:rFonts w:hint="eastAsia" w:ascii="Calibri" w:hAnsi="Calibri" w:eastAsia="宋体"/>
                <w:sz w:val="21"/>
                <w:szCs w:val="21"/>
                <w:lang w:bidi="ar"/>
              </w:rPr>
              <w:t>主机</w:t>
            </w:r>
            <w:r>
              <w:rPr>
                <w:rFonts w:ascii="Calibri" w:hAnsi="Calibri" w:eastAsia="宋体"/>
                <w:sz w:val="21"/>
                <w:szCs w:val="21"/>
                <w:lang w:bidi="ar"/>
              </w:rPr>
              <w:t xml:space="preserve"> CPU</w:t>
            </w:r>
            <w:r>
              <w:rPr>
                <w:rFonts w:hint="eastAsia" w:ascii="Calibri" w:hAnsi="Calibri" w:eastAsia="宋体"/>
                <w:sz w:val="21"/>
                <w:szCs w:val="21"/>
                <w:lang w:bidi="ar"/>
              </w:rPr>
              <w:t>：</w:t>
            </w:r>
            <w:r>
              <w:rPr>
                <w:rFonts w:ascii="Calibri" w:hAnsi="Calibri" w:eastAsia="宋体"/>
                <w:sz w:val="21"/>
                <w:szCs w:val="21"/>
                <w:lang w:bidi="ar"/>
              </w:rPr>
              <w:t>I7</w:t>
            </w:r>
            <w:r>
              <w:rPr>
                <w:rFonts w:hint="eastAsia" w:ascii="Calibri" w:hAnsi="Calibri" w:eastAsia="宋体"/>
                <w:sz w:val="21"/>
                <w:szCs w:val="21"/>
                <w:lang w:bidi="ar"/>
              </w:rPr>
              <w:t>六代或以上；内存：</w:t>
            </w:r>
            <w:r>
              <w:rPr>
                <w:rFonts w:ascii="Calibri" w:hAnsi="Calibri" w:eastAsia="宋体"/>
                <w:sz w:val="21"/>
                <w:szCs w:val="21"/>
                <w:lang w:bidi="ar"/>
              </w:rPr>
              <w:t>8G DDR3</w:t>
            </w:r>
            <w:r>
              <w:rPr>
                <w:rFonts w:hint="eastAsia" w:ascii="Calibri" w:hAnsi="Calibri" w:eastAsia="宋体"/>
                <w:sz w:val="21"/>
                <w:szCs w:val="21"/>
                <w:lang w:bidi="ar"/>
              </w:rPr>
              <w:t>以上；硬盘：</w:t>
            </w:r>
            <w:r>
              <w:rPr>
                <w:rFonts w:ascii="Calibri" w:hAnsi="Calibri" w:eastAsia="宋体"/>
                <w:sz w:val="21"/>
                <w:szCs w:val="21"/>
                <w:lang w:bidi="ar"/>
              </w:rPr>
              <w:t>128G</w:t>
            </w:r>
            <w:r>
              <w:rPr>
                <w:rFonts w:hint="eastAsia" w:ascii="Calibri" w:hAnsi="Calibri" w:eastAsia="宋体"/>
                <w:sz w:val="21"/>
                <w:szCs w:val="21"/>
                <w:lang w:bidi="ar"/>
              </w:rPr>
              <w:t>以上</w:t>
            </w:r>
            <w:r>
              <w:rPr>
                <w:rFonts w:ascii="Calibri" w:hAnsi="Calibri" w:eastAsia="宋体"/>
                <w:sz w:val="21"/>
                <w:szCs w:val="21"/>
                <w:lang w:bidi="ar"/>
              </w:rPr>
              <w:t xml:space="preserve"> SSD</w:t>
            </w:r>
            <w:r>
              <w:rPr>
                <w:rFonts w:hint="eastAsia" w:ascii="Calibri" w:hAnsi="Calibri" w:eastAsia="宋体"/>
                <w:sz w:val="21"/>
                <w:szCs w:val="21"/>
                <w:lang w:bidi="ar"/>
              </w:rPr>
              <w:t>；带有网卡支持</w:t>
            </w:r>
            <w:r>
              <w:rPr>
                <w:rFonts w:ascii="Calibri" w:hAnsi="Calibri" w:eastAsia="宋体"/>
                <w:sz w:val="21"/>
                <w:szCs w:val="21"/>
                <w:lang w:bidi="ar"/>
              </w:rPr>
              <w:t>WiFi</w:t>
            </w:r>
            <w:r>
              <w:rPr>
                <w:rFonts w:hint="eastAsia" w:ascii="Calibri" w:hAnsi="Calibri" w:eastAsia="宋体"/>
                <w:sz w:val="21"/>
                <w:szCs w:val="21"/>
                <w:lang w:bidi="ar"/>
              </w:rPr>
              <w:t>。</w:t>
            </w:r>
          </w:p>
          <w:p>
            <w:pPr>
              <w:pStyle w:val="26"/>
              <w:widowControl/>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 xml:space="preserve">安卓主机RK3588 </w:t>
            </w:r>
            <w:r>
              <w:rPr>
                <w:rFonts w:ascii="Calibri" w:hAnsi="Calibri" w:eastAsia="宋体"/>
                <w:sz w:val="21"/>
                <w:szCs w:val="21"/>
                <w:lang w:bidi="ar"/>
              </w:rPr>
              <w:t>4G+32G</w:t>
            </w:r>
            <w:r>
              <w:rPr>
                <w:rFonts w:hint="eastAsia" w:ascii="Calibri" w:hAnsi="Calibri" w:eastAsia="宋体"/>
                <w:sz w:val="21"/>
                <w:szCs w:val="21"/>
                <w:lang w:bidi="ar"/>
              </w:rPr>
              <w:t>以上，需支持</w:t>
            </w:r>
            <w:r>
              <w:rPr>
                <w:rFonts w:ascii="Calibri" w:hAnsi="Calibri" w:eastAsia="宋体"/>
                <w:sz w:val="21"/>
                <w:szCs w:val="21"/>
                <w:lang w:bidi="ar"/>
              </w:rPr>
              <w:t>4G/5G</w:t>
            </w:r>
            <w:r>
              <w:rPr>
                <w:rFonts w:hint="eastAsia" w:ascii="Calibri" w:hAnsi="Calibri" w:eastAsia="宋体"/>
                <w:sz w:val="21"/>
                <w:szCs w:val="21"/>
                <w:lang w:bidi="ar"/>
              </w:rPr>
              <w:t>网络；</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接口：</w:t>
            </w:r>
            <w:r>
              <w:rPr>
                <w:rFonts w:ascii="Calibri" w:hAnsi="Calibri" w:eastAsia="宋体"/>
                <w:sz w:val="21"/>
                <w:szCs w:val="21"/>
                <w:lang w:bidi="ar"/>
              </w:rPr>
              <w:t>1</w:t>
            </w:r>
            <w:r>
              <w:rPr>
                <w:rFonts w:hint="eastAsia" w:ascii="Calibri" w:hAnsi="Calibri" w:eastAsia="宋体"/>
                <w:sz w:val="21"/>
                <w:szCs w:val="21"/>
                <w:lang w:bidi="ar"/>
              </w:rPr>
              <w:t>×</w:t>
            </w:r>
            <w:r>
              <w:rPr>
                <w:rFonts w:ascii="Calibri" w:hAnsi="Calibri" w:eastAsia="宋体"/>
                <w:sz w:val="21"/>
                <w:szCs w:val="21"/>
                <w:lang w:bidi="ar"/>
              </w:rPr>
              <w:t>HDMI2.0</w:t>
            </w:r>
            <w:r>
              <w:rPr>
                <w:rFonts w:hint="eastAsia" w:ascii="Calibri" w:hAnsi="Calibri" w:eastAsia="宋体"/>
                <w:sz w:val="21"/>
                <w:szCs w:val="21"/>
                <w:lang w:bidi="ar"/>
              </w:rPr>
              <w:t>，</w:t>
            </w:r>
            <w:r>
              <w:rPr>
                <w:rFonts w:ascii="Calibri" w:hAnsi="Calibri" w:eastAsia="宋体"/>
                <w:sz w:val="21"/>
                <w:szCs w:val="21"/>
                <w:lang w:bidi="ar"/>
              </w:rPr>
              <w:t>1</w:t>
            </w:r>
            <w:r>
              <w:rPr>
                <w:rFonts w:hint="eastAsia" w:ascii="Calibri" w:hAnsi="Calibri" w:eastAsia="宋体"/>
                <w:sz w:val="21"/>
                <w:szCs w:val="21"/>
                <w:lang w:bidi="ar"/>
              </w:rPr>
              <w:t>×网络接口，</w:t>
            </w:r>
            <w:r>
              <w:rPr>
                <w:rFonts w:ascii="Calibri" w:hAnsi="Calibri" w:eastAsia="宋体"/>
                <w:sz w:val="21"/>
                <w:szCs w:val="21"/>
                <w:lang w:bidi="ar"/>
              </w:rPr>
              <w:t>4</w:t>
            </w:r>
            <w:r>
              <w:rPr>
                <w:rFonts w:hint="eastAsia" w:ascii="Calibri" w:hAnsi="Calibri" w:eastAsia="宋体"/>
                <w:sz w:val="21"/>
                <w:szCs w:val="21"/>
                <w:lang w:bidi="ar"/>
              </w:rPr>
              <w:t>×</w:t>
            </w:r>
            <w:r>
              <w:rPr>
                <w:rFonts w:ascii="Calibri" w:hAnsi="Calibri" w:eastAsia="宋体"/>
                <w:sz w:val="21"/>
                <w:szCs w:val="21"/>
                <w:lang w:bidi="ar"/>
              </w:rPr>
              <w:t>USB</w:t>
            </w:r>
            <w:r>
              <w:rPr>
                <w:rFonts w:hint="eastAsia" w:ascii="Calibri" w:hAnsi="Calibri" w:eastAsia="宋体"/>
                <w:sz w:val="21"/>
                <w:szCs w:val="21"/>
                <w:lang w:bidi="ar"/>
              </w:rPr>
              <w:t>。</w:t>
            </w:r>
          </w:p>
          <w:p>
            <w:pPr>
              <w:pStyle w:val="26"/>
              <w:widowControl/>
              <w:spacing w:beforeAutospacing="0" w:afterAutospacing="0"/>
              <w:jc w:val="both"/>
              <w:outlineLvl w:val="2"/>
              <w:rPr>
                <w:rFonts w:hint="eastAsia" w:ascii="Calibri" w:hAnsi="Calibri" w:eastAsia="宋体"/>
                <w:sz w:val="21"/>
                <w:szCs w:val="21"/>
                <w:lang w:bidi="ar"/>
              </w:rPr>
            </w:pPr>
          </w:p>
          <w:p>
            <w:pPr>
              <w:pStyle w:val="26"/>
              <w:widowControl/>
              <w:spacing w:beforeAutospacing="0" w:afterAutospacing="0"/>
              <w:jc w:val="both"/>
              <w:outlineLvl w:val="2"/>
              <w:rPr>
                <w:rFonts w:hint="default" w:ascii="Calibri" w:hAnsi="Calibri" w:eastAsia="宋体"/>
                <w:sz w:val="21"/>
                <w:szCs w:val="21"/>
                <w:lang w:val="en-US" w:eastAsia="zh-CN" w:bidi="ar"/>
              </w:rPr>
            </w:pPr>
            <w:bookmarkStart w:id="91" w:name="_Toc584"/>
            <w:bookmarkStart w:id="92" w:name="_Toc1448"/>
            <w:r>
              <w:rPr>
                <w:rFonts w:hint="eastAsia" w:ascii="Calibri" w:hAnsi="Calibri" w:eastAsia="宋体"/>
                <w:sz w:val="21"/>
                <w:szCs w:val="21"/>
                <w:lang w:bidi="ar"/>
              </w:rPr>
              <w:t>（</w:t>
            </w:r>
            <w:r>
              <w:rPr>
                <w:rFonts w:hint="eastAsia" w:ascii="Calibri" w:hAnsi="Calibri"/>
                <w:sz w:val="21"/>
                <w:szCs w:val="21"/>
                <w:lang w:val="en-US" w:eastAsia="zh-CN" w:bidi="ar"/>
              </w:rPr>
              <w:t>二</w:t>
            </w:r>
            <w:r>
              <w:rPr>
                <w:rFonts w:hint="eastAsia" w:ascii="Calibri" w:hAnsi="Calibri" w:eastAsia="宋体"/>
                <w:sz w:val="21"/>
                <w:szCs w:val="21"/>
                <w:lang w:bidi="ar"/>
              </w:rPr>
              <w:t>）</w:t>
            </w:r>
            <w:bookmarkEnd w:id="91"/>
            <w:bookmarkEnd w:id="92"/>
            <w:r>
              <w:rPr>
                <w:rFonts w:hint="eastAsia" w:ascii="Calibri" w:hAnsi="Calibri" w:eastAsia="宋体"/>
                <w:sz w:val="21"/>
                <w:szCs w:val="21"/>
                <w:lang w:val="en-US" w:eastAsia="zh-CN" w:bidi="ar"/>
              </w:rPr>
              <w:t>室内LED大屏</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像素点间距：1.25mm/1.538mm/1.86mm/2mm</w:t>
            </w:r>
          </w:p>
          <w:p>
            <w:pPr>
              <w:pStyle w:val="26"/>
              <w:widowControl/>
              <w:numPr>
                <w:ilvl w:val="0"/>
                <w:numId w:val="5"/>
              </w:numPr>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像素结构：SMD三合一LED</w:t>
            </w:r>
          </w:p>
          <w:p>
            <w:pPr>
              <w:pStyle w:val="26"/>
              <w:widowControl/>
              <w:numPr>
                <w:ilvl w:val="0"/>
                <w:numId w:val="5"/>
              </w:numPr>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模组尺寸(WXH)：320mm*160mm</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宋体" w:hAnsi="宋体" w:cs="宋体"/>
                <w:color w:val="auto"/>
                <w:szCs w:val="21"/>
                <w:highlight w:val="none"/>
              </w:rPr>
              <w:t>▲</w:t>
            </w:r>
            <w:r>
              <w:rPr>
                <w:rFonts w:hint="eastAsia" w:ascii="Calibri" w:hAnsi="Calibri" w:eastAsia="宋体"/>
                <w:sz w:val="21"/>
                <w:szCs w:val="21"/>
                <w:lang w:bidi="ar"/>
              </w:rPr>
              <w:t>亮度(nits)：≥800</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色温：800-18000K可调</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宋体" w:hAnsi="宋体" w:cs="宋体"/>
                <w:color w:val="auto"/>
                <w:szCs w:val="21"/>
                <w:highlight w:val="none"/>
              </w:rPr>
              <w:t>▲</w:t>
            </w:r>
            <w:r>
              <w:rPr>
                <w:rFonts w:hint="eastAsia" w:ascii="Calibri" w:hAnsi="Calibri" w:eastAsia="宋体"/>
                <w:sz w:val="21"/>
                <w:szCs w:val="21"/>
                <w:lang w:bidi="ar"/>
              </w:rPr>
              <w:t>对比度：≥12000:1；</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峰值功耗：≤380W；平均功耗：≤130W</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可视角：水平：≥178°；垂直：≥178°</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亮度均匀：≥98%</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宋体" w:hAnsi="宋体" w:cs="宋体"/>
                <w:color w:val="auto"/>
                <w:szCs w:val="21"/>
                <w:highlight w:val="none"/>
              </w:rPr>
              <w:t>▲</w:t>
            </w:r>
            <w:r>
              <w:rPr>
                <w:rFonts w:hint="eastAsia" w:ascii="Calibri" w:hAnsi="Calibri" w:eastAsia="宋体"/>
                <w:sz w:val="21"/>
                <w:szCs w:val="21"/>
                <w:lang w:bidi="ar"/>
              </w:rPr>
              <w:t>刷新率：≥3840Hz</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换帧频率(Hz)：50&amp;60&amp;120</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驱动方式：恒流驱动</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发光点中心距偏差：&lt;3%</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平整度：≤0.1mm</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像素失控率：≤0.00001</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色域覆盖率：≥120%(NTSC)≥170%(PLA)；低亮高灰：100%亮度时，16bits灰度；20%亮度时，12bits灰度</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模组机械强度：模组机械强度：≥5MP</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彩色信号处理位数：≥16bit</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显示图像质量：优；寿命典型值(hrs)：≥100000 hrs；无故障时间：≥100000 hrs</w:t>
            </w:r>
          </w:p>
          <w:p>
            <w:pPr>
              <w:pStyle w:val="26"/>
              <w:widowControl/>
              <w:numPr>
                <w:ilvl w:val="0"/>
                <w:numId w:val="5"/>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含视频处理器、接收卡、配电柜、屏体结构、装饰包边、电源、排线、辅材等</w:t>
            </w:r>
          </w:p>
          <w:p>
            <w:pPr>
              <w:pStyle w:val="26"/>
              <w:widowControl/>
              <w:spacing w:beforeAutospacing="0" w:afterAutospacing="0"/>
              <w:jc w:val="both"/>
              <w:outlineLvl w:val="2"/>
              <w:rPr>
                <w:rFonts w:hint="eastAsia" w:ascii="Calibri" w:hAnsi="Calibri" w:eastAsia="宋体"/>
                <w:sz w:val="21"/>
                <w:szCs w:val="21"/>
                <w:lang w:bidi="ar"/>
              </w:rPr>
            </w:pPr>
          </w:p>
          <w:p>
            <w:pPr>
              <w:pStyle w:val="26"/>
              <w:widowControl/>
              <w:spacing w:beforeAutospacing="0" w:afterAutospacing="0"/>
              <w:jc w:val="both"/>
              <w:outlineLvl w:val="2"/>
              <w:rPr>
                <w:rFonts w:ascii="Calibri" w:hAnsi="Calibri" w:eastAsia="宋体"/>
                <w:sz w:val="21"/>
                <w:szCs w:val="21"/>
                <w:lang w:bidi="ar"/>
              </w:rPr>
            </w:pPr>
            <w:bookmarkStart w:id="93" w:name="_Toc25951"/>
            <w:bookmarkStart w:id="94" w:name="_Toc16536"/>
            <w:r>
              <w:rPr>
                <w:rFonts w:hint="eastAsia" w:ascii="Calibri" w:hAnsi="Calibri" w:eastAsia="宋体"/>
                <w:sz w:val="21"/>
                <w:szCs w:val="21"/>
                <w:lang w:bidi="ar"/>
              </w:rPr>
              <w:t>（</w:t>
            </w:r>
            <w:r>
              <w:rPr>
                <w:rFonts w:hint="eastAsia" w:ascii="Calibri" w:hAnsi="Calibri"/>
                <w:sz w:val="21"/>
                <w:szCs w:val="21"/>
                <w:lang w:val="en-US" w:eastAsia="zh-CN" w:bidi="ar"/>
              </w:rPr>
              <w:t>三</w:t>
            </w:r>
            <w:r>
              <w:rPr>
                <w:rFonts w:hint="eastAsia" w:ascii="Calibri" w:hAnsi="Calibri" w:eastAsia="宋体"/>
                <w:sz w:val="21"/>
                <w:szCs w:val="21"/>
                <w:lang w:bidi="ar"/>
              </w:rPr>
              <w:t>）投影机</w:t>
            </w:r>
            <w:bookmarkEnd w:id="93"/>
            <w:bookmarkEnd w:id="94"/>
          </w:p>
          <w:p>
            <w:pPr>
              <w:pStyle w:val="26"/>
              <w:widowControl/>
              <w:spacing w:beforeAutospacing="0" w:afterAutospacing="0"/>
              <w:jc w:val="both"/>
              <w:outlineLvl w:val="2"/>
              <w:rPr>
                <w:rFonts w:ascii="Calibri" w:hAnsi="Calibri" w:eastAsia="宋体"/>
                <w:sz w:val="21"/>
                <w:szCs w:val="21"/>
                <w:lang w:bidi="ar"/>
              </w:rPr>
            </w:pPr>
            <w:bookmarkStart w:id="95" w:name="_Toc20578"/>
            <w:bookmarkStart w:id="96" w:name="_Toc10882"/>
            <w:r>
              <w:rPr>
                <w:rFonts w:hint="eastAsia" w:ascii="宋体" w:hAnsi="宋体" w:cs="宋体"/>
                <w:color w:val="auto"/>
                <w:szCs w:val="21"/>
                <w:highlight w:val="none"/>
              </w:rPr>
              <w:t>▲</w:t>
            </w:r>
            <w:r>
              <w:rPr>
                <w:rFonts w:ascii="Calibri" w:hAnsi="Calibri" w:eastAsia="宋体"/>
                <w:sz w:val="21"/>
                <w:szCs w:val="21"/>
                <w:lang w:bidi="ar"/>
              </w:rPr>
              <w:t>1.</w:t>
            </w:r>
            <w:r>
              <w:rPr>
                <w:rFonts w:hint="eastAsia" w:ascii="Calibri" w:hAnsi="Calibri" w:eastAsia="宋体"/>
                <w:sz w:val="21"/>
                <w:szCs w:val="21"/>
                <w:lang w:bidi="ar"/>
              </w:rPr>
              <w:t>中心亮度：≥</w:t>
            </w:r>
            <w:r>
              <w:rPr>
                <w:rFonts w:ascii="Calibri" w:hAnsi="Calibri" w:eastAsia="宋体"/>
                <w:sz w:val="21"/>
                <w:szCs w:val="21"/>
                <w:lang w:bidi="ar"/>
              </w:rPr>
              <w:t>6000</w:t>
            </w:r>
            <w:r>
              <w:rPr>
                <w:rFonts w:hint="eastAsia" w:ascii="Calibri" w:hAnsi="Calibri" w:eastAsia="宋体"/>
                <w:sz w:val="21"/>
                <w:szCs w:val="21"/>
                <w:lang w:bidi="ar"/>
              </w:rPr>
              <w:t>流明，分辨率：≥</w:t>
            </w:r>
            <w:r>
              <w:rPr>
                <w:rFonts w:ascii="Calibri" w:hAnsi="Calibri" w:eastAsia="宋体"/>
                <w:sz w:val="21"/>
                <w:szCs w:val="21"/>
                <w:lang w:bidi="ar"/>
              </w:rPr>
              <w:t>1920*1200</w:t>
            </w:r>
            <w:r>
              <w:rPr>
                <w:rFonts w:hint="eastAsia" w:ascii="Calibri" w:hAnsi="Calibri" w:eastAsia="宋体"/>
                <w:sz w:val="21"/>
                <w:szCs w:val="21"/>
                <w:lang w:bidi="ar"/>
              </w:rPr>
              <w:t>，光源技术：激光光源；</w:t>
            </w:r>
            <w:bookmarkEnd w:id="95"/>
            <w:bookmarkEnd w:id="96"/>
          </w:p>
          <w:p>
            <w:pPr>
              <w:pStyle w:val="26"/>
              <w:widowControl/>
              <w:spacing w:beforeAutospacing="0" w:afterAutospacing="0"/>
              <w:jc w:val="both"/>
              <w:outlineLvl w:val="2"/>
              <w:rPr>
                <w:rFonts w:ascii="Calibri" w:hAnsi="Calibri" w:eastAsia="宋体"/>
                <w:sz w:val="21"/>
                <w:szCs w:val="21"/>
                <w:lang w:bidi="ar"/>
              </w:rPr>
            </w:pPr>
            <w:bookmarkStart w:id="97" w:name="_Toc13941"/>
            <w:bookmarkStart w:id="98" w:name="_Toc21968"/>
            <w:r>
              <w:rPr>
                <w:rFonts w:ascii="Calibri" w:hAnsi="Calibri" w:eastAsia="宋体"/>
                <w:sz w:val="21"/>
                <w:szCs w:val="21"/>
                <w:lang w:bidi="ar"/>
              </w:rPr>
              <w:t>2.</w:t>
            </w:r>
            <w:r>
              <w:rPr>
                <w:rFonts w:hint="eastAsia" w:ascii="Calibri" w:hAnsi="Calibri" w:eastAsia="宋体"/>
                <w:sz w:val="21"/>
                <w:szCs w:val="21"/>
                <w:lang w:bidi="ar"/>
              </w:rPr>
              <w:t>对比度：≥</w:t>
            </w:r>
            <w:r>
              <w:rPr>
                <w:rFonts w:ascii="Calibri" w:hAnsi="Calibri" w:eastAsia="宋体"/>
                <w:sz w:val="21"/>
                <w:szCs w:val="21"/>
                <w:lang w:bidi="ar"/>
              </w:rPr>
              <w:t>3000000</w:t>
            </w:r>
            <w:r>
              <w:rPr>
                <w:rFonts w:hint="eastAsia" w:ascii="Calibri" w:hAnsi="Calibri" w:eastAsia="宋体"/>
                <w:sz w:val="21"/>
                <w:szCs w:val="21"/>
                <w:lang w:bidi="ar"/>
              </w:rPr>
              <w:t>：</w:t>
            </w:r>
            <w:r>
              <w:rPr>
                <w:rFonts w:ascii="Calibri" w:hAnsi="Calibri" w:eastAsia="宋体"/>
                <w:sz w:val="21"/>
                <w:szCs w:val="21"/>
                <w:lang w:bidi="ar"/>
              </w:rPr>
              <w:t>1</w:t>
            </w:r>
            <w:r>
              <w:rPr>
                <w:rFonts w:hint="eastAsia" w:ascii="Calibri" w:hAnsi="Calibri" w:eastAsia="宋体"/>
                <w:sz w:val="21"/>
                <w:szCs w:val="21"/>
                <w:lang w:bidi="ar"/>
              </w:rPr>
              <w:t>（动态对比度）；</w:t>
            </w:r>
            <w:bookmarkEnd w:id="97"/>
            <w:bookmarkEnd w:id="98"/>
          </w:p>
          <w:p>
            <w:pPr>
              <w:pStyle w:val="26"/>
              <w:widowControl/>
              <w:spacing w:beforeAutospacing="0" w:afterAutospacing="0"/>
              <w:jc w:val="both"/>
              <w:outlineLvl w:val="2"/>
              <w:rPr>
                <w:rFonts w:ascii="Calibri" w:hAnsi="Calibri" w:eastAsia="宋体"/>
                <w:sz w:val="21"/>
                <w:szCs w:val="21"/>
                <w:lang w:bidi="ar"/>
              </w:rPr>
            </w:pPr>
            <w:bookmarkStart w:id="99" w:name="_Toc29142"/>
            <w:bookmarkStart w:id="100" w:name="_Toc30006"/>
            <w:r>
              <w:rPr>
                <w:rFonts w:ascii="Calibri" w:hAnsi="Calibri" w:eastAsia="宋体"/>
                <w:sz w:val="21"/>
                <w:szCs w:val="21"/>
                <w:lang w:bidi="ar"/>
              </w:rPr>
              <w:t>3.</w:t>
            </w:r>
            <w:r>
              <w:rPr>
                <w:rFonts w:hint="eastAsia" w:ascii="Calibri" w:hAnsi="Calibri" w:eastAsia="宋体"/>
                <w:sz w:val="21"/>
                <w:szCs w:val="21"/>
                <w:lang w:bidi="ar"/>
              </w:rPr>
              <w:t>均匀性：</w:t>
            </w:r>
            <w:r>
              <w:rPr>
                <w:rFonts w:ascii="Calibri" w:hAnsi="Calibri" w:eastAsia="宋体"/>
                <w:sz w:val="21"/>
                <w:szCs w:val="21"/>
                <w:lang w:bidi="ar"/>
              </w:rPr>
              <w:t>90%</w:t>
            </w:r>
            <w:r>
              <w:rPr>
                <w:rFonts w:hint="eastAsia" w:ascii="Calibri" w:hAnsi="Calibri" w:eastAsia="宋体"/>
                <w:sz w:val="21"/>
                <w:szCs w:val="21"/>
                <w:lang w:bidi="ar"/>
              </w:rPr>
              <w:t>。</w:t>
            </w:r>
            <w:bookmarkEnd w:id="99"/>
            <w:bookmarkEnd w:id="100"/>
          </w:p>
          <w:p>
            <w:pPr>
              <w:pStyle w:val="26"/>
              <w:widowControl/>
              <w:spacing w:beforeAutospacing="0" w:afterAutospacing="0"/>
              <w:jc w:val="both"/>
              <w:outlineLvl w:val="2"/>
              <w:rPr>
                <w:rFonts w:hint="eastAsia" w:ascii="Calibri" w:hAnsi="Calibri" w:eastAsia="宋体"/>
                <w:sz w:val="21"/>
                <w:szCs w:val="21"/>
                <w:lang w:val="en-US" w:eastAsia="zh-CN" w:bidi="ar"/>
              </w:rPr>
            </w:pPr>
            <w:r>
              <w:rPr>
                <w:rFonts w:hint="eastAsia" w:ascii="Calibri" w:hAnsi="Calibri" w:eastAsia="宋体"/>
                <w:sz w:val="21"/>
                <w:szCs w:val="21"/>
                <w:lang w:bidi="ar"/>
              </w:rPr>
              <w:t>4.标准模式下≥20,000小时</w:t>
            </w:r>
            <w:r>
              <w:rPr>
                <w:rFonts w:hint="eastAsia" w:ascii="Calibri" w:hAnsi="Calibri" w:eastAsia="宋体"/>
                <w:sz w:val="21"/>
                <w:szCs w:val="21"/>
                <w:lang w:bidi="ar"/>
              </w:rPr>
              <w:br w:type="textWrapping"/>
            </w:r>
            <w:r>
              <w:rPr>
                <w:rFonts w:hint="eastAsia" w:ascii="Calibri" w:hAnsi="Calibri" w:eastAsia="宋体"/>
                <w:sz w:val="21"/>
                <w:szCs w:val="21"/>
                <w:lang w:val="en-US" w:eastAsia="zh-CN" w:bidi="ar"/>
              </w:rPr>
              <w:t xml:space="preserve">5.投射比：0.98-1.37：1（手动） </w:t>
            </w:r>
          </w:p>
          <w:p>
            <w:pPr>
              <w:pStyle w:val="26"/>
              <w:widowControl/>
              <w:spacing w:beforeAutospacing="0" w:afterAutospacing="0"/>
              <w:jc w:val="both"/>
              <w:outlineLvl w:val="2"/>
              <w:rPr>
                <w:rFonts w:hint="eastAsia" w:ascii="Calibri" w:hAnsi="Calibri" w:eastAsia="宋体"/>
                <w:sz w:val="21"/>
                <w:szCs w:val="21"/>
                <w:lang w:val="en-US" w:eastAsia="zh-CN" w:bidi="ar"/>
              </w:rPr>
            </w:pPr>
            <w:r>
              <w:rPr>
                <w:rFonts w:hint="eastAsia" w:ascii="Calibri" w:hAnsi="Calibri"/>
                <w:sz w:val="21"/>
                <w:szCs w:val="21"/>
                <w:lang w:val="en-US" w:eastAsia="zh-CN" w:bidi="ar"/>
              </w:rPr>
              <w:t>6.</w:t>
            </w:r>
            <w:r>
              <w:rPr>
                <w:rFonts w:hint="eastAsia" w:ascii="Calibri" w:hAnsi="Calibri" w:eastAsia="宋体"/>
                <w:sz w:val="21"/>
                <w:szCs w:val="21"/>
                <w:lang w:val="en-US" w:eastAsia="zh-CN" w:bidi="ar"/>
              </w:rPr>
              <w:t>变焦倍率：1.4倍</w:t>
            </w:r>
          </w:p>
          <w:p>
            <w:pPr>
              <w:pStyle w:val="26"/>
              <w:widowControl/>
              <w:spacing w:beforeAutospacing="0" w:afterAutospacing="0"/>
              <w:jc w:val="both"/>
              <w:outlineLvl w:val="2"/>
              <w:rPr>
                <w:rFonts w:hint="eastAsia" w:ascii="Calibri" w:hAnsi="Calibri" w:eastAsia="宋体"/>
                <w:sz w:val="21"/>
                <w:szCs w:val="21"/>
                <w:lang w:val="en-US" w:eastAsia="zh-CN" w:bidi="ar"/>
              </w:rPr>
            </w:pPr>
            <w:r>
              <w:rPr>
                <w:rFonts w:hint="eastAsia" w:ascii="Calibri" w:hAnsi="Calibri"/>
                <w:sz w:val="21"/>
                <w:szCs w:val="21"/>
                <w:lang w:val="en-US" w:eastAsia="zh-CN" w:bidi="ar"/>
              </w:rPr>
              <w:t>7.</w:t>
            </w:r>
            <w:r>
              <w:rPr>
                <w:rFonts w:hint="eastAsia" w:ascii="Calibri" w:hAnsi="Calibri" w:eastAsia="宋体"/>
                <w:sz w:val="21"/>
                <w:szCs w:val="21"/>
                <w:lang w:val="en-US" w:eastAsia="zh-CN" w:bidi="ar"/>
              </w:rPr>
              <w:t>可选镜头：0.58/0.65/0.75/0.98-1.37/1.2-1.56/1.32-2.1</w:t>
            </w:r>
          </w:p>
          <w:p>
            <w:pPr>
              <w:pStyle w:val="26"/>
              <w:widowControl/>
              <w:spacing w:beforeAutospacing="0" w:afterAutospacing="0"/>
              <w:jc w:val="both"/>
              <w:outlineLvl w:val="2"/>
              <w:rPr>
                <w:rFonts w:hint="eastAsia" w:ascii="Calibri" w:hAnsi="Calibri" w:eastAsia="宋体"/>
                <w:sz w:val="21"/>
                <w:szCs w:val="21"/>
                <w:lang w:val="en-US" w:eastAsia="zh-CN" w:bidi="ar"/>
              </w:rPr>
            </w:pPr>
            <w:r>
              <w:rPr>
                <w:rFonts w:hint="eastAsia" w:ascii="Calibri" w:hAnsi="Calibri"/>
                <w:sz w:val="21"/>
                <w:szCs w:val="21"/>
                <w:lang w:val="en-US" w:eastAsia="zh-CN" w:bidi="ar"/>
              </w:rPr>
              <w:t>8.</w:t>
            </w:r>
            <w:r>
              <w:rPr>
                <w:rFonts w:hint="eastAsia" w:ascii="Calibri" w:hAnsi="Calibri" w:eastAsia="宋体"/>
                <w:sz w:val="21"/>
                <w:szCs w:val="21"/>
                <w:lang w:val="en-US" w:eastAsia="zh-CN" w:bidi="ar"/>
              </w:rPr>
              <w:t>位移范围：垂直±40%，左右± 20%（标准）</w:t>
            </w:r>
          </w:p>
          <w:p>
            <w:pPr>
              <w:pStyle w:val="26"/>
              <w:widowControl/>
              <w:spacing w:beforeAutospacing="0" w:afterAutospacing="0"/>
              <w:jc w:val="both"/>
              <w:outlineLvl w:val="2"/>
              <w:rPr>
                <w:rFonts w:hint="eastAsia" w:ascii="Calibri" w:hAnsi="Calibri" w:eastAsia="宋体"/>
                <w:sz w:val="21"/>
                <w:szCs w:val="21"/>
                <w:lang w:val="en-US" w:eastAsia="zh-CN" w:bidi="ar"/>
              </w:rPr>
            </w:pPr>
            <w:r>
              <w:rPr>
                <w:rFonts w:hint="eastAsia" w:ascii="Calibri" w:hAnsi="Calibri"/>
                <w:sz w:val="21"/>
                <w:szCs w:val="21"/>
                <w:lang w:val="en-US" w:eastAsia="zh-CN" w:bidi="ar"/>
              </w:rPr>
              <w:t>9.</w:t>
            </w:r>
            <w:r>
              <w:rPr>
                <w:rFonts w:hint="eastAsia" w:ascii="Calibri" w:hAnsi="Calibri" w:eastAsia="宋体"/>
                <w:sz w:val="21"/>
                <w:szCs w:val="21"/>
                <w:lang w:val="en-US" w:eastAsia="zh-CN" w:bidi="ar"/>
              </w:rPr>
              <w:t>位移调节：手动</w:t>
            </w:r>
          </w:p>
          <w:p>
            <w:pPr>
              <w:pStyle w:val="26"/>
              <w:widowControl/>
              <w:spacing w:beforeAutospacing="0" w:afterAutospacing="0"/>
              <w:jc w:val="both"/>
              <w:outlineLvl w:val="2"/>
              <w:rPr>
                <w:rFonts w:hint="default" w:ascii="Calibri" w:hAnsi="Calibri" w:eastAsia="宋体"/>
                <w:sz w:val="21"/>
                <w:szCs w:val="21"/>
                <w:lang w:val="en-US" w:eastAsia="zh-CN" w:bidi="ar"/>
              </w:rPr>
            </w:pPr>
            <w:r>
              <w:rPr>
                <w:rFonts w:hint="eastAsia" w:ascii="Calibri" w:hAnsi="Calibri"/>
                <w:sz w:val="21"/>
                <w:szCs w:val="21"/>
                <w:lang w:val="en-US" w:eastAsia="zh-CN" w:bidi="ar"/>
              </w:rPr>
              <w:t>10.</w:t>
            </w:r>
            <w:r>
              <w:rPr>
                <w:rFonts w:hint="eastAsia" w:ascii="Calibri" w:hAnsi="Calibri" w:eastAsia="宋体"/>
                <w:sz w:val="21"/>
                <w:szCs w:val="21"/>
                <w:lang w:val="en-US" w:eastAsia="zh-CN" w:bidi="ar"/>
              </w:rPr>
              <w:t>梯形调整±30°</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01" w:name="_Toc16071"/>
            <w:bookmarkStart w:id="102" w:name="_Toc11546"/>
            <w:r>
              <w:rPr>
                <w:rFonts w:ascii="Calibri" w:hAnsi="Calibri" w:eastAsia="宋体"/>
                <w:sz w:val="21"/>
                <w:szCs w:val="21"/>
                <w:lang w:bidi="ar"/>
              </w:rPr>
              <w:t>2</w:t>
            </w:r>
            <w:bookmarkEnd w:id="101"/>
            <w:bookmarkEnd w:id="102"/>
          </w:p>
        </w:tc>
        <w:tc>
          <w:tcPr>
            <w:tcW w:w="1084" w:type="dxa"/>
            <w:tcBorders>
              <w:top w:val="nil"/>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03" w:name="_Toc1979"/>
            <w:bookmarkStart w:id="104" w:name="_Toc20613"/>
            <w:r>
              <w:rPr>
                <w:rFonts w:hint="eastAsia" w:ascii="Calibri" w:hAnsi="Calibri" w:eastAsia="宋体" w:cs="宋体"/>
                <w:sz w:val="21"/>
                <w:szCs w:val="21"/>
                <w:lang w:bidi="ar"/>
              </w:rPr>
              <w:t>展示互动设备</w:t>
            </w:r>
            <w:bookmarkEnd w:id="103"/>
            <w:bookmarkEnd w:id="104"/>
          </w:p>
        </w:tc>
        <w:tc>
          <w:tcPr>
            <w:tcW w:w="6363" w:type="dxa"/>
            <w:tcBorders>
              <w:top w:val="nil"/>
              <w:left w:val="nil"/>
              <w:bottom w:val="single" w:color="000000" w:sz="4" w:space="0"/>
              <w:right w:val="single" w:color="000000" w:sz="4" w:space="0"/>
            </w:tcBorders>
            <w:tcMar>
              <w:left w:w="105" w:type="dxa"/>
              <w:right w:w="105" w:type="dxa"/>
            </w:tcMar>
          </w:tcPr>
          <w:p>
            <w:pPr>
              <w:pStyle w:val="26"/>
              <w:widowControl/>
              <w:spacing w:beforeAutospacing="0" w:afterAutospacing="0"/>
              <w:jc w:val="both"/>
              <w:outlineLvl w:val="2"/>
              <w:rPr>
                <w:rFonts w:hint="default" w:ascii="Calibri" w:hAnsi="Calibri" w:eastAsia="宋体"/>
                <w:sz w:val="21"/>
                <w:szCs w:val="21"/>
                <w:lang w:val="en-US" w:eastAsia="zh-CN" w:bidi="ar"/>
              </w:rPr>
            </w:pPr>
            <w:bookmarkStart w:id="105" w:name="_Toc20049"/>
            <w:bookmarkStart w:id="106" w:name="_Toc9492"/>
            <w:r>
              <w:rPr>
                <w:rFonts w:hint="eastAsia" w:ascii="Calibri" w:hAnsi="Calibri" w:eastAsia="宋体"/>
                <w:sz w:val="21"/>
                <w:szCs w:val="21"/>
                <w:lang w:bidi="ar"/>
              </w:rPr>
              <w:t>（一）</w:t>
            </w:r>
            <w:bookmarkEnd w:id="105"/>
            <w:bookmarkEnd w:id="106"/>
            <w:r>
              <w:rPr>
                <w:rFonts w:hint="eastAsia" w:ascii="Calibri" w:hAnsi="Calibri" w:eastAsia="宋体"/>
                <w:sz w:val="21"/>
                <w:szCs w:val="21"/>
                <w:lang w:val="en-US" w:eastAsia="zh-CN" w:bidi="ar"/>
              </w:rPr>
              <w:t>触摸一体机</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 xml:space="preserve">屏幕尺寸：32寸/43寸/49寸/55寸/65寸/75寸/86寸/98寸LED屏(16:9) </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分辨率：1920（H）×1080（V）/3840（H）×2160（V)可选</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可视角度：≧178 degree(H)；≧178 degree(V)</w:t>
            </w:r>
          </w:p>
          <w:p>
            <w:pPr>
              <w:pStyle w:val="26"/>
              <w:widowControl/>
              <w:numPr>
                <w:ilvl w:val="0"/>
                <w:numId w:val="6"/>
              </w:numPr>
              <w:outlineLvl w:val="2"/>
              <w:rPr>
                <w:rFonts w:hint="eastAsia" w:ascii="Calibri" w:hAnsi="Calibri" w:eastAsia="宋体"/>
                <w:sz w:val="21"/>
                <w:szCs w:val="21"/>
                <w:lang w:bidi="ar"/>
              </w:rPr>
            </w:pPr>
            <w:r>
              <w:rPr>
                <w:rFonts w:hint="eastAsia" w:ascii="宋体" w:hAnsi="宋体" w:cs="宋体"/>
                <w:color w:val="auto"/>
                <w:szCs w:val="21"/>
                <w:highlight w:val="none"/>
              </w:rPr>
              <w:t>▲</w:t>
            </w:r>
            <w:r>
              <w:rPr>
                <w:rFonts w:hint="eastAsia" w:ascii="Calibri" w:hAnsi="Calibri" w:eastAsia="宋体"/>
                <w:sz w:val="21"/>
                <w:szCs w:val="21"/>
                <w:lang w:bidi="ar"/>
              </w:rPr>
              <w:t>亮度：≧350cd/m2</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对比度：≧5000：1</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响应时间：8ms</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色域：72%</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扫描频率：4K-60HZ</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背光源:DLED</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显示输出:HDMI</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彩色制式:PAL、NTSC</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声音:3维立体声音效 输出功率≧2*10W</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显示屏保护:全钢化玻璃（防炫可选）</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触摸功能:红外/电容触摸，支持20点电脑触摸操作、支持图像放大、缩小、旋转</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存储环境 存储温度：-20℃~60℃;存储湿度：10%RH~90%RH</w:t>
            </w:r>
          </w:p>
          <w:p>
            <w:pPr>
              <w:pStyle w:val="26"/>
              <w:widowControl/>
              <w:numPr>
                <w:ilvl w:val="0"/>
                <w:numId w:val="6"/>
              </w:numPr>
              <w:outlineLvl w:val="2"/>
              <w:rPr>
                <w:rFonts w:hint="eastAsia" w:ascii="Calibri" w:hAnsi="Calibri" w:eastAsia="宋体"/>
                <w:sz w:val="21"/>
                <w:szCs w:val="21"/>
                <w:lang w:bidi="ar"/>
              </w:rPr>
            </w:pPr>
            <w:r>
              <w:rPr>
                <w:rFonts w:hint="eastAsia" w:ascii="Calibri" w:hAnsi="Calibri" w:eastAsia="宋体"/>
                <w:sz w:val="21"/>
                <w:szCs w:val="21"/>
                <w:lang w:bidi="ar"/>
              </w:rPr>
              <w:t>工作环境 工作温度：-10℃~55℃；工作湿度：10%RH~90%RH</w:t>
            </w:r>
          </w:p>
          <w:p>
            <w:pPr>
              <w:pStyle w:val="26"/>
              <w:widowControl/>
              <w:numPr>
                <w:ilvl w:val="0"/>
                <w:numId w:val="6"/>
              </w:numPr>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使用寿命 ≧50000小时</w:t>
            </w:r>
          </w:p>
          <w:p>
            <w:pPr>
              <w:pStyle w:val="26"/>
              <w:widowControl/>
              <w:numPr>
                <w:ilvl w:val="0"/>
                <w:numId w:val="6"/>
              </w:numPr>
              <w:spacing w:beforeAutospacing="0" w:afterAutospacing="0"/>
              <w:jc w:val="both"/>
              <w:outlineLvl w:val="2"/>
              <w:rPr>
                <w:rFonts w:ascii="Calibri" w:hAnsi="Calibri" w:eastAsia="宋体"/>
                <w:sz w:val="21"/>
                <w:szCs w:val="21"/>
                <w:lang w:bidi="ar"/>
              </w:rPr>
            </w:pPr>
            <w:bookmarkStart w:id="107" w:name="_Toc4785"/>
            <w:bookmarkStart w:id="108" w:name="_Toc20695"/>
            <w:r>
              <w:rPr>
                <w:rFonts w:hint="eastAsia" w:ascii="宋体" w:hAnsi="宋体" w:cs="宋体"/>
                <w:color w:val="auto"/>
                <w:szCs w:val="21"/>
                <w:highlight w:val="none"/>
              </w:rPr>
              <w:t>▲</w:t>
            </w:r>
            <w:r>
              <w:rPr>
                <w:rFonts w:hint="eastAsia" w:ascii="Calibri" w:hAnsi="Calibri" w:eastAsia="宋体"/>
                <w:sz w:val="21"/>
                <w:szCs w:val="21"/>
                <w:lang w:bidi="ar"/>
              </w:rPr>
              <w:t>主机配置：</w:t>
            </w:r>
            <w:bookmarkEnd w:id="107"/>
            <w:bookmarkEnd w:id="108"/>
          </w:p>
          <w:p>
            <w:pPr>
              <w:pStyle w:val="26"/>
              <w:widowControl/>
              <w:spacing w:beforeAutospacing="0" w:afterAutospacing="0"/>
              <w:jc w:val="both"/>
              <w:outlineLvl w:val="2"/>
              <w:rPr>
                <w:rFonts w:ascii="Calibri" w:hAnsi="Calibri" w:eastAsia="宋体"/>
                <w:sz w:val="21"/>
                <w:szCs w:val="21"/>
                <w:lang w:bidi="ar"/>
              </w:rPr>
            </w:pPr>
            <w:bookmarkStart w:id="109" w:name="_Toc26439"/>
            <w:bookmarkStart w:id="110" w:name="_Toc21547"/>
            <w:r>
              <w:rPr>
                <w:rFonts w:ascii="Calibri" w:hAnsi="Calibri" w:eastAsia="宋体"/>
                <w:sz w:val="21"/>
                <w:szCs w:val="21"/>
                <w:lang w:bidi="ar"/>
              </w:rPr>
              <w:t>Windows</w:t>
            </w:r>
            <w:r>
              <w:rPr>
                <w:rFonts w:hint="eastAsia" w:ascii="Calibri" w:hAnsi="Calibri" w:eastAsia="宋体"/>
                <w:sz w:val="21"/>
                <w:szCs w:val="21"/>
                <w:lang w:bidi="ar"/>
              </w:rPr>
              <w:t>主机</w:t>
            </w:r>
            <w:r>
              <w:rPr>
                <w:rFonts w:ascii="Calibri" w:hAnsi="Calibri" w:eastAsia="宋体"/>
                <w:sz w:val="21"/>
                <w:szCs w:val="21"/>
                <w:lang w:bidi="ar"/>
              </w:rPr>
              <w:t xml:space="preserve"> CPU</w:t>
            </w:r>
            <w:r>
              <w:rPr>
                <w:rFonts w:hint="eastAsia" w:ascii="Calibri" w:hAnsi="Calibri" w:eastAsia="宋体"/>
                <w:sz w:val="21"/>
                <w:szCs w:val="21"/>
                <w:lang w:bidi="ar"/>
              </w:rPr>
              <w:t>：</w:t>
            </w:r>
            <w:r>
              <w:rPr>
                <w:rFonts w:ascii="Calibri" w:hAnsi="Calibri" w:eastAsia="宋体"/>
                <w:sz w:val="21"/>
                <w:szCs w:val="21"/>
                <w:lang w:bidi="ar"/>
              </w:rPr>
              <w:t>I7</w:t>
            </w:r>
            <w:r>
              <w:rPr>
                <w:rFonts w:hint="eastAsia" w:ascii="Calibri" w:hAnsi="Calibri" w:eastAsia="宋体"/>
                <w:sz w:val="21"/>
                <w:szCs w:val="21"/>
                <w:lang w:bidi="ar"/>
              </w:rPr>
              <w:t>六代或以上；内存：</w:t>
            </w:r>
            <w:r>
              <w:rPr>
                <w:rFonts w:ascii="Calibri" w:hAnsi="Calibri" w:eastAsia="宋体"/>
                <w:sz w:val="21"/>
                <w:szCs w:val="21"/>
                <w:lang w:bidi="ar"/>
              </w:rPr>
              <w:t>8G DDR3</w:t>
            </w:r>
            <w:r>
              <w:rPr>
                <w:rFonts w:hint="eastAsia" w:ascii="Calibri" w:hAnsi="Calibri" w:eastAsia="宋体"/>
                <w:sz w:val="21"/>
                <w:szCs w:val="21"/>
                <w:lang w:bidi="ar"/>
              </w:rPr>
              <w:t>以上；硬盘：</w:t>
            </w:r>
            <w:r>
              <w:rPr>
                <w:rFonts w:ascii="Calibri" w:hAnsi="Calibri" w:eastAsia="宋体"/>
                <w:sz w:val="21"/>
                <w:szCs w:val="21"/>
                <w:lang w:bidi="ar"/>
              </w:rPr>
              <w:t>128G</w:t>
            </w:r>
            <w:r>
              <w:rPr>
                <w:rFonts w:hint="eastAsia" w:ascii="Calibri" w:hAnsi="Calibri" w:eastAsia="宋体"/>
                <w:sz w:val="21"/>
                <w:szCs w:val="21"/>
                <w:lang w:bidi="ar"/>
              </w:rPr>
              <w:t>以上</w:t>
            </w:r>
            <w:r>
              <w:rPr>
                <w:rFonts w:ascii="Calibri" w:hAnsi="Calibri" w:eastAsia="宋体"/>
                <w:sz w:val="21"/>
                <w:szCs w:val="21"/>
                <w:lang w:bidi="ar"/>
              </w:rPr>
              <w:t xml:space="preserve"> SSD</w:t>
            </w:r>
            <w:r>
              <w:rPr>
                <w:rFonts w:hint="eastAsia" w:ascii="Calibri" w:hAnsi="Calibri" w:eastAsia="宋体"/>
                <w:sz w:val="21"/>
                <w:szCs w:val="21"/>
                <w:lang w:bidi="ar"/>
              </w:rPr>
              <w:t>；带有网卡支持</w:t>
            </w:r>
            <w:r>
              <w:rPr>
                <w:rFonts w:ascii="Calibri" w:hAnsi="Calibri" w:eastAsia="宋体"/>
                <w:sz w:val="21"/>
                <w:szCs w:val="21"/>
                <w:lang w:bidi="ar"/>
              </w:rPr>
              <w:t>WiFi</w:t>
            </w:r>
            <w:r>
              <w:rPr>
                <w:rFonts w:hint="eastAsia" w:ascii="Calibri" w:hAnsi="Calibri" w:eastAsia="宋体"/>
                <w:sz w:val="21"/>
                <w:szCs w:val="21"/>
                <w:lang w:bidi="ar"/>
              </w:rPr>
              <w:t>。</w:t>
            </w:r>
          </w:p>
          <w:p>
            <w:pPr>
              <w:pStyle w:val="26"/>
              <w:widowControl/>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 xml:space="preserve">安卓主机RK3588 </w:t>
            </w:r>
            <w:r>
              <w:rPr>
                <w:rFonts w:ascii="Calibri" w:hAnsi="Calibri" w:eastAsia="宋体"/>
                <w:sz w:val="21"/>
                <w:szCs w:val="21"/>
                <w:lang w:bidi="ar"/>
              </w:rPr>
              <w:t>4G+32G</w:t>
            </w:r>
            <w:r>
              <w:rPr>
                <w:rFonts w:hint="eastAsia" w:ascii="Calibri" w:hAnsi="Calibri" w:eastAsia="宋体"/>
                <w:sz w:val="21"/>
                <w:szCs w:val="21"/>
                <w:lang w:bidi="ar"/>
              </w:rPr>
              <w:t>以上，需支持</w:t>
            </w:r>
            <w:r>
              <w:rPr>
                <w:rFonts w:ascii="Calibri" w:hAnsi="Calibri" w:eastAsia="宋体"/>
                <w:sz w:val="21"/>
                <w:szCs w:val="21"/>
                <w:lang w:bidi="ar"/>
              </w:rPr>
              <w:t>4G/5G</w:t>
            </w:r>
            <w:r>
              <w:rPr>
                <w:rFonts w:hint="eastAsia" w:ascii="Calibri" w:hAnsi="Calibri" w:eastAsia="宋体"/>
                <w:sz w:val="21"/>
                <w:szCs w:val="21"/>
                <w:lang w:bidi="ar"/>
              </w:rPr>
              <w:t>网络；</w:t>
            </w:r>
            <w:bookmarkEnd w:id="109"/>
            <w:bookmarkEnd w:id="110"/>
          </w:p>
          <w:p>
            <w:pPr>
              <w:pStyle w:val="26"/>
              <w:widowControl/>
              <w:spacing w:beforeAutospacing="0" w:afterAutospacing="0"/>
              <w:jc w:val="both"/>
              <w:outlineLvl w:val="2"/>
              <w:rPr>
                <w:rFonts w:ascii="Calibri" w:hAnsi="Calibri" w:eastAsia="宋体"/>
                <w:sz w:val="21"/>
                <w:szCs w:val="21"/>
                <w:lang w:bidi="ar"/>
              </w:rPr>
            </w:pPr>
            <w:bookmarkStart w:id="111" w:name="_Toc960"/>
            <w:bookmarkStart w:id="112" w:name="_Toc10645"/>
            <w:r>
              <w:rPr>
                <w:rFonts w:hint="eastAsia" w:ascii="Calibri" w:hAnsi="Calibri" w:eastAsia="宋体"/>
                <w:sz w:val="21"/>
                <w:szCs w:val="21"/>
                <w:lang w:bidi="ar"/>
              </w:rPr>
              <w:t>接口：</w:t>
            </w:r>
            <w:r>
              <w:rPr>
                <w:rFonts w:ascii="Calibri" w:hAnsi="Calibri" w:eastAsia="宋体"/>
                <w:sz w:val="21"/>
                <w:szCs w:val="21"/>
                <w:lang w:bidi="ar"/>
              </w:rPr>
              <w:t>1</w:t>
            </w:r>
            <w:r>
              <w:rPr>
                <w:rFonts w:hint="eastAsia" w:ascii="Calibri" w:hAnsi="Calibri" w:eastAsia="宋体"/>
                <w:sz w:val="21"/>
                <w:szCs w:val="21"/>
                <w:lang w:bidi="ar"/>
              </w:rPr>
              <w:t>×</w:t>
            </w:r>
            <w:r>
              <w:rPr>
                <w:rFonts w:ascii="Calibri" w:hAnsi="Calibri" w:eastAsia="宋体"/>
                <w:sz w:val="21"/>
                <w:szCs w:val="21"/>
                <w:lang w:bidi="ar"/>
              </w:rPr>
              <w:t>HDMI2.0</w:t>
            </w:r>
            <w:r>
              <w:rPr>
                <w:rFonts w:hint="eastAsia" w:ascii="Calibri" w:hAnsi="Calibri" w:eastAsia="宋体"/>
                <w:sz w:val="21"/>
                <w:szCs w:val="21"/>
                <w:lang w:bidi="ar"/>
              </w:rPr>
              <w:t>，</w:t>
            </w:r>
            <w:r>
              <w:rPr>
                <w:rFonts w:ascii="Calibri" w:hAnsi="Calibri" w:eastAsia="宋体"/>
                <w:sz w:val="21"/>
                <w:szCs w:val="21"/>
                <w:lang w:bidi="ar"/>
              </w:rPr>
              <w:t>1</w:t>
            </w:r>
            <w:r>
              <w:rPr>
                <w:rFonts w:hint="eastAsia" w:ascii="Calibri" w:hAnsi="Calibri" w:eastAsia="宋体"/>
                <w:sz w:val="21"/>
                <w:szCs w:val="21"/>
                <w:lang w:bidi="ar"/>
              </w:rPr>
              <w:t>×网络接口，</w:t>
            </w:r>
            <w:r>
              <w:rPr>
                <w:rFonts w:ascii="Calibri" w:hAnsi="Calibri" w:eastAsia="宋体"/>
                <w:sz w:val="21"/>
                <w:szCs w:val="21"/>
                <w:lang w:bidi="ar"/>
              </w:rPr>
              <w:t>4</w:t>
            </w:r>
            <w:r>
              <w:rPr>
                <w:rFonts w:hint="eastAsia" w:ascii="Calibri" w:hAnsi="Calibri" w:eastAsia="宋体"/>
                <w:sz w:val="21"/>
                <w:szCs w:val="21"/>
                <w:lang w:bidi="ar"/>
              </w:rPr>
              <w:t>×</w:t>
            </w:r>
            <w:r>
              <w:rPr>
                <w:rFonts w:ascii="Calibri" w:hAnsi="Calibri" w:eastAsia="宋体"/>
                <w:sz w:val="21"/>
                <w:szCs w:val="21"/>
                <w:lang w:bidi="ar"/>
              </w:rPr>
              <w:t>USB</w:t>
            </w:r>
            <w:r>
              <w:rPr>
                <w:rFonts w:hint="eastAsia" w:ascii="Calibri" w:hAnsi="Calibri" w:eastAsia="宋体"/>
                <w:sz w:val="21"/>
                <w:szCs w:val="21"/>
                <w:lang w:bidi="ar"/>
              </w:rPr>
              <w:t>。</w:t>
            </w:r>
            <w:bookmarkEnd w:id="111"/>
            <w:bookmarkEnd w:id="112"/>
          </w:p>
          <w:p>
            <w:pPr>
              <w:pStyle w:val="26"/>
              <w:widowControl/>
              <w:numPr>
                <w:ilvl w:val="-1"/>
                <w:numId w:val="0"/>
              </w:numPr>
              <w:spacing w:beforeAutospacing="0" w:afterAutospacing="0"/>
              <w:ind w:left="0" w:firstLine="0"/>
              <w:jc w:val="both"/>
              <w:outlineLvl w:val="2"/>
              <w:rPr>
                <w:rFonts w:ascii="Calibri" w:hAnsi="Calibri" w:eastAsia="宋体"/>
                <w:sz w:val="21"/>
                <w:szCs w:val="21"/>
                <w:lang w:bidi="ar"/>
              </w:rPr>
            </w:pP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rFonts w:hint="eastAsia" w:eastAsia="宋体"/>
                <w:sz w:val="21"/>
                <w:szCs w:val="21"/>
                <w:lang w:eastAsia="zh-CN"/>
              </w:rPr>
            </w:pPr>
            <w:r>
              <w:rPr>
                <w:rFonts w:hint="eastAsia" w:ascii="Calibri" w:hAnsi="Calibri"/>
                <w:sz w:val="21"/>
                <w:szCs w:val="21"/>
                <w:lang w:val="en-US" w:eastAsia="zh-CN" w:bidi="ar"/>
              </w:rPr>
              <w:t>3</w:t>
            </w:r>
          </w:p>
        </w:tc>
        <w:tc>
          <w:tcPr>
            <w:tcW w:w="1084" w:type="dxa"/>
            <w:tcBorders>
              <w:top w:val="nil"/>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13" w:name="_Toc24065"/>
            <w:bookmarkStart w:id="114" w:name="_Toc26829"/>
            <w:r>
              <w:rPr>
                <w:rFonts w:hint="eastAsia" w:ascii="Calibri" w:hAnsi="Calibri" w:eastAsia="宋体" w:cs="宋体"/>
                <w:sz w:val="21"/>
                <w:szCs w:val="21"/>
                <w:lang w:bidi="ar"/>
              </w:rPr>
              <w:t>多媒体服务</w:t>
            </w:r>
            <w:bookmarkEnd w:id="113"/>
            <w:bookmarkEnd w:id="114"/>
            <w:r>
              <w:rPr>
                <w:rFonts w:hint="eastAsia" w:ascii="Calibri" w:hAnsi="Calibri" w:eastAsia="宋体" w:cs="宋体"/>
                <w:sz w:val="21"/>
                <w:szCs w:val="21"/>
                <w:lang w:bidi="ar"/>
              </w:rPr>
              <w:t>器</w:t>
            </w:r>
          </w:p>
        </w:tc>
        <w:tc>
          <w:tcPr>
            <w:tcW w:w="6363" w:type="dxa"/>
            <w:tcBorders>
              <w:top w:val="nil"/>
              <w:left w:val="nil"/>
              <w:bottom w:val="single" w:color="000000" w:sz="4" w:space="0"/>
              <w:right w:val="single" w:color="000000" w:sz="4" w:space="0"/>
            </w:tcBorders>
            <w:tcMar>
              <w:left w:w="105" w:type="dxa"/>
              <w:right w:w="105" w:type="dxa"/>
            </w:tcMar>
          </w:tcPr>
          <w:p>
            <w:pPr>
              <w:pStyle w:val="26"/>
              <w:widowControl/>
              <w:spacing w:beforeAutospacing="0" w:afterAutospacing="0"/>
              <w:jc w:val="both"/>
              <w:outlineLvl w:val="2"/>
              <w:rPr>
                <w:sz w:val="21"/>
                <w:szCs w:val="21"/>
              </w:rPr>
            </w:pPr>
            <w:bookmarkStart w:id="115" w:name="_Toc1206"/>
            <w:bookmarkStart w:id="116" w:name="_Toc19201"/>
            <w:r>
              <w:rPr>
                <w:rFonts w:ascii="Calibri" w:hAnsi="Calibri" w:eastAsia="宋体"/>
                <w:sz w:val="21"/>
                <w:szCs w:val="21"/>
                <w:lang w:bidi="ar"/>
              </w:rPr>
              <w:t>1.</w:t>
            </w:r>
            <w:r>
              <w:rPr>
                <w:rFonts w:hint="eastAsia" w:ascii="Calibri" w:hAnsi="Calibri" w:eastAsia="宋体" w:cs="宋体"/>
                <w:sz w:val="21"/>
                <w:szCs w:val="21"/>
                <w:lang w:bidi="ar"/>
              </w:rPr>
              <w:t>主频</w:t>
            </w:r>
            <w:r>
              <w:rPr>
                <w:rFonts w:ascii="Calibri" w:hAnsi="Calibri" w:eastAsia="宋体"/>
                <w:sz w:val="21"/>
                <w:szCs w:val="21"/>
                <w:lang w:bidi="ar"/>
              </w:rPr>
              <w:t>3.6GHz</w:t>
            </w:r>
            <w:r>
              <w:rPr>
                <w:rFonts w:hint="eastAsia" w:ascii="Calibri" w:hAnsi="Calibri" w:eastAsia="宋体"/>
                <w:sz w:val="21"/>
                <w:szCs w:val="21"/>
                <w:lang w:bidi="ar"/>
              </w:rPr>
              <w:t>以上</w:t>
            </w:r>
            <w:r>
              <w:rPr>
                <w:rFonts w:hint="eastAsia" w:ascii="Calibri" w:hAnsi="Calibri" w:eastAsia="宋体" w:cs="宋体"/>
                <w:sz w:val="21"/>
                <w:szCs w:val="21"/>
                <w:lang w:bidi="ar"/>
              </w:rPr>
              <w:t>，</w:t>
            </w:r>
            <w:r>
              <w:rPr>
                <w:rFonts w:ascii="Calibri" w:hAnsi="Calibri" w:eastAsia="宋体"/>
                <w:sz w:val="21"/>
                <w:szCs w:val="21"/>
                <w:lang w:bidi="ar"/>
              </w:rPr>
              <w:t>4</w:t>
            </w:r>
            <w:r>
              <w:rPr>
                <w:rFonts w:hint="eastAsia" w:ascii="Calibri" w:hAnsi="Calibri" w:eastAsia="宋体" w:cs="宋体"/>
                <w:sz w:val="21"/>
                <w:szCs w:val="21"/>
                <w:lang w:bidi="ar"/>
              </w:rPr>
              <w:t>核</w:t>
            </w:r>
            <w:r>
              <w:rPr>
                <w:rFonts w:ascii="Calibri" w:hAnsi="Calibri" w:eastAsia="宋体"/>
                <w:sz w:val="21"/>
                <w:szCs w:val="21"/>
                <w:lang w:bidi="ar"/>
              </w:rPr>
              <w:t>8</w:t>
            </w:r>
            <w:r>
              <w:rPr>
                <w:rFonts w:hint="eastAsia" w:ascii="Calibri" w:hAnsi="Calibri" w:eastAsia="宋体" w:cs="宋体"/>
                <w:sz w:val="21"/>
                <w:szCs w:val="21"/>
                <w:lang w:bidi="ar"/>
              </w:rPr>
              <w:t>线程，需支持内存</w:t>
            </w:r>
            <w:r>
              <w:rPr>
                <w:rFonts w:ascii="Calibri" w:hAnsi="Calibri" w:eastAsia="宋体"/>
                <w:sz w:val="21"/>
                <w:szCs w:val="21"/>
                <w:lang w:bidi="ar"/>
              </w:rPr>
              <w:t>64GB</w:t>
            </w:r>
            <w:r>
              <w:rPr>
                <w:rFonts w:hint="eastAsia" w:ascii="Calibri" w:hAnsi="Calibri" w:eastAsia="宋体"/>
                <w:sz w:val="21"/>
                <w:szCs w:val="21"/>
                <w:lang w:bidi="ar"/>
              </w:rPr>
              <w:t>以上</w:t>
            </w:r>
            <w:r>
              <w:rPr>
                <w:rFonts w:hint="eastAsia" w:ascii="Calibri" w:hAnsi="Calibri" w:eastAsia="宋体" w:cs="宋体"/>
                <w:sz w:val="21"/>
                <w:szCs w:val="21"/>
                <w:lang w:bidi="ar"/>
              </w:rPr>
              <w:t>；</w:t>
            </w:r>
            <w:bookmarkEnd w:id="115"/>
            <w:bookmarkEnd w:id="116"/>
          </w:p>
          <w:p>
            <w:pPr>
              <w:pStyle w:val="26"/>
              <w:widowControl/>
              <w:spacing w:beforeAutospacing="0" w:afterAutospacing="0"/>
              <w:jc w:val="both"/>
              <w:outlineLvl w:val="2"/>
              <w:rPr>
                <w:sz w:val="21"/>
                <w:szCs w:val="21"/>
              </w:rPr>
            </w:pPr>
            <w:bookmarkStart w:id="117" w:name="_Toc8489"/>
            <w:bookmarkStart w:id="118" w:name="_Toc7170"/>
            <w:r>
              <w:rPr>
                <w:rFonts w:ascii="Calibri" w:hAnsi="Calibri" w:eastAsia="宋体"/>
                <w:sz w:val="21"/>
                <w:szCs w:val="21"/>
                <w:lang w:bidi="ar"/>
              </w:rPr>
              <w:t>2.</w:t>
            </w:r>
            <w:r>
              <w:rPr>
                <w:rFonts w:hint="eastAsia" w:ascii="Calibri" w:hAnsi="Calibri" w:eastAsia="宋体" w:cs="宋体"/>
                <w:sz w:val="21"/>
                <w:szCs w:val="21"/>
                <w:lang w:bidi="ar"/>
              </w:rPr>
              <w:t>显卡：独立显卡；</w:t>
            </w:r>
            <w:bookmarkEnd w:id="117"/>
            <w:bookmarkEnd w:id="118"/>
          </w:p>
          <w:p>
            <w:pPr>
              <w:pStyle w:val="26"/>
              <w:widowControl/>
              <w:spacing w:beforeAutospacing="0" w:afterAutospacing="0"/>
              <w:jc w:val="both"/>
              <w:outlineLvl w:val="2"/>
              <w:rPr>
                <w:sz w:val="21"/>
                <w:szCs w:val="21"/>
              </w:rPr>
            </w:pPr>
            <w:bookmarkStart w:id="119" w:name="_Toc7543"/>
            <w:bookmarkStart w:id="120" w:name="_Toc10405"/>
            <w:r>
              <w:rPr>
                <w:rFonts w:ascii="Calibri" w:hAnsi="Calibri" w:eastAsia="宋体"/>
                <w:sz w:val="21"/>
                <w:szCs w:val="21"/>
                <w:lang w:bidi="ar"/>
              </w:rPr>
              <w:t>3.</w:t>
            </w:r>
            <w:r>
              <w:rPr>
                <w:rFonts w:hint="eastAsia" w:ascii="Calibri" w:hAnsi="Calibri" w:eastAsia="宋体" w:cs="宋体"/>
                <w:sz w:val="21"/>
                <w:szCs w:val="21"/>
                <w:lang w:bidi="ar"/>
              </w:rPr>
              <w:t>固态硬盘：</w:t>
            </w:r>
            <w:r>
              <w:rPr>
                <w:rFonts w:ascii="Calibri" w:hAnsi="Calibri" w:eastAsia="宋体"/>
                <w:sz w:val="21"/>
                <w:szCs w:val="21"/>
                <w:lang w:bidi="ar"/>
              </w:rPr>
              <w:t>128GB</w:t>
            </w:r>
            <w:r>
              <w:rPr>
                <w:rFonts w:hint="eastAsia" w:ascii="Calibri" w:hAnsi="Calibri" w:eastAsia="宋体"/>
                <w:sz w:val="21"/>
                <w:szCs w:val="21"/>
                <w:lang w:bidi="ar"/>
              </w:rPr>
              <w:t>以上</w:t>
            </w:r>
            <w:r>
              <w:rPr>
                <w:rFonts w:ascii="Calibri" w:hAnsi="Calibri" w:eastAsia="宋体"/>
                <w:sz w:val="21"/>
                <w:szCs w:val="21"/>
                <w:lang w:bidi="ar"/>
              </w:rPr>
              <w:t xml:space="preserve"> SATA3 </w:t>
            </w:r>
            <w:r>
              <w:rPr>
                <w:rFonts w:hint="eastAsia" w:ascii="Calibri" w:hAnsi="Calibri" w:eastAsia="宋体" w:cs="宋体"/>
                <w:sz w:val="21"/>
                <w:szCs w:val="21"/>
                <w:lang w:bidi="ar"/>
              </w:rPr>
              <w:t>读取速度</w:t>
            </w:r>
            <w:r>
              <w:rPr>
                <w:rFonts w:ascii="Calibri" w:hAnsi="Calibri" w:eastAsia="宋体"/>
                <w:sz w:val="21"/>
                <w:szCs w:val="21"/>
                <w:lang w:bidi="ar"/>
              </w:rPr>
              <w:t>510mb/s,</w:t>
            </w:r>
            <w:r>
              <w:rPr>
                <w:rFonts w:hint="eastAsia" w:ascii="Calibri" w:hAnsi="Calibri" w:eastAsia="宋体" w:cs="宋体"/>
                <w:sz w:val="21"/>
                <w:szCs w:val="21"/>
                <w:lang w:bidi="ar"/>
              </w:rPr>
              <w:t>写入速度</w:t>
            </w:r>
            <w:r>
              <w:rPr>
                <w:rFonts w:ascii="Calibri" w:hAnsi="Calibri" w:eastAsia="宋体"/>
                <w:sz w:val="21"/>
                <w:szCs w:val="21"/>
                <w:lang w:bidi="ar"/>
              </w:rPr>
              <w:t>350mb/s</w:t>
            </w:r>
            <w:r>
              <w:rPr>
                <w:rFonts w:hint="eastAsia" w:ascii="Calibri" w:hAnsi="Calibri" w:eastAsia="宋体" w:cs="宋体"/>
                <w:sz w:val="21"/>
                <w:szCs w:val="21"/>
                <w:lang w:bidi="ar"/>
              </w:rPr>
              <w:t>；</w:t>
            </w:r>
            <w:bookmarkEnd w:id="119"/>
            <w:bookmarkEnd w:id="120"/>
          </w:p>
          <w:p>
            <w:pPr>
              <w:pStyle w:val="26"/>
              <w:widowControl/>
              <w:spacing w:beforeAutospacing="0" w:afterAutospacing="0"/>
              <w:jc w:val="both"/>
              <w:outlineLvl w:val="2"/>
              <w:rPr>
                <w:sz w:val="21"/>
                <w:szCs w:val="21"/>
              </w:rPr>
            </w:pPr>
            <w:bookmarkStart w:id="121" w:name="_Toc4103"/>
            <w:bookmarkStart w:id="122" w:name="_Toc27066"/>
            <w:r>
              <w:rPr>
                <w:rFonts w:ascii="Calibri" w:hAnsi="Calibri" w:eastAsia="宋体"/>
                <w:sz w:val="21"/>
                <w:szCs w:val="21"/>
                <w:lang w:bidi="ar"/>
              </w:rPr>
              <w:t>4.</w:t>
            </w:r>
            <w:r>
              <w:rPr>
                <w:rFonts w:hint="eastAsia" w:ascii="Calibri" w:hAnsi="Calibri" w:eastAsia="宋体" w:cs="宋体"/>
                <w:sz w:val="21"/>
                <w:szCs w:val="21"/>
                <w:lang w:bidi="ar"/>
              </w:rPr>
              <w:t>内存：</w:t>
            </w:r>
            <w:r>
              <w:rPr>
                <w:rFonts w:ascii="Calibri" w:hAnsi="Calibri" w:eastAsia="宋体"/>
                <w:sz w:val="21"/>
                <w:szCs w:val="21"/>
                <w:lang w:bidi="ar"/>
              </w:rPr>
              <w:t>16GB</w:t>
            </w:r>
            <w:r>
              <w:rPr>
                <w:rFonts w:hint="eastAsia" w:ascii="Calibri" w:hAnsi="Calibri" w:eastAsia="宋体"/>
                <w:sz w:val="21"/>
                <w:szCs w:val="21"/>
                <w:lang w:bidi="ar"/>
              </w:rPr>
              <w:t>以上</w:t>
            </w:r>
            <w:r>
              <w:rPr>
                <w:rFonts w:ascii="Calibri" w:hAnsi="Calibri" w:eastAsia="宋体"/>
                <w:sz w:val="21"/>
                <w:szCs w:val="21"/>
                <w:lang w:bidi="ar"/>
              </w:rPr>
              <w:t xml:space="preserve"> DDR4</w:t>
            </w:r>
            <w:r>
              <w:rPr>
                <w:rFonts w:hint="eastAsia" w:ascii="Calibri" w:hAnsi="Calibri" w:eastAsia="宋体" w:cs="宋体"/>
                <w:sz w:val="21"/>
                <w:szCs w:val="21"/>
                <w:lang w:bidi="ar"/>
              </w:rPr>
              <w:t>。</w:t>
            </w:r>
            <w:bookmarkEnd w:id="121"/>
            <w:bookmarkEnd w:id="122"/>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23" w:name="_Toc24313"/>
            <w:bookmarkStart w:id="124" w:name="_Toc19790"/>
            <w:r>
              <w:rPr>
                <w:rFonts w:hint="eastAsia" w:ascii="Calibri" w:hAnsi="Calibri"/>
                <w:sz w:val="21"/>
                <w:szCs w:val="21"/>
                <w:lang w:val="en-US" w:eastAsia="zh-CN" w:bidi="ar"/>
              </w:rPr>
              <w:t>4</w:t>
            </w:r>
            <w:bookmarkEnd w:id="123"/>
            <w:bookmarkEnd w:id="124"/>
          </w:p>
        </w:tc>
        <w:tc>
          <w:tcPr>
            <w:tcW w:w="1084" w:type="dxa"/>
            <w:tcBorders>
              <w:top w:val="nil"/>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25" w:name="_Toc19793"/>
            <w:r>
              <w:rPr>
                <w:rFonts w:hint="eastAsia" w:ascii="Calibri" w:hAnsi="Calibri" w:eastAsia="宋体" w:cs="宋体"/>
                <w:sz w:val="21"/>
                <w:szCs w:val="21"/>
                <w:lang w:bidi="ar"/>
              </w:rPr>
              <w:t>音响</w:t>
            </w:r>
            <w:bookmarkEnd w:id="125"/>
          </w:p>
        </w:tc>
        <w:tc>
          <w:tcPr>
            <w:tcW w:w="6363" w:type="dxa"/>
            <w:tcBorders>
              <w:top w:val="nil"/>
              <w:left w:val="nil"/>
              <w:bottom w:val="single" w:color="000000" w:sz="4" w:space="0"/>
              <w:right w:val="single" w:color="000000" w:sz="4" w:space="0"/>
            </w:tcBorders>
            <w:tcMar>
              <w:left w:w="105" w:type="dxa"/>
              <w:right w:w="105" w:type="dxa"/>
            </w:tcMar>
          </w:tcPr>
          <w:p>
            <w:pPr>
              <w:pStyle w:val="26"/>
              <w:widowControl/>
              <w:spacing w:beforeAutospacing="0" w:afterAutospacing="0"/>
              <w:jc w:val="both"/>
              <w:outlineLvl w:val="2"/>
              <w:rPr>
                <w:sz w:val="21"/>
                <w:szCs w:val="21"/>
              </w:rPr>
            </w:pPr>
            <w:bookmarkStart w:id="126" w:name="_Toc23308"/>
            <w:bookmarkStart w:id="127" w:name="_Toc30418"/>
            <w:r>
              <w:rPr>
                <w:rFonts w:ascii="Calibri" w:hAnsi="Calibri" w:eastAsia="宋体"/>
                <w:sz w:val="21"/>
                <w:szCs w:val="21"/>
                <w:lang w:bidi="ar"/>
              </w:rPr>
              <w:t>1.</w:t>
            </w:r>
            <w:r>
              <w:rPr>
                <w:rFonts w:hint="eastAsia" w:ascii="Calibri" w:hAnsi="Calibri" w:eastAsia="宋体" w:cs="宋体"/>
                <w:sz w:val="21"/>
                <w:szCs w:val="21"/>
                <w:lang w:bidi="ar"/>
              </w:rPr>
              <w:t>系统组成：≥</w:t>
            </w:r>
            <w:r>
              <w:rPr>
                <w:rFonts w:ascii="Calibri" w:hAnsi="Calibri" w:eastAsia="宋体"/>
                <w:sz w:val="21"/>
                <w:szCs w:val="21"/>
                <w:lang w:bidi="ar"/>
              </w:rPr>
              <w:t>LF6.5</w:t>
            </w:r>
            <w:r>
              <w:rPr>
                <w:rFonts w:hint="eastAsia" w:ascii="Calibri" w:hAnsi="Calibri" w:eastAsia="宋体" w:cs="宋体"/>
                <w:sz w:val="21"/>
                <w:szCs w:val="21"/>
                <w:lang w:bidi="ar"/>
              </w:rPr>
              <w:t>″×</w:t>
            </w:r>
            <w:r>
              <w:rPr>
                <w:rFonts w:ascii="Calibri" w:hAnsi="Calibri" w:eastAsia="宋体"/>
                <w:sz w:val="21"/>
                <w:szCs w:val="21"/>
                <w:lang w:bidi="ar"/>
              </w:rPr>
              <w:t>1</w:t>
            </w:r>
            <w:r>
              <w:rPr>
                <w:rFonts w:hint="eastAsia" w:ascii="Calibri" w:hAnsi="Calibri" w:eastAsia="宋体" w:cs="宋体"/>
                <w:sz w:val="21"/>
                <w:szCs w:val="21"/>
                <w:lang w:bidi="ar"/>
              </w:rPr>
              <w:t>，</w:t>
            </w:r>
            <w:r>
              <w:rPr>
                <w:rFonts w:ascii="Calibri" w:hAnsi="Calibri" w:eastAsia="宋体"/>
                <w:sz w:val="21"/>
                <w:szCs w:val="21"/>
                <w:lang w:bidi="ar"/>
              </w:rPr>
              <w:t>HF3</w:t>
            </w:r>
            <w:r>
              <w:rPr>
                <w:rFonts w:hint="eastAsia" w:ascii="Calibri" w:hAnsi="Calibri" w:eastAsia="宋体" w:cs="宋体"/>
                <w:sz w:val="21"/>
                <w:szCs w:val="21"/>
                <w:lang w:bidi="ar"/>
              </w:rPr>
              <w:t>″×</w:t>
            </w:r>
            <w:r>
              <w:rPr>
                <w:rFonts w:ascii="Calibri" w:hAnsi="Calibri" w:eastAsia="宋体"/>
                <w:sz w:val="21"/>
                <w:szCs w:val="21"/>
                <w:lang w:bidi="ar"/>
              </w:rPr>
              <w:t>1</w:t>
            </w:r>
            <w:r>
              <w:rPr>
                <w:rFonts w:hint="eastAsia" w:ascii="Calibri" w:hAnsi="Calibri" w:eastAsia="宋体" w:cs="宋体"/>
                <w:sz w:val="21"/>
                <w:szCs w:val="21"/>
                <w:lang w:bidi="ar"/>
              </w:rPr>
              <w:t>；</w:t>
            </w:r>
            <w:bookmarkEnd w:id="126"/>
            <w:bookmarkEnd w:id="127"/>
          </w:p>
          <w:p>
            <w:pPr>
              <w:pStyle w:val="26"/>
              <w:widowControl/>
              <w:spacing w:beforeAutospacing="0" w:afterAutospacing="0"/>
              <w:jc w:val="both"/>
              <w:outlineLvl w:val="2"/>
              <w:rPr>
                <w:sz w:val="21"/>
                <w:szCs w:val="21"/>
              </w:rPr>
            </w:pPr>
            <w:bookmarkStart w:id="128" w:name="_Toc2855"/>
            <w:bookmarkStart w:id="129" w:name="_Toc11540"/>
            <w:r>
              <w:rPr>
                <w:rFonts w:ascii="Calibri" w:hAnsi="Calibri" w:eastAsia="宋体"/>
                <w:sz w:val="21"/>
                <w:szCs w:val="21"/>
                <w:lang w:bidi="ar"/>
              </w:rPr>
              <w:t>2.</w:t>
            </w:r>
            <w:r>
              <w:rPr>
                <w:rFonts w:hint="eastAsia" w:ascii="Calibri" w:hAnsi="Calibri" w:eastAsia="宋体" w:cs="宋体"/>
                <w:sz w:val="21"/>
                <w:szCs w:val="21"/>
                <w:lang w:bidi="ar"/>
              </w:rPr>
              <w:t>额定阻抗：</w:t>
            </w:r>
            <w:r>
              <w:rPr>
                <w:rFonts w:ascii="Calibri" w:hAnsi="Calibri" w:eastAsia="宋体"/>
                <w:sz w:val="21"/>
                <w:szCs w:val="21"/>
                <w:lang w:bidi="ar"/>
              </w:rPr>
              <w:t>8OHMS</w:t>
            </w:r>
            <w:r>
              <w:rPr>
                <w:rFonts w:hint="eastAsia" w:ascii="Calibri" w:hAnsi="Calibri" w:eastAsia="宋体" w:cs="宋体"/>
                <w:sz w:val="21"/>
                <w:szCs w:val="21"/>
                <w:lang w:bidi="ar"/>
              </w:rPr>
              <w:t>；</w:t>
            </w:r>
            <w:bookmarkEnd w:id="128"/>
            <w:bookmarkEnd w:id="129"/>
          </w:p>
          <w:p>
            <w:pPr>
              <w:pStyle w:val="26"/>
              <w:widowControl/>
              <w:spacing w:beforeAutospacing="0" w:afterAutospacing="0"/>
              <w:jc w:val="both"/>
              <w:outlineLvl w:val="2"/>
              <w:rPr>
                <w:sz w:val="21"/>
                <w:szCs w:val="21"/>
              </w:rPr>
            </w:pPr>
            <w:bookmarkStart w:id="130" w:name="_Toc13120"/>
            <w:bookmarkStart w:id="131" w:name="_Toc6167"/>
            <w:r>
              <w:rPr>
                <w:rFonts w:ascii="Calibri" w:hAnsi="Calibri" w:eastAsia="宋体"/>
                <w:sz w:val="21"/>
                <w:szCs w:val="21"/>
                <w:lang w:bidi="ar"/>
              </w:rPr>
              <w:t>3.</w:t>
            </w:r>
            <w:r>
              <w:rPr>
                <w:rFonts w:hint="eastAsia" w:ascii="Calibri" w:hAnsi="Calibri" w:eastAsia="宋体" w:cs="宋体"/>
                <w:sz w:val="21"/>
                <w:szCs w:val="21"/>
                <w:lang w:bidi="ar"/>
              </w:rPr>
              <w:t>额定功率：≥</w:t>
            </w:r>
            <w:r>
              <w:rPr>
                <w:rFonts w:ascii="Calibri" w:hAnsi="Calibri" w:eastAsia="宋体"/>
                <w:sz w:val="21"/>
                <w:szCs w:val="21"/>
                <w:lang w:bidi="ar"/>
              </w:rPr>
              <w:t>60W</w:t>
            </w:r>
            <w:r>
              <w:rPr>
                <w:rFonts w:hint="eastAsia" w:ascii="Calibri" w:hAnsi="Calibri" w:eastAsia="宋体" w:cs="宋体"/>
                <w:sz w:val="21"/>
                <w:szCs w:val="21"/>
                <w:lang w:bidi="ar"/>
              </w:rPr>
              <w:t>（</w:t>
            </w:r>
            <w:r>
              <w:rPr>
                <w:rFonts w:ascii="Calibri" w:hAnsi="Calibri" w:eastAsia="宋体"/>
                <w:sz w:val="21"/>
                <w:szCs w:val="21"/>
                <w:lang w:bidi="ar"/>
              </w:rPr>
              <w:t>MAX:240W</w:t>
            </w:r>
            <w:r>
              <w:rPr>
                <w:rFonts w:hint="eastAsia" w:ascii="Calibri" w:hAnsi="Calibri" w:eastAsia="宋体" w:cs="宋体"/>
                <w:sz w:val="21"/>
                <w:szCs w:val="21"/>
                <w:lang w:bidi="ar"/>
              </w:rPr>
              <w:t>）；</w:t>
            </w:r>
            <w:bookmarkEnd w:id="130"/>
            <w:bookmarkEnd w:id="131"/>
          </w:p>
          <w:p>
            <w:pPr>
              <w:pStyle w:val="26"/>
              <w:widowControl/>
              <w:spacing w:beforeAutospacing="0" w:afterAutospacing="0"/>
              <w:jc w:val="both"/>
              <w:outlineLvl w:val="2"/>
              <w:rPr>
                <w:sz w:val="21"/>
                <w:szCs w:val="21"/>
              </w:rPr>
            </w:pPr>
            <w:bookmarkStart w:id="132" w:name="_Toc29223"/>
            <w:bookmarkStart w:id="133" w:name="_Toc25563"/>
            <w:r>
              <w:rPr>
                <w:rFonts w:ascii="Calibri" w:hAnsi="Calibri" w:eastAsia="宋体"/>
                <w:sz w:val="21"/>
                <w:szCs w:val="21"/>
                <w:lang w:bidi="ar"/>
              </w:rPr>
              <w:t>4.</w:t>
            </w:r>
            <w:r>
              <w:rPr>
                <w:rFonts w:hint="eastAsia" w:ascii="Calibri" w:hAnsi="Calibri" w:eastAsia="宋体" w:cs="宋体"/>
                <w:sz w:val="21"/>
                <w:szCs w:val="21"/>
                <w:lang w:bidi="ar"/>
              </w:rPr>
              <w:t>灵敏度：</w:t>
            </w:r>
            <w:r>
              <w:rPr>
                <w:rFonts w:ascii="Calibri" w:hAnsi="Calibri" w:eastAsia="宋体"/>
                <w:sz w:val="21"/>
                <w:szCs w:val="21"/>
                <w:lang w:bidi="ar"/>
              </w:rPr>
              <w:t>91DB</w:t>
            </w:r>
            <w:r>
              <w:rPr>
                <w:rFonts w:hint="eastAsia" w:ascii="Calibri" w:hAnsi="Calibri" w:eastAsia="宋体" w:cs="宋体"/>
                <w:sz w:val="21"/>
                <w:szCs w:val="21"/>
                <w:lang w:bidi="ar"/>
              </w:rPr>
              <w:t>（</w:t>
            </w:r>
            <w:r>
              <w:rPr>
                <w:rFonts w:ascii="Calibri" w:hAnsi="Calibri" w:eastAsia="宋体"/>
                <w:sz w:val="21"/>
                <w:szCs w:val="21"/>
                <w:lang w:bidi="ar"/>
              </w:rPr>
              <w:t>1W/1M)</w:t>
            </w:r>
            <w:r>
              <w:rPr>
                <w:rFonts w:hint="eastAsia" w:ascii="Calibri" w:hAnsi="Calibri" w:eastAsia="宋体" w:cs="宋体"/>
                <w:sz w:val="21"/>
                <w:szCs w:val="21"/>
                <w:lang w:bidi="ar"/>
              </w:rPr>
              <w:t>；</w:t>
            </w:r>
            <w:bookmarkEnd w:id="132"/>
            <w:bookmarkEnd w:id="133"/>
          </w:p>
          <w:p>
            <w:pPr>
              <w:pStyle w:val="26"/>
              <w:widowControl/>
              <w:spacing w:beforeAutospacing="0" w:afterAutospacing="0"/>
              <w:jc w:val="both"/>
              <w:outlineLvl w:val="2"/>
              <w:rPr>
                <w:sz w:val="21"/>
                <w:szCs w:val="21"/>
              </w:rPr>
            </w:pPr>
            <w:bookmarkStart w:id="134" w:name="_Toc3781"/>
            <w:bookmarkStart w:id="135" w:name="_Toc5980"/>
            <w:r>
              <w:rPr>
                <w:rFonts w:ascii="Calibri" w:hAnsi="Calibri" w:eastAsia="宋体"/>
                <w:sz w:val="21"/>
                <w:szCs w:val="21"/>
                <w:lang w:bidi="ar"/>
              </w:rPr>
              <w:t>5.</w:t>
            </w:r>
            <w:r>
              <w:rPr>
                <w:rFonts w:hint="eastAsia" w:ascii="Calibri" w:hAnsi="Calibri" w:eastAsia="宋体" w:cs="宋体"/>
                <w:sz w:val="21"/>
                <w:szCs w:val="21"/>
                <w:lang w:bidi="ar"/>
              </w:rPr>
              <w:t>声压级：</w:t>
            </w:r>
            <w:r>
              <w:rPr>
                <w:rFonts w:ascii="Calibri" w:hAnsi="Calibri" w:eastAsia="宋体"/>
                <w:sz w:val="21"/>
                <w:szCs w:val="21"/>
                <w:lang w:bidi="ar"/>
              </w:rPr>
              <w:t>108DB</w:t>
            </w:r>
            <w:r>
              <w:rPr>
                <w:rFonts w:hint="eastAsia" w:ascii="Calibri" w:hAnsi="Calibri" w:eastAsia="宋体" w:cs="宋体"/>
                <w:sz w:val="21"/>
                <w:szCs w:val="21"/>
                <w:lang w:bidi="ar"/>
              </w:rPr>
              <w:t>（</w:t>
            </w:r>
            <w:r>
              <w:rPr>
                <w:rFonts w:ascii="Calibri" w:hAnsi="Calibri" w:eastAsia="宋体"/>
                <w:sz w:val="21"/>
                <w:szCs w:val="21"/>
                <w:lang w:bidi="ar"/>
              </w:rPr>
              <w:t>MAX:114DB</w:t>
            </w:r>
            <w:r>
              <w:rPr>
                <w:rFonts w:hint="eastAsia" w:ascii="Calibri" w:hAnsi="Calibri" w:eastAsia="宋体" w:cs="宋体"/>
                <w:sz w:val="21"/>
                <w:szCs w:val="21"/>
                <w:lang w:bidi="ar"/>
              </w:rPr>
              <w:t>）；</w:t>
            </w:r>
            <w:bookmarkEnd w:id="134"/>
            <w:bookmarkEnd w:id="135"/>
          </w:p>
          <w:p>
            <w:pPr>
              <w:pStyle w:val="26"/>
              <w:widowControl/>
              <w:spacing w:beforeAutospacing="0" w:afterAutospacing="0"/>
              <w:jc w:val="both"/>
              <w:outlineLvl w:val="2"/>
              <w:rPr>
                <w:sz w:val="21"/>
                <w:szCs w:val="21"/>
              </w:rPr>
            </w:pPr>
            <w:bookmarkStart w:id="136" w:name="_Toc29062"/>
            <w:bookmarkStart w:id="137" w:name="_Toc16258"/>
            <w:r>
              <w:rPr>
                <w:rFonts w:ascii="Calibri" w:hAnsi="Calibri" w:eastAsia="宋体"/>
                <w:sz w:val="21"/>
                <w:szCs w:val="21"/>
                <w:lang w:bidi="ar"/>
              </w:rPr>
              <w:t>6.</w:t>
            </w:r>
            <w:r>
              <w:rPr>
                <w:rFonts w:hint="eastAsia" w:ascii="Calibri" w:hAnsi="Calibri" w:eastAsia="宋体" w:cs="宋体"/>
                <w:sz w:val="21"/>
                <w:szCs w:val="21"/>
                <w:lang w:bidi="ar"/>
              </w:rPr>
              <w:t>频率响应：</w:t>
            </w:r>
            <w:r>
              <w:rPr>
                <w:rFonts w:ascii="Calibri" w:hAnsi="Calibri" w:eastAsia="宋体"/>
                <w:sz w:val="21"/>
                <w:szCs w:val="21"/>
                <w:lang w:bidi="ar"/>
              </w:rPr>
              <w:t>65Hz--16KHz(-3DB)</w:t>
            </w:r>
            <w:r>
              <w:rPr>
                <w:rFonts w:hint="eastAsia" w:ascii="Calibri" w:hAnsi="Calibri" w:eastAsia="宋体" w:cs="宋体"/>
                <w:sz w:val="21"/>
                <w:szCs w:val="21"/>
                <w:lang w:bidi="ar"/>
              </w:rPr>
              <w:t>。</w:t>
            </w:r>
            <w:bookmarkEnd w:id="136"/>
            <w:bookmarkEnd w:id="137"/>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nil"/>
              <w:left w:val="single" w:color="000000" w:sz="4" w:space="0"/>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38" w:name="_Toc10736"/>
            <w:bookmarkStart w:id="139" w:name="_Toc4533"/>
            <w:r>
              <w:rPr>
                <w:rFonts w:hint="eastAsia" w:ascii="Calibri" w:hAnsi="Calibri"/>
                <w:sz w:val="21"/>
                <w:szCs w:val="21"/>
                <w:lang w:val="en-US" w:eastAsia="zh-CN" w:bidi="ar"/>
              </w:rPr>
              <w:t>5</w:t>
            </w:r>
            <w:bookmarkEnd w:id="138"/>
            <w:bookmarkEnd w:id="139"/>
          </w:p>
        </w:tc>
        <w:tc>
          <w:tcPr>
            <w:tcW w:w="1084" w:type="dxa"/>
            <w:tcBorders>
              <w:top w:val="nil"/>
              <w:left w:val="nil"/>
              <w:bottom w:val="single" w:color="000000"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40" w:name="_Toc16136"/>
            <w:bookmarkStart w:id="141" w:name="_Toc883"/>
            <w:r>
              <w:rPr>
                <w:rFonts w:hint="eastAsia" w:ascii="Calibri" w:hAnsi="Calibri" w:eastAsia="宋体" w:cs="宋体"/>
                <w:sz w:val="21"/>
                <w:szCs w:val="21"/>
                <w:lang w:bidi="ar"/>
              </w:rPr>
              <w:t>功放设备</w:t>
            </w:r>
            <w:bookmarkEnd w:id="140"/>
            <w:bookmarkEnd w:id="141"/>
          </w:p>
        </w:tc>
        <w:tc>
          <w:tcPr>
            <w:tcW w:w="6363" w:type="dxa"/>
            <w:tcBorders>
              <w:top w:val="nil"/>
              <w:left w:val="nil"/>
              <w:bottom w:val="single" w:color="000000" w:sz="4" w:space="0"/>
              <w:right w:val="single" w:color="000000" w:sz="4" w:space="0"/>
            </w:tcBorders>
            <w:tcMar>
              <w:left w:w="105" w:type="dxa"/>
              <w:right w:w="105" w:type="dxa"/>
            </w:tcMar>
          </w:tcPr>
          <w:p>
            <w:pPr>
              <w:pStyle w:val="26"/>
              <w:widowControl/>
              <w:spacing w:beforeAutospacing="0" w:afterAutospacing="0"/>
              <w:jc w:val="both"/>
              <w:outlineLvl w:val="2"/>
              <w:rPr>
                <w:sz w:val="21"/>
                <w:szCs w:val="21"/>
              </w:rPr>
            </w:pPr>
            <w:bookmarkStart w:id="142" w:name="_Toc10297"/>
            <w:bookmarkStart w:id="143" w:name="_Toc6111"/>
            <w:r>
              <w:rPr>
                <w:rFonts w:ascii="Calibri" w:hAnsi="Calibri" w:eastAsia="宋体"/>
                <w:sz w:val="21"/>
                <w:szCs w:val="21"/>
                <w:lang w:bidi="ar"/>
              </w:rPr>
              <w:t xml:space="preserve">1.8 </w:t>
            </w:r>
            <w:r>
              <w:rPr>
                <w:rFonts w:hint="eastAsia" w:ascii="Calibri" w:hAnsi="Calibri" w:eastAsia="宋体" w:cs="宋体"/>
                <w:sz w:val="21"/>
                <w:szCs w:val="21"/>
                <w:lang w:bidi="ar"/>
              </w:rPr>
              <w:t>Ω立体声</w:t>
            </w:r>
            <w:r>
              <w:rPr>
                <w:rFonts w:ascii="Calibri" w:hAnsi="Calibri" w:eastAsia="宋体"/>
                <w:sz w:val="21"/>
                <w:szCs w:val="21"/>
                <w:lang w:bidi="ar"/>
              </w:rPr>
              <w:t>RMS</w:t>
            </w:r>
            <w:r>
              <w:rPr>
                <w:rFonts w:hint="eastAsia" w:ascii="Calibri" w:hAnsi="Calibri" w:eastAsia="宋体" w:cs="宋体"/>
                <w:sz w:val="21"/>
                <w:szCs w:val="21"/>
                <w:lang w:bidi="ar"/>
              </w:rPr>
              <w:t>：≥</w:t>
            </w:r>
            <w:r>
              <w:rPr>
                <w:rFonts w:ascii="Calibri" w:hAnsi="Calibri" w:eastAsia="宋体"/>
                <w:sz w:val="21"/>
                <w:szCs w:val="21"/>
                <w:lang w:bidi="ar"/>
              </w:rPr>
              <w:t>400W*2</w:t>
            </w:r>
            <w:r>
              <w:rPr>
                <w:rFonts w:hint="eastAsia" w:ascii="Calibri" w:hAnsi="Calibri" w:eastAsia="宋体" w:cs="宋体"/>
                <w:sz w:val="21"/>
                <w:szCs w:val="21"/>
                <w:lang w:bidi="ar"/>
              </w:rPr>
              <w:t>；</w:t>
            </w:r>
            <w:bookmarkEnd w:id="142"/>
            <w:bookmarkEnd w:id="143"/>
          </w:p>
          <w:p>
            <w:pPr>
              <w:pStyle w:val="26"/>
              <w:widowControl/>
              <w:spacing w:beforeAutospacing="0" w:afterAutospacing="0"/>
              <w:jc w:val="both"/>
              <w:outlineLvl w:val="2"/>
              <w:rPr>
                <w:sz w:val="21"/>
                <w:szCs w:val="21"/>
              </w:rPr>
            </w:pPr>
            <w:bookmarkStart w:id="144" w:name="_Toc2969"/>
            <w:bookmarkStart w:id="145" w:name="_Toc29418"/>
            <w:r>
              <w:rPr>
                <w:rFonts w:ascii="Calibri" w:hAnsi="Calibri" w:eastAsia="宋体"/>
                <w:sz w:val="21"/>
                <w:szCs w:val="21"/>
                <w:lang w:bidi="ar"/>
              </w:rPr>
              <w:t xml:space="preserve">2.4 </w:t>
            </w:r>
            <w:r>
              <w:rPr>
                <w:rFonts w:hint="eastAsia" w:ascii="Calibri" w:hAnsi="Calibri" w:eastAsia="宋体" w:cs="宋体"/>
                <w:sz w:val="21"/>
                <w:szCs w:val="21"/>
                <w:lang w:bidi="ar"/>
              </w:rPr>
              <w:t>Ω立体声</w:t>
            </w:r>
            <w:r>
              <w:rPr>
                <w:rFonts w:ascii="Calibri" w:hAnsi="Calibri" w:eastAsia="宋体"/>
                <w:sz w:val="21"/>
                <w:szCs w:val="21"/>
                <w:lang w:bidi="ar"/>
              </w:rPr>
              <w:t>RMS</w:t>
            </w:r>
            <w:r>
              <w:rPr>
                <w:rFonts w:hint="eastAsia" w:ascii="Calibri" w:hAnsi="Calibri" w:eastAsia="宋体" w:cs="宋体"/>
                <w:sz w:val="21"/>
                <w:szCs w:val="21"/>
                <w:lang w:bidi="ar"/>
              </w:rPr>
              <w:t>：≥</w:t>
            </w:r>
            <w:r>
              <w:rPr>
                <w:rFonts w:ascii="Calibri" w:hAnsi="Calibri" w:eastAsia="宋体"/>
                <w:sz w:val="21"/>
                <w:szCs w:val="21"/>
                <w:lang w:bidi="ar"/>
              </w:rPr>
              <w:t>560W*2</w:t>
            </w:r>
            <w:r>
              <w:rPr>
                <w:rFonts w:hint="eastAsia" w:ascii="Calibri" w:hAnsi="Calibri" w:eastAsia="宋体" w:cs="宋体"/>
                <w:sz w:val="21"/>
                <w:szCs w:val="21"/>
                <w:lang w:bidi="ar"/>
              </w:rPr>
              <w:t>；</w:t>
            </w:r>
            <w:bookmarkEnd w:id="144"/>
            <w:bookmarkEnd w:id="145"/>
          </w:p>
          <w:p>
            <w:pPr>
              <w:pStyle w:val="26"/>
              <w:widowControl/>
              <w:spacing w:beforeAutospacing="0" w:afterAutospacing="0"/>
              <w:jc w:val="both"/>
              <w:outlineLvl w:val="2"/>
              <w:rPr>
                <w:sz w:val="21"/>
                <w:szCs w:val="21"/>
              </w:rPr>
            </w:pPr>
            <w:bookmarkStart w:id="146" w:name="_Toc5021"/>
            <w:bookmarkStart w:id="147" w:name="_Toc16633"/>
            <w:r>
              <w:rPr>
                <w:rFonts w:ascii="Calibri" w:hAnsi="Calibri" w:eastAsia="宋体"/>
                <w:sz w:val="21"/>
                <w:szCs w:val="21"/>
                <w:lang w:bidi="ar"/>
              </w:rPr>
              <w:t xml:space="preserve">3.2 </w:t>
            </w:r>
            <w:r>
              <w:rPr>
                <w:rFonts w:hint="eastAsia" w:ascii="Calibri" w:hAnsi="Calibri" w:eastAsia="宋体" w:cs="宋体"/>
                <w:sz w:val="21"/>
                <w:szCs w:val="21"/>
                <w:lang w:bidi="ar"/>
              </w:rPr>
              <w:t>Ω立体声</w:t>
            </w:r>
            <w:r>
              <w:rPr>
                <w:rFonts w:ascii="Calibri" w:hAnsi="Calibri" w:eastAsia="宋体"/>
                <w:sz w:val="21"/>
                <w:szCs w:val="21"/>
                <w:lang w:bidi="ar"/>
              </w:rPr>
              <w:t>RMS</w:t>
            </w:r>
            <w:r>
              <w:rPr>
                <w:rFonts w:hint="eastAsia" w:ascii="Calibri" w:hAnsi="Calibri" w:eastAsia="宋体" w:cs="宋体"/>
                <w:sz w:val="21"/>
                <w:szCs w:val="21"/>
                <w:lang w:bidi="ar"/>
              </w:rPr>
              <w:t>：≥</w:t>
            </w:r>
            <w:r>
              <w:rPr>
                <w:rFonts w:ascii="Calibri" w:hAnsi="Calibri" w:eastAsia="宋体"/>
                <w:sz w:val="21"/>
                <w:szCs w:val="21"/>
                <w:lang w:bidi="ar"/>
              </w:rPr>
              <w:t>700W*2</w:t>
            </w:r>
            <w:r>
              <w:rPr>
                <w:rFonts w:hint="eastAsia" w:ascii="Calibri" w:hAnsi="Calibri" w:eastAsia="宋体" w:cs="宋体"/>
                <w:sz w:val="21"/>
                <w:szCs w:val="21"/>
                <w:lang w:bidi="ar"/>
              </w:rPr>
              <w:t>；</w:t>
            </w:r>
            <w:bookmarkEnd w:id="146"/>
            <w:bookmarkEnd w:id="147"/>
          </w:p>
          <w:p>
            <w:pPr>
              <w:pStyle w:val="26"/>
              <w:widowControl/>
              <w:spacing w:beforeAutospacing="0" w:afterAutospacing="0"/>
              <w:jc w:val="both"/>
              <w:outlineLvl w:val="2"/>
              <w:rPr>
                <w:sz w:val="21"/>
                <w:szCs w:val="21"/>
              </w:rPr>
            </w:pPr>
            <w:bookmarkStart w:id="148" w:name="_Toc30759"/>
            <w:bookmarkStart w:id="149" w:name="_Toc213"/>
            <w:r>
              <w:rPr>
                <w:rFonts w:ascii="Calibri" w:hAnsi="Calibri" w:eastAsia="宋体"/>
                <w:sz w:val="21"/>
                <w:szCs w:val="21"/>
                <w:lang w:bidi="ar"/>
              </w:rPr>
              <w:t>4.</w:t>
            </w:r>
            <w:r>
              <w:rPr>
                <w:rFonts w:hint="eastAsia" w:ascii="Calibri" w:hAnsi="Calibri" w:eastAsia="宋体" w:cs="宋体"/>
                <w:sz w:val="21"/>
                <w:szCs w:val="21"/>
                <w:lang w:bidi="ar"/>
              </w:rPr>
              <w:t>限幅保护：可达到</w:t>
            </w:r>
            <w:r>
              <w:rPr>
                <w:rFonts w:ascii="Calibri" w:hAnsi="Calibri" w:eastAsia="宋体"/>
                <w:sz w:val="21"/>
                <w:szCs w:val="21"/>
                <w:lang w:bidi="ar"/>
              </w:rPr>
              <w:t>10V</w:t>
            </w:r>
            <w:r>
              <w:rPr>
                <w:rFonts w:hint="eastAsia" w:ascii="Calibri" w:hAnsi="Calibri" w:eastAsia="宋体" w:cs="宋体"/>
                <w:sz w:val="21"/>
                <w:szCs w:val="21"/>
                <w:lang w:bidi="ar"/>
              </w:rPr>
              <w:t>；</w:t>
            </w:r>
            <w:bookmarkEnd w:id="148"/>
            <w:bookmarkEnd w:id="149"/>
          </w:p>
          <w:p>
            <w:pPr>
              <w:pStyle w:val="26"/>
              <w:widowControl/>
              <w:spacing w:beforeAutospacing="0" w:afterAutospacing="0"/>
              <w:jc w:val="both"/>
              <w:outlineLvl w:val="2"/>
              <w:rPr>
                <w:sz w:val="21"/>
                <w:szCs w:val="21"/>
              </w:rPr>
            </w:pPr>
            <w:bookmarkStart w:id="150" w:name="_Toc8763"/>
            <w:bookmarkStart w:id="151" w:name="_Toc26072"/>
            <w:r>
              <w:rPr>
                <w:rFonts w:ascii="Calibri" w:hAnsi="Calibri" w:eastAsia="宋体"/>
                <w:sz w:val="21"/>
                <w:szCs w:val="21"/>
                <w:lang w:bidi="ar"/>
              </w:rPr>
              <w:t>5.</w:t>
            </w:r>
            <w:r>
              <w:rPr>
                <w:rFonts w:hint="eastAsia" w:ascii="Calibri" w:hAnsi="Calibri" w:eastAsia="宋体" w:cs="宋体"/>
                <w:sz w:val="21"/>
                <w:szCs w:val="21"/>
                <w:lang w:bidi="ar"/>
              </w:rPr>
              <w:t>频率响应：（</w:t>
            </w:r>
            <w:r>
              <w:rPr>
                <w:rFonts w:ascii="Calibri" w:hAnsi="Calibri" w:eastAsia="宋体"/>
                <w:sz w:val="21"/>
                <w:szCs w:val="21"/>
                <w:lang w:bidi="ar"/>
              </w:rPr>
              <w:t>1W 8ohms</w:t>
            </w:r>
            <w:r>
              <w:rPr>
                <w:rFonts w:hint="eastAsia" w:ascii="Calibri" w:hAnsi="Calibri" w:eastAsia="宋体" w:cs="宋体"/>
                <w:sz w:val="21"/>
                <w:szCs w:val="21"/>
                <w:lang w:bidi="ar"/>
              </w:rPr>
              <w:t>）：</w:t>
            </w:r>
            <w:r>
              <w:rPr>
                <w:rFonts w:ascii="Calibri" w:hAnsi="Calibri" w:eastAsia="宋体"/>
                <w:sz w:val="21"/>
                <w:szCs w:val="21"/>
                <w:lang w:bidi="ar"/>
              </w:rPr>
              <w:t>20HZ-20KHZ(</w:t>
            </w:r>
            <w:r>
              <w:rPr>
                <w:rFonts w:hint="eastAsia" w:ascii="Calibri" w:hAnsi="Calibri" w:eastAsia="宋体" w:cs="宋体"/>
                <w:sz w:val="21"/>
                <w:szCs w:val="21"/>
                <w:lang w:bidi="ar"/>
              </w:rPr>
              <w:t>±</w:t>
            </w:r>
            <w:r>
              <w:rPr>
                <w:rFonts w:ascii="Calibri" w:hAnsi="Calibri" w:eastAsia="宋体"/>
                <w:sz w:val="21"/>
                <w:szCs w:val="21"/>
                <w:lang w:bidi="ar"/>
              </w:rPr>
              <w:t>0.5db</w:t>
            </w:r>
            <w:r>
              <w:rPr>
                <w:rFonts w:hint="eastAsia" w:ascii="Calibri" w:hAnsi="Calibri" w:eastAsia="宋体" w:cs="宋体"/>
                <w:sz w:val="21"/>
                <w:szCs w:val="21"/>
                <w:lang w:bidi="ar"/>
              </w:rPr>
              <w:t>）；</w:t>
            </w:r>
            <w:bookmarkEnd w:id="150"/>
            <w:bookmarkEnd w:id="151"/>
          </w:p>
          <w:p>
            <w:pPr>
              <w:pStyle w:val="26"/>
              <w:widowControl/>
              <w:spacing w:beforeAutospacing="0" w:afterAutospacing="0"/>
              <w:jc w:val="both"/>
              <w:outlineLvl w:val="2"/>
              <w:rPr>
                <w:sz w:val="21"/>
                <w:szCs w:val="21"/>
              </w:rPr>
            </w:pPr>
            <w:bookmarkStart w:id="152" w:name="_Toc29848"/>
            <w:bookmarkStart w:id="153" w:name="_Toc8446"/>
            <w:r>
              <w:rPr>
                <w:rFonts w:ascii="Calibri" w:hAnsi="Calibri" w:eastAsia="宋体"/>
                <w:sz w:val="21"/>
                <w:szCs w:val="21"/>
                <w:lang w:bidi="ar"/>
              </w:rPr>
              <w:t>6.</w:t>
            </w:r>
            <w:r>
              <w:rPr>
                <w:rFonts w:hint="eastAsia" w:ascii="Calibri" w:hAnsi="Calibri" w:eastAsia="宋体" w:cs="宋体"/>
                <w:sz w:val="21"/>
                <w:szCs w:val="21"/>
                <w:lang w:bidi="ar"/>
              </w:rPr>
              <w:t>灵敏度：（</w:t>
            </w:r>
            <w:r>
              <w:rPr>
                <w:rFonts w:ascii="Calibri" w:hAnsi="Calibri" w:eastAsia="宋体"/>
                <w:sz w:val="21"/>
                <w:szCs w:val="21"/>
                <w:lang w:bidi="ar"/>
              </w:rPr>
              <w:t>8ohms 1KHz</w:t>
            </w:r>
            <w:r>
              <w:rPr>
                <w:rFonts w:hint="eastAsia" w:ascii="Calibri" w:hAnsi="Calibri" w:eastAsia="宋体" w:cs="宋体"/>
                <w:sz w:val="21"/>
                <w:szCs w:val="21"/>
                <w:lang w:bidi="ar"/>
              </w:rPr>
              <w:t>）：</w:t>
            </w:r>
            <w:r>
              <w:rPr>
                <w:rFonts w:ascii="Calibri" w:hAnsi="Calibri" w:eastAsia="宋体"/>
                <w:sz w:val="21"/>
                <w:szCs w:val="21"/>
                <w:lang w:bidi="ar"/>
              </w:rPr>
              <w:t>0.775v/26dB</w:t>
            </w:r>
            <w:r>
              <w:rPr>
                <w:rFonts w:hint="eastAsia" w:ascii="Calibri" w:hAnsi="Calibri" w:eastAsia="宋体" w:cs="宋体"/>
                <w:sz w:val="21"/>
                <w:szCs w:val="21"/>
                <w:lang w:bidi="ar"/>
              </w:rPr>
              <w:t>；</w:t>
            </w:r>
            <w:bookmarkEnd w:id="152"/>
            <w:bookmarkEnd w:id="153"/>
          </w:p>
          <w:p>
            <w:pPr>
              <w:pStyle w:val="26"/>
              <w:widowControl/>
              <w:spacing w:beforeAutospacing="0" w:afterAutospacing="0"/>
              <w:jc w:val="both"/>
              <w:outlineLvl w:val="2"/>
              <w:rPr>
                <w:sz w:val="21"/>
                <w:szCs w:val="21"/>
              </w:rPr>
            </w:pPr>
            <w:bookmarkStart w:id="154" w:name="_Toc17571"/>
            <w:bookmarkStart w:id="155" w:name="_Toc26923"/>
            <w:r>
              <w:rPr>
                <w:rFonts w:ascii="Calibri" w:hAnsi="Calibri" w:eastAsia="宋体"/>
                <w:sz w:val="21"/>
                <w:szCs w:val="21"/>
                <w:lang w:bidi="ar"/>
              </w:rPr>
              <w:t>7.</w:t>
            </w:r>
            <w:r>
              <w:rPr>
                <w:rFonts w:hint="eastAsia" w:ascii="Calibri" w:hAnsi="Calibri" w:eastAsia="宋体" w:cs="宋体"/>
                <w:sz w:val="21"/>
                <w:szCs w:val="21"/>
                <w:lang w:bidi="ar"/>
              </w:rPr>
              <w:t>总谐波失真：﹤</w:t>
            </w:r>
            <w:r>
              <w:rPr>
                <w:rFonts w:ascii="Calibri" w:hAnsi="Calibri" w:eastAsia="宋体"/>
                <w:sz w:val="21"/>
                <w:szCs w:val="21"/>
                <w:lang w:bidi="ar"/>
              </w:rPr>
              <w:t xml:space="preserve">0.03%@8 </w:t>
            </w:r>
            <w:r>
              <w:rPr>
                <w:rFonts w:hint="eastAsia" w:ascii="Calibri" w:hAnsi="Calibri" w:eastAsia="宋体" w:cs="宋体"/>
                <w:sz w:val="21"/>
                <w:szCs w:val="21"/>
                <w:lang w:bidi="ar"/>
              </w:rPr>
              <w:t>Ω</w:t>
            </w:r>
            <w:r>
              <w:rPr>
                <w:rFonts w:ascii="Calibri" w:hAnsi="Calibri" w:eastAsia="宋体"/>
                <w:sz w:val="21"/>
                <w:szCs w:val="21"/>
                <w:lang w:bidi="ar"/>
              </w:rPr>
              <w:t>1KHZ</w:t>
            </w:r>
            <w:r>
              <w:rPr>
                <w:rFonts w:hint="eastAsia" w:ascii="Calibri" w:hAnsi="Calibri" w:eastAsia="宋体" w:cs="宋体"/>
                <w:sz w:val="21"/>
                <w:szCs w:val="21"/>
                <w:lang w:bidi="ar"/>
              </w:rPr>
              <w:t>；</w:t>
            </w:r>
            <w:bookmarkEnd w:id="154"/>
            <w:bookmarkEnd w:id="155"/>
          </w:p>
          <w:p>
            <w:pPr>
              <w:pStyle w:val="26"/>
              <w:widowControl/>
              <w:spacing w:beforeAutospacing="0" w:afterAutospacing="0"/>
              <w:jc w:val="both"/>
              <w:outlineLvl w:val="2"/>
              <w:rPr>
                <w:sz w:val="21"/>
                <w:szCs w:val="21"/>
              </w:rPr>
            </w:pPr>
            <w:bookmarkStart w:id="156" w:name="_Toc5192"/>
            <w:bookmarkStart w:id="157" w:name="_Toc15160"/>
            <w:r>
              <w:rPr>
                <w:rFonts w:ascii="Calibri" w:hAnsi="Calibri" w:eastAsia="宋体"/>
                <w:sz w:val="21"/>
                <w:szCs w:val="21"/>
                <w:lang w:bidi="ar"/>
              </w:rPr>
              <w:t>8.</w:t>
            </w:r>
            <w:r>
              <w:rPr>
                <w:rFonts w:hint="eastAsia" w:ascii="Calibri" w:hAnsi="Calibri" w:eastAsia="宋体" w:cs="宋体"/>
                <w:sz w:val="21"/>
                <w:szCs w:val="21"/>
                <w:lang w:bidi="ar"/>
              </w:rPr>
              <w:t>阻尼系数：≥</w:t>
            </w:r>
            <w:r>
              <w:rPr>
                <w:rFonts w:ascii="Calibri" w:hAnsi="Calibri" w:eastAsia="宋体"/>
                <w:sz w:val="21"/>
                <w:szCs w:val="21"/>
                <w:lang w:bidi="ar"/>
              </w:rPr>
              <w:t>900</w:t>
            </w:r>
            <w:r>
              <w:rPr>
                <w:rFonts w:hint="eastAsia" w:ascii="Calibri" w:hAnsi="Calibri" w:eastAsia="宋体" w:cs="宋体"/>
                <w:sz w:val="21"/>
                <w:szCs w:val="21"/>
                <w:lang w:bidi="ar"/>
              </w:rPr>
              <w:t>；</w:t>
            </w:r>
            <w:bookmarkEnd w:id="156"/>
            <w:bookmarkEnd w:id="157"/>
          </w:p>
          <w:p>
            <w:pPr>
              <w:pStyle w:val="26"/>
              <w:widowControl/>
              <w:spacing w:beforeAutospacing="0" w:afterAutospacing="0"/>
              <w:jc w:val="both"/>
              <w:outlineLvl w:val="2"/>
              <w:rPr>
                <w:sz w:val="21"/>
                <w:szCs w:val="21"/>
              </w:rPr>
            </w:pPr>
            <w:bookmarkStart w:id="158" w:name="_Toc16135"/>
            <w:bookmarkStart w:id="159" w:name="_Toc26235"/>
            <w:r>
              <w:rPr>
                <w:rFonts w:ascii="Calibri" w:hAnsi="Calibri" w:eastAsia="宋体"/>
                <w:sz w:val="21"/>
                <w:szCs w:val="21"/>
                <w:lang w:bidi="ar"/>
              </w:rPr>
              <w:t>9.</w:t>
            </w:r>
            <w:r>
              <w:rPr>
                <w:rFonts w:hint="eastAsia" w:ascii="Calibri" w:hAnsi="Calibri" w:eastAsia="宋体" w:cs="宋体"/>
                <w:sz w:val="21"/>
                <w:szCs w:val="21"/>
                <w:lang w:bidi="ar"/>
              </w:rPr>
              <w:t>信噪比：≥</w:t>
            </w:r>
            <w:r>
              <w:rPr>
                <w:rFonts w:ascii="Calibri" w:hAnsi="Calibri" w:eastAsia="宋体"/>
                <w:sz w:val="21"/>
                <w:szCs w:val="21"/>
                <w:lang w:bidi="ar"/>
              </w:rPr>
              <w:t>105dB</w:t>
            </w:r>
            <w:r>
              <w:rPr>
                <w:rFonts w:hint="eastAsia" w:ascii="Calibri" w:hAnsi="Calibri" w:eastAsia="宋体" w:cs="宋体"/>
                <w:sz w:val="21"/>
                <w:szCs w:val="21"/>
                <w:lang w:bidi="ar"/>
              </w:rPr>
              <w:t>；</w:t>
            </w:r>
            <w:bookmarkEnd w:id="158"/>
            <w:bookmarkEnd w:id="159"/>
          </w:p>
          <w:p>
            <w:pPr>
              <w:pStyle w:val="26"/>
              <w:widowControl/>
              <w:spacing w:beforeAutospacing="0" w:afterAutospacing="0"/>
              <w:jc w:val="both"/>
              <w:outlineLvl w:val="2"/>
              <w:rPr>
                <w:sz w:val="21"/>
                <w:szCs w:val="21"/>
              </w:rPr>
            </w:pPr>
            <w:bookmarkStart w:id="160" w:name="_Toc6307"/>
            <w:bookmarkStart w:id="161" w:name="_Toc27440"/>
            <w:r>
              <w:rPr>
                <w:rFonts w:ascii="Calibri" w:hAnsi="Calibri" w:eastAsia="宋体"/>
                <w:sz w:val="21"/>
                <w:szCs w:val="21"/>
                <w:lang w:bidi="ar"/>
              </w:rPr>
              <w:t>10.</w:t>
            </w:r>
            <w:r>
              <w:rPr>
                <w:rFonts w:hint="eastAsia" w:ascii="Calibri" w:hAnsi="Calibri" w:eastAsia="宋体" w:cs="宋体"/>
                <w:sz w:val="21"/>
                <w:szCs w:val="21"/>
                <w:lang w:bidi="ar"/>
              </w:rPr>
              <w:t>互调失真：≤</w:t>
            </w:r>
            <w:r>
              <w:rPr>
                <w:rFonts w:ascii="Calibri" w:hAnsi="Calibri" w:eastAsia="宋体"/>
                <w:sz w:val="21"/>
                <w:szCs w:val="21"/>
                <w:lang w:bidi="ar"/>
              </w:rPr>
              <w:t>0.02%</w:t>
            </w:r>
            <w:r>
              <w:rPr>
                <w:rFonts w:hint="eastAsia" w:ascii="Calibri" w:hAnsi="Calibri" w:eastAsia="宋体" w:cs="宋体"/>
                <w:sz w:val="21"/>
                <w:szCs w:val="21"/>
                <w:lang w:bidi="ar"/>
              </w:rPr>
              <w:t>；</w:t>
            </w:r>
            <w:bookmarkEnd w:id="160"/>
            <w:bookmarkEnd w:id="161"/>
          </w:p>
          <w:p>
            <w:pPr>
              <w:pStyle w:val="26"/>
              <w:widowControl/>
              <w:spacing w:beforeAutospacing="0" w:afterAutospacing="0"/>
              <w:jc w:val="both"/>
              <w:outlineLvl w:val="2"/>
              <w:rPr>
                <w:sz w:val="21"/>
                <w:szCs w:val="21"/>
              </w:rPr>
            </w:pPr>
            <w:bookmarkStart w:id="162" w:name="_Toc9191"/>
            <w:bookmarkStart w:id="163" w:name="_Toc28433"/>
            <w:r>
              <w:rPr>
                <w:rFonts w:ascii="Calibri" w:hAnsi="Calibri" w:eastAsia="宋体"/>
                <w:sz w:val="21"/>
                <w:szCs w:val="21"/>
                <w:lang w:bidi="ar"/>
              </w:rPr>
              <w:t>11.</w:t>
            </w:r>
            <w:r>
              <w:rPr>
                <w:rFonts w:hint="eastAsia" w:ascii="Calibri" w:hAnsi="Calibri" w:eastAsia="宋体" w:cs="宋体"/>
                <w:sz w:val="21"/>
                <w:szCs w:val="21"/>
                <w:lang w:bidi="ar"/>
              </w:rPr>
              <w:t>转换速率：≥</w:t>
            </w:r>
            <w:r>
              <w:rPr>
                <w:rFonts w:ascii="Calibri" w:hAnsi="Calibri" w:eastAsia="宋体"/>
                <w:sz w:val="21"/>
                <w:szCs w:val="21"/>
                <w:lang w:bidi="ar"/>
              </w:rPr>
              <w:t>60V/µs</w:t>
            </w:r>
            <w:r>
              <w:rPr>
                <w:rFonts w:hint="eastAsia" w:ascii="Calibri" w:hAnsi="Calibri" w:eastAsia="宋体" w:cs="宋体"/>
                <w:sz w:val="21"/>
                <w:szCs w:val="21"/>
                <w:lang w:bidi="ar"/>
              </w:rPr>
              <w:t>。</w:t>
            </w:r>
            <w:bookmarkEnd w:id="162"/>
            <w:bookmarkEnd w:id="163"/>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nil"/>
              <w:left w:val="single" w:color="000000" w:sz="4" w:space="0"/>
              <w:bottom w:val="single" w:color="auto"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64" w:name="_Toc24994"/>
            <w:bookmarkStart w:id="165" w:name="_Toc9284"/>
            <w:r>
              <w:rPr>
                <w:rFonts w:hint="eastAsia" w:ascii="Calibri" w:hAnsi="Calibri"/>
                <w:sz w:val="21"/>
                <w:szCs w:val="21"/>
                <w:lang w:val="en-US" w:eastAsia="zh-CN" w:bidi="ar"/>
              </w:rPr>
              <w:t>6</w:t>
            </w:r>
            <w:bookmarkEnd w:id="164"/>
            <w:bookmarkEnd w:id="165"/>
          </w:p>
        </w:tc>
        <w:tc>
          <w:tcPr>
            <w:tcW w:w="1084" w:type="dxa"/>
            <w:tcBorders>
              <w:top w:val="nil"/>
              <w:left w:val="nil"/>
              <w:bottom w:val="single" w:color="auto" w:sz="4" w:space="0"/>
              <w:right w:val="single" w:color="000000" w:sz="4" w:space="0"/>
            </w:tcBorders>
            <w:tcMar>
              <w:left w:w="105" w:type="dxa"/>
              <w:right w:w="105" w:type="dxa"/>
            </w:tcMar>
            <w:vAlign w:val="center"/>
          </w:tcPr>
          <w:p>
            <w:pPr>
              <w:pStyle w:val="26"/>
              <w:widowControl/>
              <w:spacing w:beforeAutospacing="0" w:afterAutospacing="0"/>
              <w:jc w:val="center"/>
              <w:outlineLvl w:val="2"/>
              <w:rPr>
                <w:sz w:val="21"/>
                <w:szCs w:val="21"/>
              </w:rPr>
            </w:pPr>
            <w:bookmarkStart w:id="166" w:name="_Toc13000"/>
            <w:bookmarkStart w:id="167" w:name="_Toc15715"/>
            <w:r>
              <w:rPr>
                <w:rFonts w:hint="eastAsia" w:ascii="Calibri" w:hAnsi="Calibri" w:eastAsia="宋体" w:cs="宋体"/>
                <w:sz w:val="21"/>
                <w:szCs w:val="21"/>
                <w:lang w:bidi="ar"/>
              </w:rPr>
              <w:t>调音台</w:t>
            </w:r>
            <w:bookmarkEnd w:id="166"/>
            <w:bookmarkEnd w:id="167"/>
          </w:p>
        </w:tc>
        <w:tc>
          <w:tcPr>
            <w:tcW w:w="6363" w:type="dxa"/>
            <w:tcBorders>
              <w:top w:val="nil"/>
              <w:left w:val="nil"/>
              <w:bottom w:val="single" w:color="auto" w:sz="4" w:space="0"/>
              <w:right w:val="single" w:color="000000" w:sz="4" w:space="0"/>
            </w:tcBorders>
            <w:tcMar>
              <w:left w:w="105" w:type="dxa"/>
              <w:right w:w="105" w:type="dxa"/>
            </w:tcMar>
          </w:tcPr>
          <w:p>
            <w:pPr>
              <w:pStyle w:val="26"/>
              <w:widowControl/>
              <w:spacing w:beforeAutospacing="0" w:afterAutospacing="0"/>
              <w:jc w:val="both"/>
              <w:outlineLvl w:val="2"/>
              <w:rPr>
                <w:sz w:val="21"/>
                <w:szCs w:val="21"/>
              </w:rPr>
            </w:pPr>
            <w:bookmarkStart w:id="168" w:name="_Toc24914"/>
            <w:bookmarkStart w:id="169" w:name="_Toc6777"/>
            <w:r>
              <w:rPr>
                <w:rFonts w:ascii="Calibri" w:hAnsi="Calibri" w:eastAsia="宋体"/>
                <w:sz w:val="21"/>
                <w:szCs w:val="21"/>
                <w:lang w:bidi="ar"/>
              </w:rPr>
              <w:t>1.</w:t>
            </w:r>
            <w:r>
              <w:rPr>
                <w:rFonts w:hint="eastAsia" w:ascii="Calibri" w:hAnsi="Calibri" w:eastAsia="宋体" w:cs="宋体"/>
                <w:sz w:val="21"/>
                <w:szCs w:val="21"/>
                <w:lang w:bidi="ar"/>
              </w:rPr>
              <w:t>≥</w:t>
            </w:r>
            <w:r>
              <w:rPr>
                <w:rFonts w:ascii="Calibri" w:hAnsi="Calibri" w:eastAsia="宋体"/>
                <w:sz w:val="21"/>
                <w:szCs w:val="21"/>
                <w:lang w:bidi="ar"/>
              </w:rPr>
              <w:t>6</w:t>
            </w:r>
            <w:r>
              <w:rPr>
                <w:rFonts w:hint="eastAsia" w:ascii="Calibri" w:hAnsi="Calibri" w:eastAsia="宋体" w:cs="宋体"/>
                <w:sz w:val="21"/>
                <w:szCs w:val="21"/>
                <w:lang w:bidi="ar"/>
              </w:rPr>
              <w:t>通道调音台：</w:t>
            </w:r>
            <w:r>
              <w:rPr>
                <w:rFonts w:ascii="Calibri" w:hAnsi="Calibri" w:eastAsia="宋体"/>
                <w:sz w:val="21"/>
                <w:szCs w:val="21"/>
                <w:lang w:bidi="ar"/>
              </w:rPr>
              <w:t>2</w:t>
            </w:r>
            <w:r>
              <w:rPr>
                <w:rFonts w:hint="eastAsia" w:ascii="Calibri" w:hAnsi="Calibri" w:eastAsia="宋体" w:cs="宋体"/>
                <w:sz w:val="21"/>
                <w:szCs w:val="21"/>
                <w:lang w:bidi="ar"/>
              </w:rPr>
              <w:t>个话筒</w:t>
            </w:r>
            <w:r>
              <w:rPr>
                <w:rFonts w:ascii="Calibri" w:hAnsi="Calibri" w:eastAsia="宋体"/>
                <w:sz w:val="21"/>
                <w:szCs w:val="21"/>
                <w:lang w:bidi="ar"/>
              </w:rPr>
              <w:t>/6</w:t>
            </w:r>
            <w:r>
              <w:rPr>
                <w:rFonts w:hint="eastAsia" w:ascii="Calibri" w:hAnsi="Calibri" w:eastAsia="宋体" w:cs="宋体"/>
                <w:sz w:val="21"/>
                <w:szCs w:val="21"/>
                <w:lang w:bidi="ar"/>
              </w:rPr>
              <w:t>个线路输入</w:t>
            </w:r>
            <w:r>
              <w:rPr>
                <w:rFonts w:ascii="Calibri" w:hAnsi="Calibri" w:eastAsia="宋体"/>
                <w:sz w:val="21"/>
                <w:szCs w:val="21"/>
                <w:lang w:bidi="ar"/>
              </w:rPr>
              <w:t>(2</w:t>
            </w:r>
            <w:r>
              <w:rPr>
                <w:rFonts w:hint="eastAsia" w:ascii="Calibri" w:hAnsi="Calibri" w:eastAsia="宋体" w:cs="宋体"/>
                <w:sz w:val="21"/>
                <w:szCs w:val="21"/>
                <w:lang w:bidi="ar"/>
              </w:rPr>
              <w:t>个单声道</w:t>
            </w:r>
            <w:r>
              <w:rPr>
                <w:rFonts w:ascii="Calibri" w:hAnsi="Calibri" w:eastAsia="宋体"/>
                <w:sz w:val="21"/>
                <w:szCs w:val="21"/>
                <w:lang w:bidi="ar"/>
              </w:rPr>
              <w:t>+ 2</w:t>
            </w:r>
            <w:r>
              <w:rPr>
                <w:rFonts w:hint="eastAsia" w:ascii="Calibri" w:hAnsi="Calibri" w:eastAsia="宋体" w:cs="宋体"/>
                <w:sz w:val="21"/>
                <w:szCs w:val="21"/>
                <w:lang w:bidi="ar"/>
              </w:rPr>
              <w:t>个立体声</w:t>
            </w:r>
            <w:r>
              <w:rPr>
                <w:rFonts w:ascii="Calibri" w:hAnsi="Calibri" w:eastAsia="宋体"/>
                <w:sz w:val="21"/>
                <w:szCs w:val="21"/>
                <w:lang w:bidi="ar"/>
              </w:rPr>
              <w:t>)/1</w:t>
            </w:r>
            <w:r>
              <w:rPr>
                <w:rFonts w:hint="eastAsia" w:ascii="Calibri" w:hAnsi="Calibri" w:eastAsia="宋体" w:cs="宋体"/>
                <w:sz w:val="21"/>
                <w:szCs w:val="21"/>
                <w:lang w:bidi="ar"/>
              </w:rPr>
              <w:t>立体声母线；</w:t>
            </w:r>
            <w:bookmarkEnd w:id="168"/>
            <w:bookmarkEnd w:id="169"/>
          </w:p>
          <w:p>
            <w:pPr>
              <w:pStyle w:val="26"/>
              <w:widowControl/>
              <w:spacing w:beforeAutospacing="0" w:afterAutospacing="0"/>
              <w:jc w:val="both"/>
              <w:outlineLvl w:val="2"/>
              <w:rPr>
                <w:sz w:val="21"/>
                <w:szCs w:val="21"/>
              </w:rPr>
            </w:pPr>
            <w:bookmarkStart w:id="170" w:name="_Toc4333"/>
            <w:bookmarkStart w:id="171" w:name="_Toc11729"/>
            <w:r>
              <w:rPr>
                <w:rFonts w:ascii="Calibri" w:hAnsi="Calibri" w:eastAsia="宋体"/>
                <w:sz w:val="21"/>
                <w:szCs w:val="21"/>
                <w:lang w:bidi="ar"/>
              </w:rPr>
              <w:t>2.</w:t>
            </w:r>
            <w:r>
              <w:rPr>
                <w:rFonts w:hint="eastAsia" w:ascii="Calibri" w:hAnsi="Calibri" w:eastAsia="宋体" w:cs="宋体"/>
                <w:sz w:val="21"/>
                <w:szCs w:val="21"/>
                <w:lang w:bidi="ar"/>
              </w:rPr>
              <w:t>≥</w:t>
            </w:r>
            <w:r>
              <w:rPr>
                <w:rFonts w:ascii="Calibri" w:hAnsi="Calibri" w:eastAsia="宋体"/>
                <w:sz w:val="21"/>
                <w:szCs w:val="21"/>
                <w:lang w:bidi="ar"/>
              </w:rPr>
              <w:t>2</w:t>
            </w:r>
            <w:r>
              <w:rPr>
                <w:rFonts w:hint="eastAsia" w:ascii="Calibri" w:hAnsi="Calibri" w:eastAsia="宋体" w:cs="宋体"/>
                <w:sz w:val="21"/>
                <w:szCs w:val="21"/>
                <w:lang w:bidi="ar"/>
              </w:rPr>
              <w:t>个话筒</w:t>
            </w:r>
            <w:r>
              <w:rPr>
                <w:rFonts w:ascii="Calibri" w:hAnsi="Calibri" w:eastAsia="宋体"/>
                <w:sz w:val="21"/>
                <w:szCs w:val="21"/>
                <w:lang w:bidi="ar"/>
              </w:rPr>
              <w:t>/6</w:t>
            </w:r>
            <w:r>
              <w:rPr>
                <w:rFonts w:hint="eastAsia" w:ascii="Calibri" w:hAnsi="Calibri" w:eastAsia="宋体" w:cs="宋体"/>
                <w:sz w:val="21"/>
                <w:szCs w:val="21"/>
                <w:lang w:bidi="ar"/>
              </w:rPr>
              <w:t>个线路输入</w:t>
            </w:r>
            <w:r>
              <w:rPr>
                <w:rFonts w:ascii="Calibri" w:hAnsi="Calibri" w:eastAsia="宋体"/>
                <w:sz w:val="21"/>
                <w:szCs w:val="21"/>
                <w:lang w:bidi="ar"/>
              </w:rPr>
              <w:t>(2</w:t>
            </w:r>
            <w:r>
              <w:rPr>
                <w:rFonts w:hint="eastAsia" w:ascii="Calibri" w:hAnsi="Calibri" w:eastAsia="宋体" w:cs="宋体"/>
                <w:sz w:val="21"/>
                <w:szCs w:val="21"/>
                <w:lang w:bidi="ar"/>
              </w:rPr>
              <w:t>个单声道</w:t>
            </w:r>
            <w:r>
              <w:rPr>
                <w:rFonts w:ascii="Calibri" w:hAnsi="Calibri" w:eastAsia="宋体"/>
                <w:sz w:val="21"/>
                <w:szCs w:val="21"/>
                <w:lang w:bidi="ar"/>
              </w:rPr>
              <w:t>+2</w:t>
            </w:r>
            <w:r>
              <w:rPr>
                <w:rFonts w:hint="eastAsia" w:ascii="Calibri" w:hAnsi="Calibri" w:eastAsia="宋体" w:cs="宋体"/>
                <w:sz w:val="21"/>
                <w:szCs w:val="21"/>
                <w:lang w:bidi="ar"/>
              </w:rPr>
              <w:t>个立体声</w:t>
            </w:r>
            <w:r>
              <w:rPr>
                <w:rFonts w:ascii="Calibri" w:hAnsi="Calibri" w:eastAsia="宋体"/>
                <w:sz w:val="21"/>
                <w:szCs w:val="21"/>
                <w:lang w:bidi="ar"/>
              </w:rPr>
              <w:t>)</w:t>
            </w:r>
            <w:r>
              <w:rPr>
                <w:rFonts w:hint="eastAsia" w:ascii="Calibri" w:hAnsi="Calibri" w:eastAsia="宋体" w:cs="宋体"/>
                <w:sz w:val="21"/>
                <w:szCs w:val="21"/>
                <w:lang w:bidi="ar"/>
              </w:rPr>
              <w:t>；</w:t>
            </w:r>
            <w:bookmarkEnd w:id="170"/>
            <w:bookmarkEnd w:id="171"/>
          </w:p>
          <w:p>
            <w:pPr>
              <w:pStyle w:val="26"/>
              <w:widowControl/>
              <w:spacing w:beforeAutospacing="0" w:afterAutospacing="0"/>
              <w:jc w:val="both"/>
              <w:outlineLvl w:val="2"/>
              <w:rPr>
                <w:sz w:val="21"/>
                <w:szCs w:val="21"/>
              </w:rPr>
            </w:pPr>
            <w:bookmarkStart w:id="172" w:name="_Toc19677"/>
            <w:bookmarkStart w:id="173" w:name="_Toc10282"/>
            <w:r>
              <w:rPr>
                <w:rFonts w:ascii="Calibri" w:hAnsi="Calibri" w:eastAsia="宋体"/>
                <w:sz w:val="21"/>
                <w:szCs w:val="21"/>
                <w:lang w:bidi="ar"/>
              </w:rPr>
              <w:t>3.</w:t>
            </w:r>
            <w:r>
              <w:rPr>
                <w:rFonts w:hint="eastAsia" w:ascii="Calibri" w:hAnsi="Calibri" w:eastAsia="宋体" w:cs="宋体"/>
                <w:sz w:val="21"/>
                <w:szCs w:val="21"/>
                <w:lang w:bidi="ar"/>
              </w:rPr>
              <w:t>≥</w:t>
            </w:r>
            <w:r>
              <w:rPr>
                <w:rFonts w:ascii="Calibri" w:hAnsi="Calibri" w:eastAsia="宋体"/>
                <w:sz w:val="21"/>
                <w:szCs w:val="21"/>
                <w:lang w:bidi="ar"/>
              </w:rPr>
              <w:t>1</w:t>
            </w:r>
            <w:r>
              <w:rPr>
                <w:rFonts w:hint="eastAsia" w:ascii="Calibri" w:hAnsi="Calibri" w:eastAsia="宋体" w:cs="宋体"/>
                <w:sz w:val="21"/>
                <w:szCs w:val="21"/>
                <w:lang w:bidi="ar"/>
              </w:rPr>
              <w:t>立体声母线；</w:t>
            </w:r>
            <w:bookmarkEnd w:id="172"/>
            <w:bookmarkEnd w:id="173"/>
          </w:p>
          <w:p>
            <w:pPr>
              <w:pStyle w:val="26"/>
              <w:widowControl/>
              <w:spacing w:beforeAutospacing="0" w:afterAutospacing="0"/>
              <w:jc w:val="both"/>
              <w:outlineLvl w:val="2"/>
              <w:rPr>
                <w:sz w:val="21"/>
                <w:szCs w:val="21"/>
              </w:rPr>
            </w:pPr>
            <w:bookmarkStart w:id="174" w:name="_Toc10516"/>
            <w:bookmarkStart w:id="175" w:name="_Toc6603"/>
            <w:r>
              <w:rPr>
                <w:rFonts w:ascii="Calibri" w:hAnsi="Calibri" w:eastAsia="宋体"/>
                <w:sz w:val="21"/>
                <w:szCs w:val="21"/>
                <w:lang w:bidi="ar"/>
              </w:rPr>
              <w:t>4.</w:t>
            </w:r>
            <w:r>
              <w:rPr>
                <w:rFonts w:hint="eastAsia" w:ascii="Calibri" w:hAnsi="Calibri" w:eastAsia="宋体" w:cs="宋体"/>
                <w:sz w:val="21"/>
                <w:szCs w:val="21"/>
                <w:lang w:bidi="ar"/>
              </w:rPr>
              <w:t>“</w:t>
            </w:r>
            <w:r>
              <w:rPr>
                <w:rFonts w:ascii="Calibri" w:hAnsi="Calibri" w:eastAsia="宋体"/>
                <w:sz w:val="21"/>
                <w:szCs w:val="21"/>
                <w:lang w:bidi="ar"/>
              </w:rPr>
              <w:t>D-PRE</w:t>
            </w:r>
            <w:r>
              <w:rPr>
                <w:rFonts w:hint="eastAsia" w:ascii="Calibri" w:hAnsi="Calibri" w:eastAsia="宋体" w:cs="宋体"/>
                <w:sz w:val="21"/>
                <w:szCs w:val="21"/>
                <w:lang w:bidi="ar"/>
              </w:rPr>
              <w:t>”话放，带有倒向晶体管电路；</w:t>
            </w:r>
            <w:bookmarkEnd w:id="174"/>
            <w:bookmarkEnd w:id="175"/>
          </w:p>
          <w:p>
            <w:pPr>
              <w:pStyle w:val="26"/>
              <w:widowControl/>
              <w:spacing w:beforeAutospacing="0" w:afterAutospacing="0"/>
              <w:jc w:val="both"/>
              <w:outlineLvl w:val="2"/>
              <w:rPr>
                <w:sz w:val="21"/>
                <w:szCs w:val="21"/>
              </w:rPr>
            </w:pPr>
            <w:bookmarkStart w:id="176" w:name="_Toc28455"/>
            <w:bookmarkStart w:id="177" w:name="_Toc19902"/>
            <w:r>
              <w:rPr>
                <w:rFonts w:ascii="Calibri" w:hAnsi="Calibri" w:eastAsia="宋体"/>
                <w:sz w:val="21"/>
                <w:szCs w:val="21"/>
                <w:lang w:bidi="ar"/>
              </w:rPr>
              <w:t>5.</w:t>
            </w:r>
            <w:r>
              <w:rPr>
                <w:rFonts w:hint="eastAsia" w:ascii="Calibri" w:hAnsi="Calibri" w:eastAsia="宋体" w:cs="宋体"/>
                <w:sz w:val="21"/>
                <w:szCs w:val="21"/>
                <w:lang w:bidi="ar"/>
              </w:rPr>
              <w:t>单声道输入通道上的</w:t>
            </w:r>
            <w:r>
              <w:rPr>
                <w:rFonts w:ascii="Calibri" w:hAnsi="Calibri" w:eastAsia="宋体"/>
                <w:sz w:val="21"/>
                <w:szCs w:val="21"/>
                <w:lang w:bidi="ar"/>
              </w:rPr>
              <w:t>PAD</w:t>
            </w:r>
            <w:r>
              <w:rPr>
                <w:rFonts w:hint="eastAsia" w:ascii="Calibri" w:hAnsi="Calibri" w:eastAsia="宋体" w:cs="宋体"/>
                <w:sz w:val="21"/>
                <w:szCs w:val="21"/>
                <w:lang w:bidi="ar"/>
              </w:rPr>
              <w:t>开关；</w:t>
            </w:r>
            <w:bookmarkEnd w:id="176"/>
            <w:bookmarkEnd w:id="177"/>
          </w:p>
          <w:p>
            <w:pPr>
              <w:pStyle w:val="26"/>
              <w:widowControl/>
              <w:spacing w:beforeAutospacing="0" w:afterAutospacing="0"/>
              <w:jc w:val="both"/>
              <w:outlineLvl w:val="2"/>
              <w:rPr>
                <w:sz w:val="21"/>
                <w:szCs w:val="21"/>
              </w:rPr>
            </w:pPr>
            <w:bookmarkStart w:id="178" w:name="_Toc11368"/>
            <w:bookmarkStart w:id="179" w:name="_Toc22242"/>
            <w:r>
              <w:rPr>
                <w:rFonts w:ascii="Calibri" w:hAnsi="Calibri" w:eastAsia="宋体"/>
                <w:sz w:val="21"/>
                <w:szCs w:val="21"/>
                <w:lang w:bidi="ar"/>
              </w:rPr>
              <w:t>6.+48V</w:t>
            </w:r>
            <w:r>
              <w:rPr>
                <w:rFonts w:hint="eastAsia" w:ascii="Calibri" w:hAnsi="Calibri" w:eastAsia="宋体" w:cs="宋体"/>
                <w:sz w:val="21"/>
                <w:szCs w:val="21"/>
                <w:lang w:bidi="ar"/>
              </w:rPr>
              <w:t>幻象供电；</w:t>
            </w:r>
            <w:bookmarkEnd w:id="178"/>
            <w:bookmarkEnd w:id="179"/>
          </w:p>
          <w:p>
            <w:pPr>
              <w:pStyle w:val="26"/>
              <w:widowControl/>
              <w:spacing w:beforeAutospacing="0" w:afterAutospacing="0"/>
              <w:jc w:val="both"/>
              <w:outlineLvl w:val="2"/>
              <w:rPr>
                <w:sz w:val="21"/>
                <w:szCs w:val="21"/>
              </w:rPr>
            </w:pPr>
            <w:bookmarkStart w:id="180" w:name="_Toc18532"/>
            <w:bookmarkStart w:id="181" w:name="_Toc11501"/>
            <w:r>
              <w:rPr>
                <w:rFonts w:ascii="Calibri" w:hAnsi="Calibri" w:eastAsia="宋体"/>
                <w:sz w:val="21"/>
                <w:szCs w:val="21"/>
                <w:lang w:bidi="ar"/>
              </w:rPr>
              <w:t>7.XLR</w:t>
            </w:r>
            <w:r>
              <w:rPr>
                <w:rFonts w:hint="eastAsia" w:ascii="Calibri" w:hAnsi="Calibri" w:eastAsia="宋体" w:cs="宋体"/>
                <w:sz w:val="21"/>
                <w:szCs w:val="21"/>
                <w:lang w:bidi="ar"/>
              </w:rPr>
              <w:t>平衡输出。</w:t>
            </w:r>
            <w:bookmarkEnd w:id="180"/>
            <w:bookmarkEnd w:id="181"/>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26"/>
              <w:widowControl/>
              <w:spacing w:beforeAutospacing="0" w:afterAutospacing="0"/>
              <w:jc w:val="center"/>
              <w:outlineLvl w:val="2"/>
              <w:rPr>
                <w:rFonts w:ascii="Calibri" w:hAnsi="Calibri" w:eastAsia="宋体"/>
                <w:sz w:val="21"/>
                <w:szCs w:val="21"/>
                <w:lang w:bidi="ar"/>
              </w:rPr>
            </w:pPr>
            <w:r>
              <w:rPr>
                <w:rFonts w:hint="eastAsia" w:ascii="Calibri" w:hAnsi="Calibri"/>
                <w:sz w:val="21"/>
                <w:szCs w:val="21"/>
                <w:lang w:val="en-US" w:eastAsia="zh-CN" w:bidi="ar"/>
              </w:rPr>
              <w:t>7</w:t>
            </w:r>
          </w:p>
        </w:tc>
        <w:tc>
          <w:tcPr>
            <w:tcW w:w="1084"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26"/>
              <w:widowControl/>
              <w:spacing w:beforeAutospacing="0" w:afterAutospacing="0"/>
              <w:jc w:val="center"/>
              <w:outlineLvl w:val="2"/>
              <w:rPr>
                <w:rFonts w:hint="eastAsia" w:ascii="Calibri" w:hAnsi="Calibri" w:eastAsia="宋体"/>
                <w:sz w:val="21"/>
                <w:szCs w:val="21"/>
                <w:lang w:bidi="ar"/>
              </w:rPr>
            </w:pPr>
            <w:r>
              <w:rPr>
                <w:rFonts w:hint="eastAsia" w:ascii="Calibri" w:hAnsi="Calibri" w:eastAsia="宋体"/>
                <w:sz w:val="21"/>
                <w:szCs w:val="21"/>
                <w:lang w:bidi="ar"/>
              </w:rPr>
              <w:t>中控系统</w:t>
            </w:r>
          </w:p>
        </w:tc>
        <w:tc>
          <w:tcPr>
            <w:tcW w:w="6363"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1.100%一键开馆、100%一键闭馆、设备分项独立开关及反馈、视频播放等功能</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2.该中控系统，带有多屏同显功能，可放大及缩小展示画面</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宋体" w:hAnsi="宋体" w:cs="宋体"/>
                <w:color w:val="auto"/>
                <w:szCs w:val="21"/>
                <w:highlight w:val="none"/>
              </w:rPr>
              <w:t>▲</w:t>
            </w:r>
            <w:r>
              <w:rPr>
                <w:rFonts w:hint="eastAsia" w:ascii="Calibri" w:hAnsi="Calibri" w:eastAsia="宋体"/>
                <w:sz w:val="21"/>
                <w:szCs w:val="21"/>
                <w:lang w:bidi="ar"/>
              </w:rPr>
              <w:t>3.该中控系统可以做到多屏联控，即平板端可以控制任何屏幕的内容，包含互动系统的触摸点击查询等功能、同时屏幕端可以点击查询内容</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4.有WIFI联机标志功能，在平板的右下角有个WIFI联机标志，白色表示通讯正常</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5.unity脚本编程，各种逻辑运算及函数，适应各种复杂环境的AV设备控制</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6.所有的播放主机、电视、投影、大屏等设备全部采用全物理实时探测开关技术</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7.所有的设备开关机状态数据自动存入中控系统对应编号内存，且驱动PAD显示</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8.展厅任意一台电脑都可当做服务器来更新所有设备的内容，杜绝一台台远程更新，一台台更新内容</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9.自动识别所有更新内容，增加管理效率</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10.平板端适配任何分辨率的平板，即UI及程序自动匹配任何平板分辨率</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11.所有的开关数据实时写入内存的同时数据实时备份，掉电开关状态不会丢失</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12.所有的被探测的设备人为的去开关或断电，一网融合中控系统均能体现状态</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13.APP关闭或重启自动从内存抄回所有的开关状态数据，确保与实际状态一致</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14.整个控制系统具有自动备份，断电、重启数据自动恢复功能，确保开关状态一致</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15.整个控制系统具有电脑状态+开关按钮双重状态反馈显示功能；开关状态一目了然</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16.整个控制系统支持不少于100个动态子页设计、编辑、布局、排版、动画效果</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17.整个控制系统具有一网融合控制能力，包括网络唤醒开机、关机、素材播控</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18.一网融合播控兼容影片\幻灯片\图片\可执行文件\网页\流媒体等各种素材播控</w:t>
            </w:r>
          </w:p>
          <w:p>
            <w:pPr>
              <w:pStyle w:val="26"/>
              <w:widowControl/>
              <w:spacing w:beforeAutospacing="0" w:afterAutospacing="0"/>
              <w:jc w:val="both"/>
              <w:outlineLvl w:val="2"/>
              <w:rPr>
                <w:rFonts w:ascii="Calibri" w:hAnsi="Calibri" w:eastAsia="宋体"/>
                <w:sz w:val="21"/>
                <w:szCs w:val="21"/>
                <w:lang w:bidi="ar"/>
              </w:rPr>
            </w:pPr>
            <w:r>
              <w:rPr>
                <w:rFonts w:hint="eastAsia" w:ascii="Calibri" w:hAnsi="Calibri" w:eastAsia="宋体"/>
                <w:sz w:val="21"/>
                <w:szCs w:val="21"/>
                <w:lang w:bidi="ar"/>
              </w:rPr>
              <w:t>19.兼容各种感应器、探测器、控制器及第三方设备多种协议方式接入控制</w:t>
            </w:r>
          </w:p>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需含中控系统：如网关模块、平板电脑、控电模块、无线网络、交换机、电源时序器、辅材等</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sz w:val="21"/>
                <w:szCs w:val="21"/>
                <w:lang w:val="en-US" w:eastAsia="zh-CN" w:bidi="ar"/>
              </w:rPr>
              <w:t>8</w:t>
            </w:r>
          </w:p>
        </w:tc>
        <w:tc>
          <w:tcPr>
            <w:tcW w:w="1084"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机柜</w:t>
            </w:r>
          </w:p>
        </w:tc>
        <w:tc>
          <w:tcPr>
            <w:tcW w:w="6363" w:type="dxa"/>
            <w:tcBorders>
              <w:top w:val="single" w:color="auto" w:sz="4" w:space="0"/>
              <w:left w:val="single" w:color="auto" w:sz="4" w:space="0"/>
              <w:bottom w:val="single" w:color="auto" w:sz="4" w:space="0"/>
              <w:right w:val="single" w:color="auto" w:sz="4" w:space="0"/>
            </w:tcBorders>
            <w:tcMar>
              <w:left w:w="105" w:type="dxa"/>
              <w:right w:w="105" w:type="dxa"/>
            </w:tcMar>
          </w:tcPr>
          <w:p>
            <w:pPr>
              <w:pStyle w:val="26"/>
              <w:widowControl/>
              <w:spacing w:beforeAutospacing="0" w:afterAutospacing="0"/>
              <w:jc w:val="both"/>
              <w:outlineLvl w:val="2"/>
              <w:rPr>
                <w:rFonts w:hint="eastAsia" w:ascii="Calibri" w:hAnsi="Calibri" w:eastAsia="宋体"/>
                <w:sz w:val="21"/>
                <w:szCs w:val="21"/>
                <w:lang w:bidi="ar"/>
              </w:rPr>
            </w:pPr>
            <w:r>
              <w:rPr>
                <w:rFonts w:hint="eastAsia" w:ascii="Calibri" w:hAnsi="Calibri" w:eastAsia="宋体"/>
                <w:sz w:val="21"/>
                <w:szCs w:val="21"/>
                <w:lang w:bidi="ar"/>
              </w:rPr>
              <w:t>宽600深600高2045mm，42U机柜，黑色，玻璃前门，标配：2个风扇、2块层板、1条6位普通电源插座</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注：服务期间采购内容以招标人单个具体项目要求为准。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bookmarkStart w:id="182" w:name="OLE_LINK5"/>
      <w:r>
        <w:rPr>
          <w:rFonts w:hint="eastAsia" w:ascii="宋体" w:hAnsi="宋体" w:eastAsia="宋体" w:cs="宋体"/>
          <w:color w:val="auto"/>
          <w:sz w:val="21"/>
          <w:szCs w:val="21"/>
          <w:highlight w:val="none"/>
          <w:lang w:val="en-US" w:eastAsia="zh-CN"/>
        </w:rPr>
        <w:t>服务要求：在服务期内，中标人根据招标人提供的具体项目采购需求，负责各类多媒体硬件的供货、配套安装调试、售后维保等相关服务，供应硬件包括但不限于：常用尺寸触摸一体机、常用尺寸会议一体机、多规格显示一体机、高清工程投影机及配套幕布/支架、多媒体工控电脑/终端机、常用小间距LED显示屏、中控主机及配套控制硬件与系统、音视频采集/传输/播放设备、展陈专用音响功放及周边配件、互动展项配套硬件、布线及辅材等；需按要求提供硬件产品合格证明、检测报告等相关资料；负责硬件产品质保期内的维修、更换、保养等维保服务，以及质保期外的技术支持和有偿维修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期限：自合同签订之日起一年。服务期满后，根据中标人履约评价结果，经招标人同意后可再续期一年，累计不超过2年。单个具体项目的服务期限根据招标人具体要求为准。本项目为招标入围，合同履约期间招标人根据每个具体项目实际产生费用据实结算。中标人在本次招标入围采购中的具体结算金额招标人不作承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4、服务地点：招标人指定。</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5、项目人员要求：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（1）管理人员：</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须有详细项目管理组织机构，列出项目负责人、项目组主要人员以及项目组组成人员名单，并在</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中详细列出参与本项目组所有人员的姓名、年龄、职务、职称、承担的工作、主要资历、经验及承担过的项目。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（2）实施人员：单个具体项目的具体实施人员应根据具体实施项目安排。</w:t>
      </w:r>
    </w:p>
    <w:bookmarkEnd w:id="182"/>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、其他服务要求：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应与招标人针对单个具体项目各指定合作负责人一名，负责双方日常事务联络、推动、跟踪、落实和检查具体合作活动开展、过程、信息交流等工作。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（2）验收方式：</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根据单个具体项目的实际需求，组织项目服务人员在约定时间完成各项服务工作，招标人对实施服务开展日常工作监督检查，项目服务工作完成后，由招标人根据单个项目约定的验收标准组织验收。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（3）质量保障要求：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①中标人应在保证安全和服务质量的前提下开展服务工作，服务过程中的非招标单位造成的一切风险（包括安全责任事故）均由中标人负责承担。</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应承担相关所有配套设备的出厂前的试验、包装、运输、交货以及现场设备安装指导、调试试验指导及检查、试运行、消缺、投运、性能保证的考核验收、技术和售后服务、人员培训、提供质保期服务等工作。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保证提供的设备为全新的、先进的、成熟的、完整的和安全可靠的，且设备的技术经济性能符合招标人的要求。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每次供货时需提供详细供货清单，清单中依次说明型号、产地、生产厂家等内容。</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提供所有安装和检修所需专用工具和消耗材料等。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lang w:val="en-US" w:eastAsia="zh-CN"/>
        </w:rPr>
      </w:pPr>
      <w:r>
        <w:rPr>
          <w:rFonts w:hint="eastAsia" w:ascii="宋体" w:hAnsi="宋体" w:eastAsia="宋体" w:cs="宋体"/>
          <w:color w:val="auto"/>
          <w:sz w:val="21"/>
          <w:szCs w:val="21"/>
          <w:highlight w:val="none"/>
          <w:lang w:val="en-US" w:eastAsia="zh-CN"/>
        </w:rPr>
        <w:t>⑥</w:t>
      </w:r>
      <w:r>
        <w:rPr>
          <w:rFonts w:hint="eastAsia" w:ascii="宋体" w:hAnsi="宋体" w:cs="宋体"/>
          <w:color w:val="auto"/>
          <w:sz w:val="21"/>
          <w:szCs w:val="21"/>
          <w:highlight w:val="none"/>
          <w:lang w:val="en-US" w:eastAsia="zh-CN"/>
        </w:rPr>
        <w:t>中标人</w:t>
      </w:r>
      <w:r>
        <w:rPr>
          <w:rFonts w:hint="default"/>
          <w:lang w:val="en-US" w:eastAsia="zh-CN"/>
        </w:rPr>
        <w:t>负责所供设备质量保证期的保证责任，如：设备的维护、检修、更换（如需要）</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三、知识产权与保密要求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1、招标人提供的任何与本项目相关的图文材料的知识产权均归招标人所有，</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不得将其用于合同项目以外的其他目的或向第三方提供上述材料，否则</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应另行承担侵权责任。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在签订和履行本合同中知悉的招标人的全部信息（包括技术信息和经营信息等）均为招标人的商业秘密。除本合同规定之工作所需外，未经招标人事先书面同意，</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不得使用、披露甲方的商业秘密，不得擅自使用、复制招标人的商标、标志、商业信息、技术及其他资料，否则</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应承担相应的侵权责任。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四、合同签订及付款方式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1、合同签订：本项目采用“框架入围协议+单项合同”方式。招标人与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签署框架入围协议后，根据招标人单个具体项目需求进行报价并签订单项合同。</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2、付款方式：招标人根据单项合同与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进行项目结算。</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五、年度供应商的使用及管理原则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（一）使用原则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具体项目实施前，招标人将明确所需设备的参数要求及数量，通知全部中标人，并以书面形式向全部中标人发送项目需求。中标人需在规定时间内提供报价（含设备价格、安装调试费、税费等），报价不得高于招标人设定的最高限价。中标人可提供同等或更优配置的</w:t>
      </w:r>
      <w:r>
        <w:rPr>
          <w:rFonts w:hint="eastAsia" w:ascii="宋体" w:hAnsi="宋体" w:cs="宋体"/>
          <w:color w:val="auto"/>
          <w:sz w:val="21"/>
          <w:szCs w:val="21"/>
          <w:highlight w:val="none"/>
          <w:lang w:val="en-US" w:eastAsia="zh-CN"/>
        </w:rPr>
        <w:t>设备参数</w:t>
      </w:r>
      <w:r>
        <w:rPr>
          <w:rFonts w:hint="eastAsia" w:ascii="宋体" w:hAnsi="宋体" w:eastAsia="宋体" w:cs="宋体"/>
          <w:color w:val="auto"/>
          <w:sz w:val="21"/>
          <w:szCs w:val="21"/>
          <w:highlight w:val="none"/>
          <w:lang w:val="en-US" w:eastAsia="zh-CN"/>
        </w:rPr>
        <w:t>，但须在报价时附详细技术对比说明，经招标人确认后方可视为有效报价。招标人依照南方报业传媒集团</w:t>
      </w:r>
      <w:r>
        <w:rPr>
          <w:rFonts w:hint="eastAsia" w:ascii="宋体" w:hAnsi="宋体" w:cs="宋体"/>
          <w:color w:val="auto"/>
          <w:sz w:val="21"/>
          <w:szCs w:val="21"/>
          <w:highlight w:val="none"/>
          <w:lang w:val="en-US" w:eastAsia="zh-CN"/>
        </w:rPr>
        <w:t>（南方日报社）</w:t>
      </w:r>
      <w:r>
        <w:rPr>
          <w:rFonts w:hint="eastAsia" w:ascii="宋体" w:hAnsi="宋体" w:eastAsia="宋体" w:cs="宋体"/>
          <w:color w:val="auto"/>
          <w:sz w:val="21"/>
          <w:szCs w:val="21"/>
          <w:highlight w:val="none"/>
          <w:lang w:val="en-US" w:eastAsia="zh-CN"/>
        </w:rPr>
        <w:t>和广东南方日报经营有限公司有关管理规定，根据单个具体项目情况及供应商的报价，以最低报价确定该项目的实施单位，并签订项目合同。不满三家供应商响应报价的，招标人在对项目材料作相应调整后，重新向全部</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发送项目需求，</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在规定时间内重新进行报价。</w:t>
      </w:r>
      <w:r>
        <w:rPr>
          <w:rFonts w:hint="eastAsia" w:ascii="宋体" w:hAnsi="宋体" w:cs="宋体"/>
          <w:color w:val="auto"/>
          <w:sz w:val="21"/>
          <w:szCs w:val="21"/>
          <w:highlight w:val="none"/>
          <w:lang w:val="en-US" w:eastAsia="zh-CN"/>
        </w:rPr>
        <w:t>若存在两次</w:t>
      </w:r>
      <w:r>
        <w:rPr>
          <w:rFonts w:hint="eastAsia" w:ascii="宋体" w:hAnsi="宋体" w:eastAsia="宋体" w:cs="宋体"/>
          <w:color w:val="auto"/>
          <w:sz w:val="21"/>
          <w:szCs w:val="21"/>
          <w:highlight w:val="none"/>
          <w:lang w:val="en-US" w:eastAsia="zh-CN"/>
        </w:rPr>
        <w:t>不满三家供应商响应报价的</w:t>
      </w:r>
      <w:r>
        <w:rPr>
          <w:rFonts w:hint="eastAsia" w:ascii="宋体" w:hAnsi="宋体" w:cs="宋体"/>
          <w:color w:val="auto"/>
          <w:sz w:val="21"/>
          <w:szCs w:val="21"/>
          <w:highlight w:val="none"/>
          <w:lang w:val="en-US" w:eastAsia="zh-CN"/>
        </w:rPr>
        <w:t>情况</w:t>
      </w:r>
      <w:r>
        <w:rPr>
          <w:rFonts w:hint="eastAsia" w:ascii="宋体" w:hAnsi="宋体" w:eastAsia="宋体" w:cs="宋体"/>
          <w:color w:val="auto"/>
          <w:sz w:val="21"/>
          <w:szCs w:val="21"/>
          <w:highlight w:val="none"/>
          <w:lang w:val="en-US" w:eastAsia="zh-CN"/>
        </w:rPr>
        <w:t>，招标人</w:t>
      </w:r>
      <w:r>
        <w:rPr>
          <w:rFonts w:hint="eastAsia" w:ascii="宋体" w:hAnsi="宋体" w:cs="宋体"/>
          <w:color w:val="auto"/>
          <w:sz w:val="21"/>
          <w:szCs w:val="21"/>
          <w:highlight w:val="none"/>
          <w:lang w:val="en-US" w:eastAsia="zh-CN"/>
        </w:rPr>
        <w:t>可针对单个实施项目采用其他方式进行采购。</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若遇展陈项目存在特殊需求，或项目需求超出多媒体硬件中标人的服务或供货范围，则拟单独立项获批后另行采购符合条件的供应商。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（二）管理原则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度供应商合作期自合同签订之日起一年。服务期满后，根据中标人履约评价结果，经招标人同意后可再续期一年，累计不超过2年。合作期内，招标人将根据实际情况对年度供应商进行评价考核和动态管理。部分细则如下：</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1、每个具体项目实施前，招标人以书面形式向可参与报价的全部</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发送项目需求。</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根据招标人的具体项目需求，在规定时间内以书面形式进行响应报价，如不响应则记一次“不参与项目”。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2、招标人发出的项目采购需求原则上均设定项目最高限价，</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的报价不得超过招标人设定的最高限价，否则视为无效报价。</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 xml:space="preserve">提供无效报价的，记为一次“不参与项目”。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 xml:space="preserve">累计 3 次“不参与项目”，则直接解除合作，取消其年度供应商资格。被取消资格的年度供应商2年内不得参与招标人的同类项目投标。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4、为加强</w:t>
      </w:r>
      <w:r>
        <w:rPr>
          <w:rFonts w:hint="eastAsia" w:ascii="宋体" w:hAnsi="宋体" w:cs="宋体"/>
          <w:color w:val="auto"/>
          <w:sz w:val="21"/>
          <w:szCs w:val="21"/>
          <w:highlight w:val="none"/>
          <w:lang w:val="en-US" w:eastAsia="zh-CN"/>
        </w:rPr>
        <w:t>展陈多媒体</w:t>
      </w:r>
      <w:r>
        <w:rPr>
          <w:rFonts w:hint="eastAsia" w:ascii="宋体" w:hAnsi="宋体" w:eastAsia="宋体" w:cs="宋体"/>
          <w:color w:val="auto"/>
          <w:sz w:val="21"/>
          <w:szCs w:val="21"/>
          <w:highlight w:val="none"/>
          <w:lang w:val="en-US" w:eastAsia="zh-CN"/>
        </w:rPr>
        <w:t>年度</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的管理，招标人将拟定</w:t>
      </w:r>
      <w:r>
        <w:rPr>
          <w:rFonts w:hint="eastAsia" w:ascii="宋体" w:hAnsi="宋体" w:cs="宋体"/>
          <w:color w:val="auto"/>
          <w:sz w:val="21"/>
          <w:szCs w:val="21"/>
          <w:highlight w:val="none"/>
          <w:lang w:val="en-US" w:eastAsia="zh-CN"/>
        </w:rPr>
        <w:t>展陈多媒体</w:t>
      </w:r>
      <w:r>
        <w:rPr>
          <w:rFonts w:hint="eastAsia" w:ascii="宋体" w:hAnsi="宋体" w:eastAsia="宋体" w:cs="宋体"/>
          <w:color w:val="auto"/>
          <w:sz w:val="21"/>
          <w:szCs w:val="21"/>
          <w:highlight w:val="none"/>
          <w:lang w:val="en-US" w:eastAsia="zh-CN"/>
        </w:rPr>
        <w:t>年度</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管理规定。在具体项目完成后，招标人将对照供应商管理规定，对具体项目实施供应商重点考核设备到货及时性、</w:t>
      </w:r>
      <w:r>
        <w:rPr>
          <w:rFonts w:hint="eastAsia" w:ascii="宋体" w:hAnsi="宋体" w:cs="宋体"/>
          <w:color w:val="auto"/>
          <w:sz w:val="21"/>
          <w:szCs w:val="21"/>
          <w:highlight w:val="none"/>
          <w:lang w:val="en-US" w:eastAsia="zh-CN"/>
        </w:rPr>
        <w:t>服务人员专业性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进度管理情况</w:t>
      </w:r>
      <w:r>
        <w:rPr>
          <w:rFonts w:hint="eastAsia" w:ascii="宋体" w:hAnsi="宋体" w:eastAsia="宋体" w:cs="宋体"/>
          <w:color w:val="auto"/>
          <w:sz w:val="21"/>
          <w:szCs w:val="21"/>
          <w:highlight w:val="none"/>
          <w:lang w:val="en-US" w:eastAsia="zh-CN"/>
        </w:rPr>
        <w:t>及</w:t>
      </w:r>
      <w:r>
        <w:rPr>
          <w:rFonts w:hint="eastAsia"/>
          <w:sz w:val="21"/>
          <w:szCs w:val="21"/>
          <w:vertAlign w:val="baseline"/>
          <w:lang w:val="en-US" w:eastAsia="zh-CN"/>
        </w:rPr>
        <w:t>响应速度与配合度</w:t>
      </w:r>
      <w:r>
        <w:rPr>
          <w:rFonts w:hint="eastAsia" w:ascii="宋体" w:hAnsi="宋体" w:eastAsia="宋体" w:cs="宋体"/>
          <w:color w:val="auto"/>
          <w:sz w:val="21"/>
          <w:szCs w:val="21"/>
          <w:highlight w:val="none"/>
          <w:lang w:val="en-US" w:eastAsia="zh-CN"/>
        </w:rPr>
        <w:t>等方面的履约情况进行相应履约评价。评价考核得分</w:t>
      </w:r>
      <w:r>
        <w:rPr>
          <w:rFonts w:hint="eastAsia" w:ascii="宋体" w:hAnsi="宋体" w:cs="宋体"/>
          <w:color w:val="auto"/>
          <w:sz w:val="21"/>
          <w:szCs w:val="21"/>
          <w:highlight w:val="none"/>
          <w:lang w:val="en-US" w:eastAsia="zh-CN"/>
        </w:rPr>
        <w:t>低于80分的，暂停参与一次项目的报价资格，</w:t>
      </w:r>
      <w:r>
        <w:rPr>
          <w:rFonts w:hint="eastAsia" w:ascii="宋体" w:hAnsi="宋体" w:eastAsia="宋体" w:cs="宋体"/>
          <w:color w:val="auto"/>
          <w:sz w:val="21"/>
          <w:szCs w:val="21"/>
          <w:highlight w:val="none"/>
          <w:lang w:val="en-US" w:eastAsia="zh-CN"/>
        </w:rPr>
        <w:t>低于60分的，取消其后续具体项目的参与资格。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5、当服务期内可参与报价的年度供应商数量少于3家时，招标人将重新启动招标增补供应商或采取其他方式开展工作。</w:t>
      </w:r>
    </w:p>
    <w:p>
      <w:pPr>
        <w:rPr>
          <w:rFonts w:hint="eastAsia"/>
        </w:rPr>
      </w:pPr>
    </w:p>
    <w:p>
      <w:pPr>
        <w:rPr>
          <w:rFonts w:hint="eastAsia"/>
        </w:rPr>
      </w:pPr>
    </w:p>
    <w:p>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spacing w:line="360" w:lineRule="auto"/>
        <w:ind w:firstLine="482" w:firstLineChars="200"/>
        <w:jc w:val="left"/>
        <w:rPr>
          <w:rFonts w:hint="eastAsia" w:ascii="宋体" w:hAnsi="宋体" w:cs="宋体"/>
          <w:b/>
          <w:color w:val="auto"/>
          <w:kern w:val="0"/>
          <w:sz w:val="48"/>
          <w:szCs w:val="48"/>
          <w:highlight w:val="none"/>
          <w:shd w:val="clear" w:color="auto" w:fill="F8FCFF"/>
        </w:rPr>
      </w:pPr>
      <w:r>
        <w:rPr>
          <w:rFonts w:hint="eastAsia" w:ascii="宋体" w:hAnsi="宋体" w:cs="宋体"/>
          <w:b/>
          <w:bCs/>
          <w:color w:val="auto"/>
          <w:sz w:val="24"/>
          <w:szCs w:val="24"/>
          <w:highlight w:val="none"/>
        </w:rPr>
        <w:t>（合同条款仅供参考，合同具体细则最终以招标人与中标人协定为准， 但不得对招标文件、投标文件作实质性修改）</w:t>
      </w:r>
    </w:p>
    <w:p>
      <w:pPr>
        <w:pStyle w:val="29"/>
        <w:ind w:firstLine="482"/>
        <w:rPr>
          <w:rFonts w:hint="eastAsia" w:ascii="宋体" w:hAnsi="宋体" w:cs="宋体"/>
          <w:b/>
          <w:color w:val="auto"/>
          <w:kern w:val="0"/>
          <w:sz w:val="48"/>
          <w:szCs w:val="48"/>
          <w:highlight w:val="none"/>
          <w:shd w:val="clear" w:color="auto" w:fill="F8FCFF"/>
        </w:rPr>
      </w:pPr>
    </w:p>
    <w:p>
      <w:pPr>
        <w:pStyle w:val="29"/>
        <w:ind w:firstLine="482"/>
        <w:rPr>
          <w:rFonts w:hint="eastAsia" w:ascii="宋体" w:hAnsi="宋体" w:cs="宋体"/>
          <w:b/>
          <w:color w:val="auto"/>
          <w:kern w:val="0"/>
          <w:sz w:val="48"/>
          <w:szCs w:val="48"/>
          <w:highlight w:val="none"/>
          <w:shd w:val="clear" w:color="auto" w:fill="F8FCFF"/>
        </w:rPr>
      </w:pPr>
    </w:p>
    <w:p>
      <w:pPr>
        <w:pStyle w:val="29"/>
        <w:ind w:firstLine="482"/>
        <w:rPr>
          <w:rFonts w:hint="eastAsia" w:ascii="宋体" w:hAnsi="宋体" w:cs="宋体"/>
          <w:b/>
          <w:color w:val="auto"/>
          <w:kern w:val="0"/>
          <w:sz w:val="48"/>
          <w:szCs w:val="48"/>
          <w:highlight w:val="none"/>
          <w:shd w:val="clear" w:color="auto" w:fill="F8FCFF"/>
        </w:rPr>
      </w:pPr>
    </w:p>
    <w:p>
      <w:pPr>
        <w:pStyle w:val="29"/>
        <w:ind w:firstLine="482"/>
        <w:rPr>
          <w:rFonts w:hint="eastAsia" w:ascii="宋体" w:hAnsi="宋体" w:cs="宋体"/>
          <w:b/>
          <w:color w:val="auto"/>
          <w:kern w:val="0"/>
          <w:sz w:val="48"/>
          <w:szCs w:val="48"/>
          <w:highlight w:val="none"/>
          <w:shd w:val="clear" w:color="auto" w:fill="F8FCFF"/>
        </w:rPr>
      </w:pPr>
    </w:p>
    <w:p>
      <w:pPr>
        <w:pStyle w:val="29"/>
        <w:ind w:firstLine="482"/>
        <w:rPr>
          <w:rFonts w:hint="eastAsia" w:ascii="宋体" w:hAnsi="宋体" w:cs="宋体"/>
          <w:b/>
          <w:color w:val="auto"/>
          <w:kern w:val="0"/>
          <w:sz w:val="48"/>
          <w:szCs w:val="48"/>
          <w:highlight w:val="none"/>
          <w:shd w:val="clear" w:color="auto" w:fill="F8FCFF"/>
        </w:rPr>
      </w:pPr>
    </w:p>
    <w:p>
      <w:pPr>
        <w:pStyle w:val="29"/>
        <w:ind w:firstLine="482"/>
        <w:rPr>
          <w:rFonts w:hint="eastAsia" w:ascii="宋体" w:hAnsi="宋体" w:cs="宋体"/>
          <w:b/>
          <w:color w:val="auto"/>
          <w:kern w:val="0"/>
          <w:sz w:val="48"/>
          <w:szCs w:val="48"/>
          <w:highlight w:val="none"/>
          <w:shd w:val="clear" w:color="auto" w:fill="F8FCFF"/>
        </w:rPr>
      </w:pPr>
    </w:p>
    <w:p>
      <w:pPr>
        <w:pStyle w:val="29"/>
        <w:ind w:firstLine="0" w:firstLineChars="0"/>
        <w:rPr>
          <w:rFonts w:hint="eastAsia" w:ascii="宋体" w:hAnsi="宋体" w:cs="宋体"/>
          <w:b/>
          <w:color w:val="auto"/>
          <w:kern w:val="0"/>
          <w:sz w:val="48"/>
          <w:szCs w:val="48"/>
          <w:highlight w:val="none"/>
          <w:shd w:val="clear" w:color="auto" w:fill="F8FCFF"/>
        </w:rPr>
      </w:pPr>
    </w:p>
    <w:p>
      <w:pPr>
        <w:pStyle w:val="37"/>
        <w:jc w:val="center"/>
        <w:rPr>
          <w:rFonts w:hint="eastAsia" w:ascii="宋体" w:hAnsi="宋体" w:cs="宋体"/>
          <w:b/>
          <w:bCs/>
          <w:color w:val="auto"/>
          <w:sz w:val="36"/>
          <w:szCs w:val="36"/>
          <w:highlight w:val="none"/>
        </w:rPr>
      </w:pPr>
    </w:p>
    <w:p>
      <w:pPr>
        <w:pStyle w:val="37"/>
        <w:jc w:val="center"/>
        <w:outlineLvl w:val="0"/>
        <w:rPr>
          <w:rFonts w:hint="eastAsia" w:ascii="宋体" w:hAnsi="宋体" w:cs="宋体"/>
          <w:b/>
          <w:bCs/>
          <w:color w:val="auto"/>
          <w:sz w:val="36"/>
          <w:szCs w:val="36"/>
          <w:highlight w:val="none"/>
        </w:rPr>
        <w:sectPr>
          <w:headerReference r:id="rId8" w:type="default"/>
          <w:footerReference r:id="rId9" w:type="default"/>
          <w:pgSz w:w="11907" w:h="16840"/>
          <w:pgMar w:top="1418" w:right="1701" w:bottom="1418" w:left="1701" w:header="737" w:footer="737" w:gutter="0"/>
          <w:pgBorders>
            <w:top w:val="none" w:sz="0" w:space="0"/>
            <w:left w:val="none" w:sz="0" w:space="0"/>
            <w:bottom w:val="none" w:sz="0" w:space="0"/>
            <w:right w:val="none" w:sz="0" w:space="0"/>
          </w:pgBorders>
          <w:cols w:space="720" w:num="1"/>
          <w:docGrid w:linePitch="285" w:charSpace="0"/>
        </w:sectPr>
      </w:pPr>
      <w:bookmarkStart w:id="183" w:name="_Toc30591"/>
      <w:r>
        <w:rPr>
          <w:rFonts w:hint="eastAsia" w:ascii="宋体" w:hAnsi="宋体" w:cs="宋体"/>
          <w:b/>
          <w:bCs/>
          <w:color w:val="auto"/>
          <w:sz w:val="36"/>
          <w:szCs w:val="36"/>
          <w:highlight w:val="none"/>
        </w:rPr>
        <w:t>第四章  合同格式（参考）</w:t>
      </w:r>
      <w:bookmarkEnd w:id="183"/>
    </w:p>
    <w:p>
      <w:pPr>
        <w:jc w:val="both"/>
        <w:rPr>
          <w:color w:val="auto"/>
        </w:rPr>
      </w:pPr>
    </w:p>
    <w:p>
      <w:pPr>
        <w:jc w:val="center"/>
        <w:rPr>
          <w:color w:val="auto"/>
        </w:rPr>
      </w:pPr>
    </w:p>
    <w:p>
      <w:pPr>
        <w:jc w:val="center"/>
        <w:rPr>
          <w:rFonts w:hint="eastAsia" w:ascii="宋体" w:hAnsi="宋体" w:cs="宋体"/>
          <w:b/>
          <w:sz w:val="72"/>
          <w:szCs w:val="72"/>
          <w:highlight w:val="none"/>
          <w:lang w:val="en-US" w:eastAsia="zh-CN"/>
        </w:rPr>
      </w:pPr>
    </w:p>
    <w:p>
      <w:pPr>
        <w:jc w:val="center"/>
        <w:rPr>
          <w:rFonts w:hint="eastAsia" w:ascii="宋体" w:hAnsi="宋体" w:cs="宋体"/>
          <w:b/>
          <w:sz w:val="72"/>
          <w:szCs w:val="72"/>
          <w:highlight w:val="none"/>
          <w:lang w:val="en-US" w:eastAsia="zh-CN"/>
        </w:rPr>
      </w:pP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 xml:space="preserve"> </w:t>
      </w:r>
      <w:bookmarkStart w:id="184" w:name="OLE_LINK4"/>
      <w:r>
        <w:rPr>
          <w:rFonts w:hint="eastAsia" w:ascii="宋体" w:hAnsi="宋体" w:cs="宋体"/>
          <w:b/>
          <w:sz w:val="72"/>
          <w:szCs w:val="72"/>
          <w:highlight w:val="none"/>
          <w:lang w:val="en-US" w:eastAsia="zh-CN"/>
        </w:rPr>
        <w:t>招 标 入 围 合 同 书</w:t>
      </w:r>
    </w:p>
    <w:bookmarkEnd w:id="184"/>
    <w:p>
      <w:pPr>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w:t>
      </w:r>
      <w:r>
        <w:rPr>
          <w:rFonts w:hint="eastAsia" w:ascii="宋体" w:hAnsi="宋体" w:cs="宋体"/>
          <w:b/>
          <w:sz w:val="32"/>
          <w:szCs w:val="32"/>
          <w:highlight w:val="none"/>
          <w:lang w:val="en-US" w:eastAsia="zh-CN"/>
        </w:rPr>
        <w:t>适用于子包1</w:t>
      </w:r>
      <w:r>
        <w:rPr>
          <w:rFonts w:hint="eastAsia" w:ascii="宋体" w:hAnsi="宋体" w:cs="宋体"/>
          <w:b/>
          <w:sz w:val="32"/>
          <w:szCs w:val="32"/>
          <w:highlight w:val="none"/>
          <w:lang w:eastAsia="zh-CN"/>
        </w:rPr>
        <w:t>）</w:t>
      </w:r>
    </w:p>
    <w:p>
      <w:pPr>
        <w:pStyle w:val="60"/>
      </w:pPr>
    </w:p>
    <w:p>
      <w:pPr>
        <w:pStyle w:val="3"/>
        <w:rPr>
          <w:rFonts w:ascii="宋体" w:hAnsi="宋体" w:eastAsia="宋体" w:cs="宋体"/>
        </w:rPr>
      </w:pPr>
    </w:p>
    <w:p>
      <w:pPr>
        <w:pStyle w:val="3"/>
        <w:rPr>
          <w:rFonts w:ascii="宋体" w:hAnsi="宋体" w:eastAsia="宋体" w:cs="宋体"/>
        </w:rPr>
      </w:pPr>
    </w:p>
    <w:p>
      <w:pPr>
        <w:jc w:val="center"/>
        <w:rPr>
          <w:rFonts w:ascii="宋体" w:hAnsi="宋体" w:cs="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项目名称：</w:t>
      </w:r>
      <w:r>
        <w:rPr>
          <w:rFonts w:hint="eastAsia" w:ascii="宋体" w:hAnsi="宋体" w:cs="宋体"/>
          <w:b/>
          <w:sz w:val="28"/>
          <w:szCs w:val="28"/>
          <w:u w:val="single"/>
          <w:lang w:val="en-US" w:eastAsia="zh-CN"/>
        </w:rPr>
        <w:t xml:space="preserve">                                     </w:t>
      </w:r>
      <w:r>
        <w:rPr>
          <w:rFonts w:hint="eastAsia" w:ascii="宋体" w:hAnsi="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合同编号：</w:t>
      </w:r>
      <w:r>
        <w:rPr>
          <w:rFonts w:hint="eastAsia" w:ascii="宋体" w:hAnsi="宋体" w:cs="宋体"/>
          <w:b/>
          <w:sz w:val="28"/>
          <w:szCs w:val="28"/>
          <w:u w:val="single"/>
          <w:lang w:val="en-US" w:eastAsia="zh-CN"/>
        </w:rPr>
        <w:t xml:space="preserve">                                     </w:t>
      </w:r>
      <w:r>
        <w:rPr>
          <w:rFonts w:hint="eastAsia" w:ascii="宋体" w:hAnsi="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签订地点：</w:t>
      </w:r>
      <w:r>
        <w:rPr>
          <w:rFonts w:hint="eastAsia" w:ascii="宋体" w:hAnsi="宋体" w:cs="宋体"/>
          <w:b/>
          <w:sz w:val="28"/>
          <w:szCs w:val="28"/>
          <w:u w:val="single"/>
          <w:lang w:val="en-US" w:eastAsia="zh-CN"/>
        </w:rPr>
        <w:t xml:space="preserve">                                     </w:t>
      </w:r>
      <w:r>
        <w:rPr>
          <w:rFonts w:hint="eastAsia" w:ascii="宋体" w:hAnsi="宋体" w:cs="宋体"/>
          <w:b/>
          <w:sz w:val="28"/>
          <w:szCs w:val="28"/>
        </w:rPr>
        <w:t xml:space="preserve">                             </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rPr>
      </w:pPr>
      <w:r>
        <w:rPr>
          <w:rFonts w:hint="eastAsia" w:ascii="宋体" w:hAnsi="宋体" w:cs="宋体"/>
          <w:b/>
          <w:sz w:val="28"/>
          <w:szCs w:val="28"/>
        </w:rPr>
        <w:t>二</w:t>
      </w:r>
      <w:r>
        <w:rPr>
          <w:rFonts w:hint="eastAsia" w:ascii="宋体" w:hAnsi="宋体" w:cs="宋体"/>
          <w:b/>
          <w:sz w:val="28"/>
          <w:szCs w:val="28"/>
          <w:lang w:eastAsia="zh-CN"/>
        </w:rPr>
        <w:t>〇</w:t>
      </w:r>
      <w:r>
        <w:rPr>
          <w:rFonts w:hint="eastAsia" w:ascii="宋体" w:hAnsi="宋体" w:cs="宋体"/>
          <w:b/>
          <w:sz w:val="28"/>
          <w:szCs w:val="28"/>
        </w:rPr>
        <w:t xml:space="preserve">    年    月   日</w:t>
      </w:r>
    </w:p>
    <w:p>
      <w:pPr>
        <w:jc w:val="left"/>
        <w:rPr>
          <w:rFonts w:hint="default" w:ascii="宋体" w:hAnsi="宋体" w:eastAsia="宋体" w:cs="宋体"/>
          <w:b/>
          <w:sz w:val="28"/>
          <w:szCs w:val="28"/>
          <w:lang w:val="en-US" w:eastAsia="zh-CN"/>
        </w:rPr>
      </w:pPr>
    </w:p>
    <w:p>
      <w:pPr>
        <w:rPr>
          <w:rFonts w:ascii="宋体" w:hAnsi="宋体" w:cs="宋体"/>
          <w:b/>
          <w:sz w:val="28"/>
          <w:szCs w:val="28"/>
        </w:rPr>
      </w:pPr>
    </w:p>
    <w:p>
      <w:pPr>
        <w:pStyle w:val="3"/>
        <w:ind w:left="0" w:leftChars="0" w:firstLine="0" w:firstLineChars="0"/>
        <w:rPr>
          <w:rFonts w:ascii="宋体" w:hAnsi="宋体" w:eastAsia="宋体" w:cs="宋体"/>
          <w:b/>
          <w:szCs w:val="28"/>
        </w:rPr>
      </w:pPr>
    </w:p>
    <w:p>
      <w:pPr>
        <w:rPr>
          <w:rFonts w:ascii="宋体" w:hAnsi="宋体" w:cs="宋体"/>
          <w:b/>
          <w:szCs w:val="21"/>
        </w:rPr>
      </w:pPr>
      <w:r>
        <w:rPr>
          <w:rFonts w:hint="eastAsia" w:ascii="宋体" w:hAnsi="宋体" w:cs="宋体"/>
          <w:b/>
          <w:szCs w:val="21"/>
        </w:rPr>
        <w:t>注：本合同仅为合同草案文本，合同签订双方可根据项目的具体要求进行修订和细化。</w:t>
      </w:r>
    </w:p>
    <w:p>
      <w:pPr>
        <w:ind w:firstLine="5670" w:firstLineChars="2700"/>
        <w:rPr>
          <w:rFonts w:ascii="宋体" w:hAnsi="宋体" w:cs="宋体"/>
          <w:szCs w:val="21"/>
        </w:rPr>
      </w:pPr>
    </w:p>
    <w:p>
      <w:pPr>
        <w:rPr>
          <w:rFonts w:ascii="宋体" w:hAnsi="宋体" w:cs="宋体"/>
          <w:szCs w:val="21"/>
        </w:rPr>
      </w:pPr>
      <w:r>
        <w:rPr>
          <w:rFonts w:hint="eastAsia" w:ascii="宋体" w:hAnsi="宋体" w:cs="宋体"/>
          <w:szCs w:val="21"/>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甲方：</w:t>
      </w:r>
      <w:r>
        <w:rPr>
          <w:rFonts w:hint="eastAsia" w:ascii="宋体" w:hAnsi="宋体" w:eastAsia="宋体" w:cs="宋体"/>
          <w:sz w:val="21"/>
          <w:szCs w:val="21"/>
          <w:u w:val="none"/>
          <w:lang w:val="en-US" w:eastAsia="zh-CN"/>
        </w:rPr>
        <w:t xml:space="preserve">广东南方日报展示科技有限公司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eastAsia="zh-CN"/>
        </w:rPr>
        <w:t>法定代表人（负责人）：</w:t>
      </w:r>
      <w:r>
        <w:rPr>
          <w:rFonts w:hint="eastAsia" w:ascii="宋体" w:hAnsi="宋体" w:eastAsia="宋体" w:cs="宋体"/>
          <w:sz w:val="21"/>
          <w:szCs w:val="21"/>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地址：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乙 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法定代表人（负责人）：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地 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联系方式：</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3"/>
          <w:rFonts w:hint="eastAsia" w:ascii="宋体" w:hAnsi="宋体" w:eastAsia="宋体" w:cs="宋体"/>
          <w:bCs/>
          <w:sz w:val="21"/>
          <w:szCs w:val="21"/>
        </w:rPr>
      </w:pP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3"/>
          <w:rFonts w:hint="eastAsia" w:ascii="宋体" w:hAnsi="宋体" w:eastAsia="宋体" w:cs="宋体"/>
          <w:bCs/>
          <w:sz w:val="21"/>
          <w:szCs w:val="21"/>
        </w:rPr>
      </w:pPr>
      <w:r>
        <w:rPr>
          <w:rStyle w:val="43"/>
          <w:rFonts w:hint="eastAsia" w:ascii="宋体" w:hAnsi="宋体" w:eastAsia="宋体" w:cs="宋体"/>
          <w:bCs/>
          <w:sz w:val="21"/>
          <w:szCs w:val="21"/>
        </w:rPr>
        <w:t>甲、乙双方经过</w:t>
      </w:r>
      <w:r>
        <w:rPr>
          <w:rStyle w:val="43"/>
          <w:rFonts w:hint="eastAsia" w:ascii="宋体" w:hAnsi="宋体" w:eastAsia="宋体" w:cs="宋体"/>
          <w:bCs/>
          <w:sz w:val="21"/>
          <w:szCs w:val="21"/>
          <w:lang w:eastAsia="zh-CN"/>
        </w:rPr>
        <w:t>平等</w:t>
      </w:r>
      <w:r>
        <w:rPr>
          <w:rStyle w:val="43"/>
          <w:rFonts w:hint="eastAsia" w:ascii="宋体" w:hAnsi="宋体" w:eastAsia="宋体" w:cs="宋体"/>
          <w:bCs/>
          <w:sz w:val="21"/>
          <w:szCs w:val="21"/>
        </w:rPr>
        <w:t>友好协商，依照《中华人民共和国民法典》等相关法律法规，现就</w:t>
      </w:r>
      <w:r>
        <w:rPr>
          <w:rStyle w:val="43"/>
          <w:rFonts w:hint="eastAsia" w:ascii="宋体" w:hAnsi="宋体" w:eastAsia="宋体" w:cs="宋体"/>
          <w:bCs/>
          <w:sz w:val="21"/>
          <w:szCs w:val="21"/>
          <w:lang w:val="en-US" w:eastAsia="zh-CN"/>
        </w:rPr>
        <w:t>甲方委托乙方进行布展服务</w:t>
      </w:r>
      <w:r>
        <w:rPr>
          <w:rStyle w:val="43"/>
          <w:rFonts w:hint="eastAsia" w:ascii="宋体" w:hAnsi="宋体" w:eastAsia="宋体" w:cs="宋体"/>
          <w:bCs/>
          <w:sz w:val="21"/>
          <w:szCs w:val="21"/>
        </w:rPr>
        <w:t>事宜达成如下协议，</w:t>
      </w:r>
      <w:r>
        <w:rPr>
          <w:rStyle w:val="43"/>
          <w:rFonts w:hint="eastAsia" w:ascii="宋体" w:hAnsi="宋体" w:eastAsia="宋体" w:cs="宋体"/>
          <w:bCs/>
          <w:sz w:val="21"/>
          <w:szCs w:val="21"/>
          <w:lang w:eastAsia="zh-CN"/>
        </w:rPr>
        <w:t>以资</w:t>
      </w:r>
      <w:r>
        <w:rPr>
          <w:rStyle w:val="43"/>
          <w:rFonts w:hint="eastAsia" w:ascii="宋体" w:hAnsi="宋体" w:eastAsia="宋体" w:cs="宋体"/>
          <w:bCs/>
          <w:sz w:val="21"/>
          <w:szCs w:val="21"/>
        </w:rPr>
        <w:t>共同遵守。</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w:t>
      </w:r>
      <w:r>
        <w:rPr>
          <w:rStyle w:val="42"/>
          <w:rFonts w:hint="eastAsia" w:ascii="宋体" w:hAnsi="宋体" w:eastAsia="宋体" w:cs="宋体"/>
          <w:b/>
          <w:sz w:val="21"/>
          <w:szCs w:val="21"/>
        </w:rPr>
        <w:t>一</w:t>
      </w:r>
      <w:r>
        <w:rPr>
          <w:rStyle w:val="42"/>
          <w:rFonts w:hint="eastAsia" w:ascii="宋体" w:hAnsi="宋体" w:eastAsia="宋体" w:cs="宋体"/>
          <w:b/>
          <w:sz w:val="21"/>
          <w:szCs w:val="21"/>
          <w:lang w:eastAsia="zh-CN"/>
        </w:rPr>
        <w:t>条</w:t>
      </w: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rPr>
        <w:t>项目概况</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3"/>
          <w:rFonts w:hint="eastAsia" w:ascii="宋体" w:hAnsi="宋体" w:eastAsia="宋体" w:cs="宋体"/>
          <w:bCs/>
          <w:sz w:val="21"/>
          <w:szCs w:val="21"/>
        </w:rPr>
      </w:pPr>
      <w:r>
        <w:rPr>
          <w:rStyle w:val="43"/>
          <w:rFonts w:hint="eastAsia" w:ascii="宋体" w:hAnsi="宋体" w:eastAsia="宋体" w:cs="宋体"/>
          <w:bCs/>
          <w:sz w:val="21"/>
          <w:szCs w:val="21"/>
          <w:lang w:eastAsia="zh-CN"/>
        </w:rPr>
        <w:t>（一）项目</w:t>
      </w:r>
      <w:r>
        <w:rPr>
          <w:rStyle w:val="43"/>
          <w:rFonts w:hint="eastAsia" w:ascii="宋体" w:hAnsi="宋体" w:eastAsia="宋体" w:cs="宋体"/>
          <w:bCs/>
          <w:sz w:val="21"/>
          <w:szCs w:val="21"/>
        </w:rPr>
        <w:t>名称：</w:t>
      </w:r>
      <w:r>
        <w:rPr>
          <w:rStyle w:val="42"/>
          <w:rFonts w:hint="eastAsia" w:ascii="宋体" w:hAnsi="宋体" w:eastAsia="宋体" w:cs="宋体"/>
          <w:sz w:val="21"/>
          <w:szCs w:val="21"/>
          <w:u w:val="single"/>
          <w:lang w:val="en-US" w:eastAsia="zh-CN"/>
        </w:rPr>
        <w:t xml:space="preserve">              </w:t>
      </w:r>
      <w:r>
        <w:rPr>
          <w:rStyle w:val="42"/>
          <w:rFonts w:hint="eastAsia" w:ascii="宋体" w:hAnsi="宋体" w:eastAsia="宋体" w:cs="宋体"/>
          <w:sz w:val="21"/>
          <w:szCs w:val="21"/>
        </w:rPr>
        <w:t>。</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u w:val="single"/>
        </w:rPr>
      </w:pPr>
      <w:r>
        <w:rPr>
          <w:rStyle w:val="42"/>
          <w:rFonts w:hint="eastAsia" w:ascii="宋体" w:hAnsi="宋体" w:eastAsia="宋体" w:cs="宋体"/>
          <w:sz w:val="21"/>
          <w:szCs w:val="21"/>
          <w:lang w:eastAsia="zh-CN"/>
        </w:rPr>
        <w:t>（二）项目</w:t>
      </w:r>
      <w:r>
        <w:rPr>
          <w:rStyle w:val="42"/>
          <w:rFonts w:hint="eastAsia" w:ascii="宋体" w:hAnsi="宋体" w:eastAsia="宋体" w:cs="宋体"/>
          <w:sz w:val="21"/>
          <w:szCs w:val="21"/>
        </w:rPr>
        <w:t>地点：</w:t>
      </w:r>
      <w:r>
        <w:rPr>
          <w:rStyle w:val="42"/>
          <w:rFonts w:hint="eastAsia" w:ascii="宋体" w:hAnsi="宋体" w:eastAsia="宋体" w:cs="宋体"/>
          <w:sz w:val="21"/>
          <w:szCs w:val="21"/>
          <w:u w:val="single"/>
          <w:lang w:val="en-US" w:eastAsia="zh-CN"/>
        </w:rPr>
        <w:t xml:space="preserve">  </w:t>
      </w:r>
      <w:r>
        <w:rPr>
          <w:rStyle w:val="42"/>
          <w:rFonts w:hint="eastAsia" w:cs="宋体"/>
          <w:sz w:val="21"/>
          <w:szCs w:val="21"/>
          <w:u w:val="single"/>
          <w:lang w:val="en-US" w:eastAsia="zh-CN"/>
        </w:rPr>
        <w:t>甲方</w:t>
      </w:r>
      <w:r>
        <w:rPr>
          <w:rStyle w:val="42"/>
          <w:rFonts w:hint="eastAsia" w:ascii="宋体" w:hAnsi="宋体" w:eastAsia="宋体" w:cs="宋体"/>
          <w:sz w:val="21"/>
          <w:szCs w:val="21"/>
          <w:u w:val="single"/>
          <w:lang w:val="en-US" w:eastAsia="zh-CN"/>
        </w:rPr>
        <w:t xml:space="preserve">指定 </w:t>
      </w:r>
      <w:r>
        <w:rPr>
          <w:rStyle w:val="42"/>
          <w:rFonts w:hint="eastAsia" w:ascii="宋体" w:hAnsi="宋体" w:eastAsia="宋体" w:cs="宋体"/>
          <w:sz w:val="21"/>
          <w:szCs w:val="21"/>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Style w:val="42"/>
          <w:rFonts w:hint="eastAsia" w:ascii="宋体" w:hAnsi="宋体" w:eastAsia="宋体" w:cs="宋体"/>
          <w:sz w:val="21"/>
          <w:szCs w:val="21"/>
          <w:highlight w:val="none"/>
          <w:lang w:eastAsia="zh-CN"/>
        </w:rPr>
        <w:t>（三）</w:t>
      </w:r>
      <w:r>
        <w:rPr>
          <w:rStyle w:val="42"/>
          <w:rFonts w:hint="eastAsia" w:ascii="宋体" w:hAnsi="宋体" w:eastAsia="宋体" w:cs="宋体"/>
          <w:sz w:val="21"/>
          <w:szCs w:val="21"/>
          <w:highlight w:val="none"/>
        </w:rPr>
        <w:t>服务要求</w:t>
      </w:r>
      <w:r>
        <w:rPr>
          <w:rStyle w:val="42"/>
          <w:rFonts w:hint="eastAsia" w:cs="宋体"/>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在服务期内，</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提供的具体项目设计方案、施工图纸</w:t>
      </w:r>
      <w:r>
        <w:rPr>
          <w:rFonts w:hint="eastAsia" w:ascii="宋体" w:hAnsi="宋体"/>
          <w:color w:val="auto"/>
          <w:szCs w:val="21"/>
          <w:highlight w:val="none"/>
          <w:lang w:val="en-US" w:eastAsia="zh-CN"/>
        </w:rPr>
        <w:t>（或空间模型）</w:t>
      </w:r>
      <w:r>
        <w:rPr>
          <w:rFonts w:hint="eastAsia" w:ascii="宋体" w:hAnsi="宋体" w:eastAsia="宋体" w:cs="宋体"/>
          <w:color w:val="auto"/>
          <w:sz w:val="21"/>
          <w:szCs w:val="21"/>
          <w:highlight w:val="none"/>
          <w:lang w:val="en-US" w:eastAsia="zh-CN"/>
        </w:rPr>
        <w:t>及</w:t>
      </w:r>
      <w:r>
        <w:rPr>
          <w:rFonts w:hint="eastAsia" w:ascii="宋体" w:hAnsi="宋体"/>
          <w:color w:val="auto"/>
          <w:szCs w:val="21"/>
          <w:highlight w:val="none"/>
          <w:lang w:val="en-US" w:eastAsia="zh-CN"/>
        </w:rPr>
        <w:t>报价材料等</w:t>
      </w:r>
      <w:r>
        <w:rPr>
          <w:rFonts w:hint="eastAsia" w:ascii="宋体" w:hAnsi="宋体" w:eastAsia="宋体" w:cs="宋体"/>
          <w:color w:val="auto"/>
          <w:sz w:val="21"/>
          <w:szCs w:val="21"/>
          <w:highlight w:val="none"/>
          <w:lang w:val="en-US" w:eastAsia="zh-CN"/>
        </w:rPr>
        <w:t>，负责项目的布展实施工作及相关配套服务，包括但不限于：装饰装修、</w:t>
      </w:r>
      <w:r>
        <w:rPr>
          <w:rFonts w:hint="eastAsia" w:ascii="宋体" w:hAnsi="宋体" w:cs="宋体"/>
          <w:szCs w:val="24"/>
          <w:highlight w:val="none"/>
          <w:vertAlign w:val="baseline"/>
          <w:lang w:val="en-US" w:eastAsia="zh-CN"/>
        </w:rPr>
        <w:t>强弱电配套</w:t>
      </w:r>
      <w:r>
        <w:rPr>
          <w:rFonts w:hint="eastAsia" w:ascii="宋体" w:hAnsi="宋体" w:eastAsia="宋体" w:cs="宋体"/>
          <w:color w:val="auto"/>
          <w:sz w:val="21"/>
          <w:szCs w:val="21"/>
          <w:highlight w:val="none"/>
          <w:lang w:val="en-US" w:eastAsia="zh-CN"/>
        </w:rPr>
        <w:t>、空调通风、消防</w:t>
      </w:r>
      <w:r>
        <w:rPr>
          <w:rFonts w:hint="eastAsia" w:ascii="宋体" w:hAnsi="宋体" w:cs="宋体"/>
          <w:szCs w:val="24"/>
          <w:highlight w:val="none"/>
          <w:vertAlign w:val="baseline"/>
          <w:lang w:val="en-US" w:eastAsia="zh-CN"/>
        </w:rPr>
        <w:t>配套</w:t>
      </w:r>
      <w:r>
        <w:rPr>
          <w:rFonts w:hint="eastAsia" w:ascii="宋体" w:hAnsi="宋体" w:eastAsia="宋体" w:cs="宋体"/>
          <w:color w:val="auto"/>
          <w:sz w:val="21"/>
          <w:szCs w:val="21"/>
          <w:highlight w:val="none"/>
          <w:lang w:val="en-US" w:eastAsia="zh-CN"/>
        </w:rPr>
        <w:t>、灯光设备、平面展陈、多媒体设备协同等施工及实施服务，以及项目资料整理、质保期维保等配套服务。</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lang w:eastAsia="zh-CN"/>
        </w:rPr>
      </w:pPr>
      <w:r>
        <w:rPr>
          <w:rStyle w:val="42"/>
          <w:rFonts w:hint="eastAsia" w:cs="宋体"/>
          <w:sz w:val="21"/>
          <w:szCs w:val="21"/>
          <w:highlight w:val="none"/>
          <w:lang w:val="en-US" w:eastAsia="zh-CN"/>
        </w:rPr>
        <w:t>乙方</w:t>
      </w:r>
      <w:r>
        <w:rPr>
          <w:rStyle w:val="42"/>
          <w:rFonts w:hint="eastAsia" w:cs="宋体"/>
          <w:sz w:val="21"/>
          <w:szCs w:val="21"/>
          <w:highlight w:val="none"/>
          <w:lang w:eastAsia="zh-CN"/>
        </w:rPr>
        <w:t>需根据</w:t>
      </w:r>
      <w:r>
        <w:rPr>
          <w:rStyle w:val="42"/>
          <w:rFonts w:hint="eastAsia" w:cs="宋体"/>
          <w:sz w:val="21"/>
          <w:szCs w:val="21"/>
          <w:highlight w:val="none"/>
          <w:lang w:val="en-US" w:eastAsia="zh-CN"/>
        </w:rPr>
        <w:t>甲方</w:t>
      </w:r>
      <w:r>
        <w:rPr>
          <w:rStyle w:val="42"/>
          <w:rFonts w:hint="eastAsia" w:cs="宋体"/>
          <w:sz w:val="21"/>
          <w:szCs w:val="21"/>
          <w:highlight w:val="none"/>
          <w:lang w:eastAsia="zh-CN"/>
        </w:rPr>
        <w:t>实际开展的项目需求在规定时限内提供布展实施服务（包括但不限于进行布展配套装饰服务、与本项目相关配套服务及维保服务等）。</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b w:val="0"/>
          <w:bCs/>
          <w:sz w:val="21"/>
          <w:szCs w:val="21"/>
          <w:highlight w:val="none"/>
          <w:lang w:val="en-US" w:eastAsia="zh-CN"/>
        </w:rPr>
      </w:pPr>
      <w:r>
        <w:rPr>
          <w:rStyle w:val="42"/>
          <w:rFonts w:hint="eastAsia" w:cs="宋体"/>
          <w:b w:val="0"/>
          <w:bCs/>
          <w:sz w:val="21"/>
          <w:szCs w:val="21"/>
          <w:highlight w:val="none"/>
          <w:lang w:val="en-US" w:eastAsia="zh-CN"/>
        </w:rPr>
        <w:t>（四）</w:t>
      </w:r>
      <w:r>
        <w:rPr>
          <w:rStyle w:val="42"/>
          <w:rFonts w:hint="eastAsia" w:ascii="宋体" w:hAnsi="宋体" w:eastAsia="宋体" w:cs="宋体"/>
          <w:b w:val="0"/>
          <w:bCs/>
          <w:sz w:val="21"/>
          <w:szCs w:val="21"/>
          <w:highlight w:val="none"/>
          <w:lang w:val="en-US" w:eastAsia="zh-CN"/>
        </w:rPr>
        <w:t>服务期限：</w:t>
      </w:r>
      <w:r>
        <w:rPr>
          <w:rFonts w:hint="eastAsia" w:ascii="宋体" w:hAnsi="宋体" w:eastAsia="宋体" w:cs="宋体"/>
          <w:color w:val="auto"/>
          <w:sz w:val="21"/>
          <w:szCs w:val="21"/>
          <w:highlight w:val="none"/>
          <w:lang w:val="en-US" w:eastAsia="zh-CN"/>
        </w:rPr>
        <w:t>自合同签订之日起一年。服务期满后，根据</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履约评价结果，经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同意后可再续期一年，累计不超过2年。</w:t>
      </w:r>
      <w:r>
        <w:rPr>
          <w:rStyle w:val="42"/>
          <w:rFonts w:hint="eastAsia" w:ascii="宋体" w:hAnsi="宋体" w:eastAsia="宋体" w:cs="宋体"/>
          <w:b w:val="0"/>
          <w:bCs/>
          <w:sz w:val="21"/>
          <w:szCs w:val="21"/>
          <w:highlight w:val="none"/>
          <w:lang w:val="en-US" w:eastAsia="zh-CN"/>
        </w:rPr>
        <w:t>单个具体项目的服务期限根据</w:t>
      </w:r>
      <w:r>
        <w:rPr>
          <w:rStyle w:val="42"/>
          <w:rFonts w:hint="eastAsia" w:cs="宋体"/>
          <w:b w:val="0"/>
          <w:bCs/>
          <w:sz w:val="21"/>
          <w:szCs w:val="21"/>
          <w:highlight w:val="none"/>
          <w:lang w:val="en-US" w:eastAsia="zh-CN"/>
        </w:rPr>
        <w:t>甲方</w:t>
      </w:r>
      <w:r>
        <w:rPr>
          <w:rStyle w:val="42"/>
          <w:rFonts w:hint="eastAsia" w:ascii="宋体" w:hAnsi="宋体" w:eastAsia="宋体" w:cs="宋体"/>
          <w:b w:val="0"/>
          <w:bCs/>
          <w:sz w:val="21"/>
          <w:szCs w:val="21"/>
          <w:highlight w:val="none"/>
          <w:lang w:val="en-US" w:eastAsia="zh-CN"/>
        </w:rPr>
        <w:t>具体要求为准。本项目为招标入围，合同履约期间</w:t>
      </w:r>
      <w:r>
        <w:rPr>
          <w:rStyle w:val="42"/>
          <w:rFonts w:hint="eastAsia" w:cs="宋体"/>
          <w:b w:val="0"/>
          <w:bCs/>
          <w:sz w:val="21"/>
          <w:szCs w:val="21"/>
          <w:highlight w:val="none"/>
          <w:lang w:val="en-US" w:eastAsia="zh-CN"/>
        </w:rPr>
        <w:t>甲方</w:t>
      </w:r>
      <w:r>
        <w:rPr>
          <w:rStyle w:val="42"/>
          <w:rFonts w:hint="eastAsia" w:ascii="宋体" w:hAnsi="宋体" w:eastAsia="宋体" w:cs="宋体"/>
          <w:b w:val="0"/>
          <w:bCs/>
          <w:sz w:val="21"/>
          <w:szCs w:val="21"/>
          <w:highlight w:val="none"/>
          <w:lang w:val="en-US" w:eastAsia="zh-CN"/>
        </w:rPr>
        <w:t>根据每个具体项目实际产生费用据实结算。</w:t>
      </w:r>
      <w:r>
        <w:rPr>
          <w:rStyle w:val="42"/>
          <w:rFonts w:hint="eastAsia" w:cs="宋体"/>
          <w:b w:val="0"/>
          <w:bCs/>
          <w:sz w:val="21"/>
          <w:szCs w:val="21"/>
          <w:highlight w:val="none"/>
          <w:lang w:val="en-US" w:eastAsia="zh-CN"/>
        </w:rPr>
        <w:t>乙方</w:t>
      </w:r>
      <w:r>
        <w:rPr>
          <w:rStyle w:val="42"/>
          <w:rFonts w:hint="eastAsia" w:ascii="宋体" w:hAnsi="宋体" w:eastAsia="宋体" w:cs="宋体"/>
          <w:b w:val="0"/>
          <w:bCs/>
          <w:sz w:val="21"/>
          <w:szCs w:val="21"/>
          <w:highlight w:val="none"/>
          <w:lang w:val="en-US" w:eastAsia="zh-CN"/>
        </w:rPr>
        <w:t>在本次招标入围采购中的具体结算金额</w:t>
      </w:r>
      <w:r>
        <w:rPr>
          <w:rStyle w:val="42"/>
          <w:rFonts w:hint="eastAsia" w:cs="宋体"/>
          <w:b w:val="0"/>
          <w:bCs/>
          <w:sz w:val="21"/>
          <w:szCs w:val="21"/>
          <w:highlight w:val="none"/>
          <w:lang w:val="en-US" w:eastAsia="zh-CN"/>
        </w:rPr>
        <w:t>甲方</w:t>
      </w:r>
      <w:r>
        <w:rPr>
          <w:rStyle w:val="42"/>
          <w:rFonts w:hint="eastAsia" w:ascii="宋体" w:hAnsi="宋体" w:eastAsia="宋体" w:cs="宋体"/>
          <w:b w:val="0"/>
          <w:bCs/>
          <w:sz w:val="21"/>
          <w:szCs w:val="21"/>
          <w:highlight w:val="none"/>
          <w:lang w:val="en-US" w:eastAsia="zh-CN"/>
        </w:rPr>
        <w:t>不作承诺。</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（五）项目人员要求：</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1、管理人员：乙方须有详细项目管理组织机构，列出项目负责人、项目组主要人员以及项目组组成人员名单。</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2、实施人员：单个具体项目的具体实施人员应根据具体实施项目安排，</w:t>
      </w:r>
      <w:r>
        <w:rPr>
          <w:rFonts w:hint="eastAsia" w:ascii="宋体" w:hAnsi="宋体" w:cs="宋体"/>
          <w:color w:val="auto"/>
          <w:sz w:val="21"/>
          <w:szCs w:val="21"/>
          <w:highlight w:val="none"/>
          <w:lang w:val="en-US" w:eastAsia="zh-CN"/>
        </w:rPr>
        <w:t>特种作业人员需持证上岗</w:t>
      </w:r>
      <w:r>
        <w:rPr>
          <w:rStyle w:val="42"/>
          <w:rFonts w:hint="eastAsia" w:cs="宋体"/>
          <w:b w:val="0"/>
          <w:bCs/>
          <w:sz w:val="21"/>
          <w:szCs w:val="21"/>
          <w:highlight w:val="none"/>
          <w:lang w:val="en-US" w:eastAsia="zh-CN"/>
        </w:rPr>
        <w:t>。</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（六）其他服务要求：</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（1）乙方应与甲方针对单个具体项目各指定合作负责人一名，负责双方日常事务联络、推动、跟踪、落实和检查具体合作活动开展、过程、信息交流等工作。</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2）验收方式：乙方根据单个具体项目的实际需求，组织项目服务人员在约定时间完成各项服务工作，甲方对实施服务开展日常工作监督检查，项目服务工作完成后，由甲方根据单个项目约定的验收标准组织验收。</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cs="宋体"/>
          <w:b w:val="0"/>
          <w:bCs/>
          <w:sz w:val="21"/>
          <w:szCs w:val="21"/>
          <w:highlight w:val="none"/>
          <w:lang w:val="en-US" w:eastAsia="zh-CN"/>
        </w:rPr>
      </w:pPr>
      <w:r>
        <w:rPr>
          <w:rStyle w:val="42"/>
          <w:rFonts w:hint="eastAsia" w:cs="宋体"/>
          <w:b w:val="0"/>
          <w:bCs/>
          <w:sz w:val="21"/>
          <w:szCs w:val="21"/>
          <w:highlight w:val="none"/>
          <w:lang w:val="en-US" w:eastAsia="zh-CN"/>
        </w:rPr>
        <w:t>（3）质量保障要求：乙方应在保证安全和服务质量的前提下开展服务工作，服务过程中的非招标单位造成的一切风险（包括安全责任事故）均由乙方负责承担。</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0" w:firstLineChars="0"/>
        <w:textAlignment w:val="auto"/>
        <w:rPr>
          <w:rStyle w:val="42"/>
          <w:rFonts w:hint="eastAsia" w:ascii="宋体" w:hAnsi="宋体" w:eastAsia="宋体" w:cs="宋体"/>
          <w:sz w:val="21"/>
          <w:szCs w:val="21"/>
        </w:rPr>
      </w:pPr>
      <w:r>
        <w:rPr>
          <w:rStyle w:val="42"/>
          <w:rFonts w:hint="eastAsia" w:ascii="宋体" w:hAnsi="宋体" w:eastAsia="宋体" w:cs="宋体"/>
          <w:b/>
          <w:sz w:val="21"/>
          <w:szCs w:val="21"/>
          <w:lang w:eastAsia="zh-CN"/>
        </w:rPr>
        <w:t>第二条</w:t>
      </w:r>
      <w:r>
        <w:rPr>
          <w:rStyle w:val="42"/>
          <w:rFonts w:hint="eastAsia" w:ascii="宋体" w:hAnsi="宋体" w:eastAsia="宋体" w:cs="宋体"/>
          <w:b/>
          <w:sz w:val="21"/>
          <w:szCs w:val="21"/>
          <w:lang w:val="en-US" w:eastAsia="zh-CN"/>
        </w:rPr>
        <w:t xml:space="preserve">  合同签订及付款方式</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b w:val="0"/>
          <w:bCs w:val="0"/>
          <w:sz w:val="21"/>
          <w:szCs w:val="21"/>
        </w:rPr>
      </w:pPr>
      <w:r>
        <w:rPr>
          <w:rStyle w:val="42"/>
          <w:rFonts w:hint="eastAsia" w:ascii="宋体" w:hAnsi="宋体" w:eastAsia="宋体" w:cs="宋体"/>
          <w:sz w:val="21"/>
          <w:szCs w:val="21"/>
          <w:highlight w:val="none"/>
          <w:lang w:eastAsia="zh-CN"/>
        </w:rPr>
        <w:t>（一）</w:t>
      </w:r>
      <w:r>
        <w:rPr>
          <w:rFonts w:hint="eastAsia" w:ascii="宋体" w:hAnsi="宋体" w:eastAsia="宋体" w:cs="宋体"/>
          <w:b w:val="0"/>
          <w:bCs w:val="0"/>
          <w:sz w:val="21"/>
          <w:szCs w:val="21"/>
          <w:lang w:eastAsia="zh-CN"/>
        </w:rPr>
        <w:t>合同签订：本项目采用“框架入围协议+单项合同”方式。</w:t>
      </w:r>
      <w:r>
        <w:rPr>
          <w:rFonts w:hint="eastAsia" w:cs="宋体"/>
          <w:b w:val="0"/>
          <w:bCs w:val="0"/>
          <w:sz w:val="21"/>
          <w:szCs w:val="21"/>
          <w:lang w:val="en-US" w:eastAsia="zh-CN"/>
        </w:rPr>
        <w:t>甲方</w:t>
      </w:r>
      <w:r>
        <w:rPr>
          <w:rFonts w:hint="eastAsia" w:ascii="宋体" w:hAnsi="宋体" w:eastAsia="宋体" w:cs="宋体"/>
          <w:b w:val="0"/>
          <w:bCs w:val="0"/>
          <w:sz w:val="21"/>
          <w:szCs w:val="21"/>
          <w:lang w:eastAsia="zh-CN"/>
        </w:rPr>
        <w:t>与</w:t>
      </w:r>
      <w:r>
        <w:rPr>
          <w:rFonts w:hint="eastAsia" w:cs="宋体"/>
          <w:b w:val="0"/>
          <w:bCs w:val="0"/>
          <w:sz w:val="21"/>
          <w:szCs w:val="21"/>
          <w:lang w:val="en-US" w:eastAsia="zh-CN"/>
        </w:rPr>
        <w:t>乙方</w:t>
      </w:r>
      <w:r>
        <w:rPr>
          <w:rFonts w:hint="eastAsia" w:ascii="宋体" w:hAnsi="宋体" w:eastAsia="宋体" w:cs="宋体"/>
          <w:b w:val="0"/>
          <w:bCs w:val="0"/>
          <w:sz w:val="21"/>
          <w:szCs w:val="21"/>
          <w:lang w:eastAsia="zh-CN"/>
        </w:rPr>
        <w:t>签署框架入围协议后，根据</w:t>
      </w:r>
      <w:r>
        <w:rPr>
          <w:rFonts w:hint="eastAsia" w:cs="宋体"/>
          <w:b w:val="0"/>
          <w:bCs w:val="0"/>
          <w:sz w:val="21"/>
          <w:szCs w:val="21"/>
          <w:lang w:val="en-US" w:eastAsia="zh-CN"/>
        </w:rPr>
        <w:t>甲方</w:t>
      </w:r>
      <w:r>
        <w:rPr>
          <w:rFonts w:hint="eastAsia" w:ascii="宋体" w:hAnsi="宋体" w:eastAsia="宋体" w:cs="宋体"/>
          <w:b w:val="0"/>
          <w:bCs w:val="0"/>
          <w:sz w:val="21"/>
          <w:szCs w:val="21"/>
          <w:lang w:eastAsia="zh-CN"/>
        </w:rPr>
        <w:t>单个具体项目需求进行报价并签订单项合同</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2"/>
          <w:sz w:val="21"/>
          <w:szCs w:val="21"/>
          <w:shd w:val="clear" w:color="auto" w:fill="auto"/>
          <w:lang w:val="en-US" w:eastAsia="zh-CN" w:bidi="ar"/>
        </w:rPr>
      </w:pPr>
      <w:r>
        <w:rPr>
          <w:rFonts w:hint="eastAsia" w:ascii="宋体" w:hAnsi="宋体" w:eastAsia="宋体" w:cs="宋体"/>
          <w:sz w:val="21"/>
          <w:szCs w:val="21"/>
          <w:highlight w:val="none"/>
          <w:lang w:val="en-US" w:eastAsia="zh-CN"/>
        </w:rPr>
        <w:t>（二）</w:t>
      </w:r>
      <w:r>
        <w:rPr>
          <w:rFonts w:hint="eastAsia" w:ascii="宋体" w:hAnsi="宋体" w:eastAsia="宋体" w:cs="宋体"/>
          <w:color w:val="000000"/>
          <w:kern w:val="2"/>
          <w:sz w:val="21"/>
          <w:szCs w:val="21"/>
          <w:highlight w:val="none"/>
          <w:shd w:val="clear" w:color="auto" w:fill="auto"/>
          <w:lang w:val="en-US" w:eastAsia="zh-CN" w:bidi="ar"/>
        </w:rPr>
        <w:t>付款方式：</w:t>
      </w:r>
      <w:r>
        <w:rPr>
          <w:rFonts w:hint="eastAsia" w:ascii="宋体" w:hAnsi="宋体" w:cs="宋体"/>
          <w:color w:val="000000"/>
          <w:kern w:val="2"/>
          <w:sz w:val="21"/>
          <w:szCs w:val="21"/>
          <w:highlight w:val="none"/>
          <w:shd w:val="clear" w:color="auto" w:fill="auto"/>
          <w:lang w:val="en-US" w:eastAsia="zh-CN" w:bidi="ar"/>
        </w:rPr>
        <w:t>甲方</w:t>
      </w:r>
      <w:r>
        <w:rPr>
          <w:rFonts w:hint="eastAsia" w:ascii="宋体" w:hAnsi="宋体" w:eastAsia="宋体" w:cs="宋体"/>
          <w:color w:val="000000"/>
          <w:kern w:val="2"/>
          <w:sz w:val="21"/>
          <w:szCs w:val="21"/>
          <w:highlight w:val="none"/>
          <w:shd w:val="clear" w:color="auto" w:fill="auto"/>
          <w:lang w:val="en-US" w:eastAsia="zh-CN" w:bidi="ar"/>
        </w:rPr>
        <w:t>根据单项合同与</w:t>
      </w:r>
      <w:r>
        <w:rPr>
          <w:rFonts w:hint="eastAsia" w:ascii="宋体" w:hAnsi="宋体" w:cs="宋体"/>
          <w:color w:val="000000"/>
          <w:kern w:val="2"/>
          <w:sz w:val="21"/>
          <w:szCs w:val="21"/>
          <w:highlight w:val="none"/>
          <w:shd w:val="clear" w:color="auto" w:fill="auto"/>
          <w:lang w:val="en-US" w:eastAsia="zh-CN" w:bidi="ar"/>
        </w:rPr>
        <w:t>乙方</w:t>
      </w:r>
      <w:r>
        <w:rPr>
          <w:rFonts w:hint="eastAsia" w:ascii="宋体" w:hAnsi="宋体" w:eastAsia="宋体" w:cs="宋体"/>
          <w:color w:val="000000"/>
          <w:kern w:val="2"/>
          <w:sz w:val="21"/>
          <w:szCs w:val="21"/>
          <w:highlight w:val="none"/>
          <w:shd w:val="clear" w:color="auto" w:fill="auto"/>
          <w:lang w:val="en-US" w:eastAsia="zh-CN" w:bidi="ar"/>
        </w:rPr>
        <w:t>进行项目结算。</w:t>
      </w:r>
    </w:p>
    <w:p>
      <w:pPr>
        <w:pStyle w:val="2"/>
        <w:keepNext w:val="0"/>
        <w:keepLines w:val="0"/>
        <w:pageBreakBefore w:val="0"/>
        <w:kinsoku/>
        <w:wordWrap w:val="0"/>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（三）</w:t>
      </w:r>
      <w:r>
        <w:rPr>
          <w:rFonts w:hint="eastAsia" w:ascii="宋体" w:hAnsi="宋体" w:eastAsia="宋体" w:cs="宋体"/>
          <w:color w:val="auto"/>
          <w:sz w:val="21"/>
          <w:szCs w:val="21"/>
        </w:rPr>
        <w:t>乙方须</w:t>
      </w:r>
      <w:r>
        <w:rPr>
          <w:rFonts w:hint="eastAsia" w:ascii="宋体" w:hAnsi="宋体" w:eastAsia="宋体" w:cs="宋体"/>
          <w:color w:val="auto"/>
          <w:sz w:val="21"/>
          <w:szCs w:val="21"/>
          <w:lang w:eastAsia="zh-CN"/>
        </w:rPr>
        <w:t>在甲方每次付款前</w:t>
      </w:r>
      <w:r>
        <w:rPr>
          <w:rFonts w:hint="eastAsia" w:ascii="宋体" w:hAnsi="宋体" w:eastAsia="宋体" w:cs="宋体"/>
          <w:color w:val="auto"/>
          <w:sz w:val="21"/>
          <w:szCs w:val="21"/>
        </w:rPr>
        <w:t>按甲方要求及时开具足额正规</w:t>
      </w:r>
      <w:r>
        <w:rPr>
          <w:rFonts w:hint="eastAsia" w:ascii="宋体" w:hAnsi="宋体" w:eastAsia="宋体" w:cs="宋体"/>
          <w:color w:val="auto"/>
          <w:sz w:val="21"/>
          <w:szCs w:val="21"/>
          <w:lang w:eastAsia="zh-CN"/>
        </w:rPr>
        <w:t>的</w:t>
      </w:r>
      <w:r>
        <w:rPr>
          <w:rFonts w:hint="eastAsia" w:ascii="宋体" w:hAnsi="宋体" w:cs="宋体"/>
          <w:color w:val="auto"/>
          <w:sz w:val="21"/>
          <w:szCs w:val="21"/>
          <w:lang w:eastAsia="zh-CN"/>
        </w:rPr>
        <w:t>□</w:t>
      </w:r>
      <w:r>
        <w:rPr>
          <w:rFonts w:hint="eastAsia" w:ascii="宋体" w:hAnsi="宋体" w:eastAsia="宋体" w:cs="宋体"/>
          <w:color w:val="auto"/>
          <w:sz w:val="21"/>
          <w:szCs w:val="21"/>
        </w:rPr>
        <w:t>增值税</w:t>
      </w:r>
      <w:r>
        <w:rPr>
          <w:rFonts w:hint="eastAsia" w:ascii="宋体" w:hAnsi="宋体" w:eastAsia="宋体" w:cs="宋体"/>
          <w:color w:val="auto"/>
          <w:sz w:val="21"/>
          <w:szCs w:val="21"/>
          <w:lang w:eastAsia="zh-CN"/>
        </w:rPr>
        <w:t>专用</w:t>
      </w:r>
      <w:r>
        <w:rPr>
          <w:rFonts w:hint="eastAsia" w:ascii="宋体" w:hAnsi="宋体" w:eastAsia="宋体" w:cs="宋体"/>
          <w:color w:val="auto"/>
          <w:sz w:val="21"/>
          <w:szCs w:val="21"/>
        </w:rPr>
        <w:t>发票</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增值税普通发票</w:t>
      </w:r>
      <w:r>
        <w:rPr>
          <w:rFonts w:hint="eastAsia" w:ascii="宋体" w:hAnsi="宋体" w:eastAsia="宋体" w:cs="宋体"/>
          <w:color w:val="auto"/>
          <w:sz w:val="21"/>
          <w:szCs w:val="21"/>
        </w:rPr>
        <w:t>。</w:t>
      </w:r>
      <w:r>
        <w:rPr>
          <w:rFonts w:hint="eastAsia" w:ascii="宋体" w:hAnsi="宋体" w:eastAsia="宋体" w:cs="宋体"/>
          <w:color w:val="000000"/>
          <w:kern w:val="0"/>
          <w:sz w:val="21"/>
          <w:szCs w:val="21"/>
          <w:lang w:val="en-US" w:eastAsia="zh-CN" w:bidi="ar"/>
        </w:rPr>
        <w:t>如因乙方提供发票时间延迟则甲方有权顺延付款时间且不承担逾期付款违约责任。</w:t>
      </w:r>
    </w:p>
    <w:p>
      <w:pPr>
        <w:pStyle w:val="2"/>
        <w:keepNext w:val="0"/>
        <w:keepLines w:val="0"/>
        <w:pageBreakBefore w:val="0"/>
        <w:kinsoku/>
        <w:wordWrap w:val="0"/>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（四）</w:t>
      </w:r>
      <w:r>
        <w:rPr>
          <w:rFonts w:hint="eastAsia" w:ascii="宋体" w:hAnsi="宋体" w:eastAsia="宋体" w:cs="宋体"/>
          <w:sz w:val="21"/>
          <w:szCs w:val="21"/>
          <w:highlight w:val="none"/>
          <w:lang w:val="en-US" w:eastAsia="zh-CN"/>
        </w:rPr>
        <w:t>本合同有效期内，如一方需要改变结算账户及发票信息，应提前十五天以加盖合同专用章或公司章的书面文件通知对方。如一方未按本合同规定通知而遭受损失的自行承担，若使另外一方遭受损失的，应赔偿相应损失。</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b/>
          <w:sz w:val="21"/>
          <w:szCs w:val="21"/>
          <w:lang w:eastAsia="zh-CN"/>
        </w:rPr>
      </w:pPr>
      <w:r>
        <w:rPr>
          <w:rFonts w:hint="eastAsia" w:ascii="宋体" w:hAnsi="宋体" w:eastAsia="宋体" w:cs="宋体"/>
          <w:sz w:val="21"/>
          <w:szCs w:val="21"/>
          <w:highlight w:val="none"/>
          <w:lang w:val="en-US" w:eastAsia="zh-CN"/>
        </w:rPr>
        <w:t>（五）双方结算账户及发票信息如下。</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甲方开票账户信息</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名称：广东南方日报展示科技有限公司</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纳税人识别号：91440101076547360U</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开户银行：中国农业银行股份有限公司广州五羊新城支行</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银行账号：44030401040002721</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w:t>
      </w:r>
      <w:r>
        <w:rPr>
          <w:rFonts w:hint="eastAsia"/>
          <w:highlight w:val="none"/>
        </w:rPr>
        <w:t>广东省广州市</w:t>
      </w:r>
      <w:r>
        <w:rPr>
          <w:rFonts w:hint="eastAsia" w:ascii="宋体" w:hAnsi="宋体" w:eastAsia="宋体" w:cs="宋体"/>
          <w:sz w:val="21"/>
          <w:szCs w:val="21"/>
          <w:lang w:val="en-US" w:eastAsia="zh-CN"/>
        </w:rPr>
        <w:t xml:space="preserve">黄埔区黄埔大道东888号22层自编02单元05室                       </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电话：020-87397888</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2、乙方银行账户信息</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纳税人识别号：</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w:t>
      </w:r>
    </w:p>
    <w:p>
      <w:pPr>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地址：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w:t>
      </w:r>
    </w:p>
    <w:p>
      <w:pPr>
        <w:keepNext w:val="0"/>
        <w:keepLines w:val="0"/>
        <w:pageBreakBefore w:val="0"/>
        <w:kinsoku/>
        <w:overflowPunct/>
        <w:topLinePunct w:val="0"/>
        <w:autoSpaceDE/>
        <w:autoSpaceDN/>
        <w:bidi w:val="0"/>
        <w:spacing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第三条</w:t>
      </w: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rPr>
        <w:t>双方的责任</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（一）</w:t>
      </w:r>
      <w:r>
        <w:rPr>
          <w:rStyle w:val="42"/>
          <w:rFonts w:hint="eastAsia" w:ascii="宋体" w:hAnsi="宋体" w:eastAsia="宋体" w:cs="宋体"/>
          <w:sz w:val="21"/>
          <w:szCs w:val="21"/>
        </w:rPr>
        <w:t>甲方责任</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val="en-US" w:eastAsia="zh-CN"/>
        </w:rPr>
        <w:t>1、</w:t>
      </w:r>
      <w:r>
        <w:rPr>
          <w:rFonts w:hint="eastAsia" w:ascii="宋体" w:hAnsi="宋体" w:eastAsia="宋体" w:cs="宋体"/>
          <w:sz w:val="21"/>
          <w:szCs w:val="21"/>
        </w:rPr>
        <w:t>根据项目进度向乙方提供</w:t>
      </w:r>
      <w:r>
        <w:rPr>
          <w:rStyle w:val="42"/>
          <w:rFonts w:hint="eastAsia" w:ascii="宋体" w:hAnsi="宋体" w:eastAsia="宋体" w:cs="宋体"/>
          <w:sz w:val="21"/>
          <w:szCs w:val="21"/>
        </w:rPr>
        <w:t>设计方案、施工图纸及服务清单</w:t>
      </w:r>
      <w:r>
        <w:rPr>
          <w:rStyle w:val="42"/>
          <w:rFonts w:hint="eastAsia" w:ascii="宋体" w:hAnsi="宋体" w:eastAsia="宋体" w:cs="宋体"/>
          <w:sz w:val="21"/>
          <w:szCs w:val="21"/>
          <w:lang w:eastAsia="zh-CN"/>
        </w:rPr>
        <w:t>。</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协助办理进场手续，移交施工场地</w:t>
      </w:r>
      <w:r>
        <w:rPr>
          <w:rStyle w:val="42"/>
          <w:rFonts w:hint="eastAsia" w:ascii="宋体" w:hAnsi="宋体" w:eastAsia="宋体" w:cs="宋体"/>
          <w:sz w:val="21"/>
          <w:szCs w:val="21"/>
        </w:rPr>
        <w:t>。</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val="en-US" w:eastAsia="zh-CN"/>
        </w:rPr>
        <w:t>3、对项目实施过程进行检查监督，发现问题及时督促乙方进行整改。</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val="en-US" w:eastAsia="zh-CN"/>
        </w:rPr>
        <w:t>4、依照合同约定</w:t>
      </w:r>
      <w:r>
        <w:rPr>
          <w:rStyle w:val="42"/>
          <w:rFonts w:hint="eastAsia" w:ascii="宋体" w:hAnsi="宋体" w:eastAsia="宋体" w:cs="宋体"/>
          <w:sz w:val="21"/>
          <w:szCs w:val="21"/>
        </w:rPr>
        <w:t>支付</w:t>
      </w:r>
      <w:r>
        <w:rPr>
          <w:rStyle w:val="42"/>
          <w:rFonts w:hint="eastAsia" w:ascii="宋体" w:hAnsi="宋体" w:eastAsia="宋体" w:cs="宋体"/>
          <w:sz w:val="21"/>
          <w:szCs w:val="21"/>
          <w:lang w:eastAsia="zh-CN"/>
        </w:rPr>
        <w:t>合同</w:t>
      </w:r>
      <w:r>
        <w:rPr>
          <w:rStyle w:val="42"/>
          <w:rFonts w:hint="eastAsia" w:ascii="宋体" w:hAnsi="宋体" w:eastAsia="宋体" w:cs="宋体"/>
          <w:sz w:val="21"/>
          <w:szCs w:val="21"/>
        </w:rPr>
        <w:t>款项。</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5、</w:t>
      </w:r>
      <w:r>
        <w:rPr>
          <w:rStyle w:val="42"/>
          <w:rFonts w:hint="eastAsia" w:ascii="宋体" w:hAnsi="宋体" w:eastAsia="宋体" w:cs="宋体"/>
          <w:sz w:val="21"/>
          <w:szCs w:val="21"/>
        </w:rPr>
        <w:t>委托</w:t>
      </w:r>
      <w:r>
        <w:rPr>
          <w:rStyle w:val="42"/>
          <w:rFonts w:hint="eastAsia" w:ascii="宋体" w:hAnsi="宋体" w:eastAsia="宋体" w:cs="宋体"/>
          <w:sz w:val="21"/>
          <w:szCs w:val="21"/>
          <w:u w:val="single"/>
        </w:rPr>
        <w:t xml:space="preserve"> </w:t>
      </w:r>
      <w:r>
        <w:rPr>
          <w:rStyle w:val="42"/>
          <w:rFonts w:hint="eastAsia" w:ascii="宋体" w:hAnsi="宋体" w:eastAsia="宋体" w:cs="宋体"/>
          <w:sz w:val="21"/>
          <w:szCs w:val="21"/>
          <w:u w:val="single"/>
          <w:lang w:val="en-US" w:eastAsia="zh-CN"/>
        </w:rPr>
        <w:t xml:space="preserve">     </w:t>
      </w:r>
      <w:r>
        <w:rPr>
          <w:rStyle w:val="42"/>
          <w:rFonts w:hint="eastAsia" w:ascii="宋体" w:hAnsi="宋体" w:eastAsia="宋体" w:cs="宋体"/>
          <w:sz w:val="21"/>
          <w:szCs w:val="21"/>
          <w:u w:val="single"/>
        </w:rPr>
        <w:t xml:space="preserve"> </w:t>
      </w:r>
      <w:r>
        <w:rPr>
          <w:rStyle w:val="42"/>
          <w:rFonts w:hint="eastAsia" w:ascii="宋体" w:hAnsi="宋体" w:eastAsia="宋体" w:cs="宋体"/>
          <w:sz w:val="21"/>
          <w:szCs w:val="21"/>
        </w:rPr>
        <w:t>为甲方代表，跟进</w:t>
      </w:r>
      <w:r>
        <w:rPr>
          <w:rStyle w:val="42"/>
          <w:rFonts w:hint="eastAsia" w:ascii="宋体" w:hAnsi="宋体" w:eastAsia="宋体" w:cs="宋体"/>
          <w:sz w:val="21"/>
          <w:szCs w:val="21"/>
          <w:lang w:eastAsia="zh-CN"/>
        </w:rPr>
        <w:t>与乙方沟通联络的有关</w:t>
      </w:r>
      <w:r>
        <w:rPr>
          <w:rStyle w:val="42"/>
          <w:rFonts w:hint="eastAsia" w:ascii="宋体" w:hAnsi="宋体" w:eastAsia="宋体" w:cs="宋体"/>
          <w:sz w:val="21"/>
          <w:szCs w:val="21"/>
        </w:rPr>
        <w:t>事宜</w:t>
      </w:r>
      <w:r>
        <w:rPr>
          <w:rStyle w:val="42"/>
          <w:rFonts w:hint="eastAsia" w:ascii="宋体" w:hAnsi="宋体" w:eastAsia="宋体" w:cs="宋体"/>
          <w:sz w:val="21"/>
          <w:szCs w:val="21"/>
          <w:lang w:eastAsia="zh-CN"/>
        </w:rPr>
        <w:t>，联系邮箱：</w:t>
      </w:r>
      <w:r>
        <w:rPr>
          <w:rStyle w:val="42"/>
          <w:rFonts w:hint="eastAsia" w:ascii="宋体" w:hAnsi="宋体" w:eastAsia="宋体" w:cs="宋体"/>
          <w:sz w:val="21"/>
          <w:szCs w:val="21"/>
          <w:u w:val="single"/>
          <w:lang w:val="en-US" w:eastAsia="zh-CN"/>
        </w:rPr>
        <w:t xml:space="preserve">                   </w:t>
      </w:r>
      <w:r>
        <w:rPr>
          <w:rStyle w:val="42"/>
          <w:rFonts w:hint="eastAsia" w:ascii="宋体" w:hAnsi="宋体" w:eastAsia="宋体" w:cs="宋体"/>
          <w:sz w:val="21"/>
          <w:szCs w:val="21"/>
          <w:lang w:val="en-US" w:eastAsia="zh-CN"/>
        </w:rPr>
        <w:t>，联系电话：</w:t>
      </w:r>
      <w:r>
        <w:rPr>
          <w:rStyle w:val="42"/>
          <w:rFonts w:hint="eastAsia" w:ascii="宋体" w:hAnsi="宋体" w:eastAsia="宋体" w:cs="宋体"/>
          <w:sz w:val="21"/>
          <w:szCs w:val="21"/>
          <w:u w:val="single"/>
          <w:lang w:val="en-US" w:eastAsia="zh-CN"/>
        </w:rPr>
        <w:t xml:space="preserve">            </w:t>
      </w:r>
      <w:r>
        <w:rPr>
          <w:rStyle w:val="42"/>
          <w:rFonts w:hint="eastAsia" w:ascii="宋体" w:hAnsi="宋体" w:eastAsia="宋体" w:cs="宋体"/>
          <w:sz w:val="21"/>
          <w:szCs w:val="21"/>
          <w:lang w:val="en-US" w:eastAsia="zh-CN"/>
        </w:rPr>
        <w:t>。</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（二）乙方责任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1、</w:t>
      </w:r>
      <w:r>
        <w:rPr>
          <w:rFonts w:hint="eastAsia" w:ascii="宋体" w:hAnsi="宋体" w:eastAsia="宋体" w:cs="宋体"/>
          <w:color w:val="000000"/>
          <w:sz w:val="21"/>
          <w:szCs w:val="21"/>
        </w:rPr>
        <w:t>严格按照</w:t>
      </w:r>
      <w:r>
        <w:rPr>
          <w:rFonts w:hint="eastAsia" w:ascii="宋体" w:hAnsi="宋体" w:eastAsia="宋体" w:cs="宋体"/>
          <w:color w:val="000000"/>
          <w:sz w:val="21"/>
          <w:szCs w:val="21"/>
          <w:lang w:eastAsia="zh-CN"/>
        </w:rPr>
        <w:t>甲方确认的</w:t>
      </w:r>
      <w:r>
        <w:rPr>
          <w:rFonts w:hint="eastAsia" w:ascii="宋体" w:hAnsi="宋体" w:eastAsia="宋体" w:cs="宋体"/>
          <w:color w:val="000000"/>
          <w:sz w:val="21"/>
          <w:szCs w:val="21"/>
        </w:rPr>
        <w:t>设计</w:t>
      </w:r>
      <w:r>
        <w:rPr>
          <w:rFonts w:hint="eastAsia" w:ascii="宋体" w:hAnsi="宋体" w:eastAsia="宋体" w:cs="宋体"/>
          <w:color w:val="000000"/>
          <w:sz w:val="21"/>
          <w:szCs w:val="21"/>
          <w:lang w:eastAsia="zh-CN"/>
        </w:rPr>
        <w:t>方案、施工图等开展项目实施工作</w:t>
      </w:r>
      <w:r>
        <w:rPr>
          <w:rFonts w:hint="eastAsia" w:ascii="宋体" w:hAnsi="宋体" w:eastAsia="宋体" w:cs="宋体"/>
          <w:color w:val="000000"/>
          <w:sz w:val="21"/>
          <w:szCs w:val="21"/>
        </w:rPr>
        <w:t>，并接受甲方对项目质量、工期、安全、环保及工地纪律的管制。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color w:val="auto"/>
          <w:sz w:val="21"/>
          <w:szCs w:val="21"/>
        </w:rPr>
        <w:t>严格遵守</w:t>
      </w:r>
      <w:r>
        <w:rPr>
          <w:rFonts w:hint="eastAsia" w:ascii="宋体" w:hAnsi="宋体" w:eastAsia="宋体" w:cs="宋体"/>
          <w:color w:val="auto"/>
          <w:sz w:val="21"/>
          <w:szCs w:val="21"/>
          <w:lang w:eastAsia="zh-CN"/>
        </w:rPr>
        <w:t>项目地点</w:t>
      </w:r>
      <w:r>
        <w:rPr>
          <w:rFonts w:hint="eastAsia" w:ascii="宋体" w:hAnsi="宋体" w:eastAsia="宋体" w:cs="宋体"/>
          <w:color w:val="auto"/>
          <w:sz w:val="21"/>
          <w:szCs w:val="21"/>
        </w:rPr>
        <w:t>当地政府职能部门的各项规章制度，</w:t>
      </w:r>
      <w:r>
        <w:rPr>
          <w:rStyle w:val="42"/>
          <w:rFonts w:hint="eastAsia" w:ascii="宋体" w:hAnsi="宋体" w:eastAsia="宋体" w:cs="宋体"/>
          <w:sz w:val="21"/>
          <w:szCs w:val="21"/>
          <w:lang w:val="en-US" w:eastAsia="zh-CN"/>
        </w:rPr>
        <w:t>严格执行施工规范、质量标准、安全操作规范、防火安全规范、环境保护规定及物业管理规定等</w:t>
      </w:r>
      <w:r>
        <w:rPr>
          <w:rFonts w:hint="eastAsia" w:ascii="宋体" w:hAnsi="宋体" w:eastAsia="宋体" w:cs="宋体"/>
          <w:color w:val="000000"/>
          <w:sz w:val="21"/>
          <w:szCs w:val="21"/>
        </w:rPr>
        <w:t>，</w:t>
      </w:r>
      <w:r>
        <w:rPr>
          <w:rFonts w:hint="eastAsia" w:ascii="宋体" w:hAnsi="宋体" w:eastAsia="宋体" w:cs="宋体"/>
          <w:sz w:val="21"/>
          <w:szCs w:val="21"/>
        </w:rPr>
        <w:t>规范项目实施过程</w:t>
      </w:r>
      <w:r>
        <w:rPr>
          <w:rFonts w:hint="eastAsia" w:ascii="宋体" w:hAnsi="宋体" w:eastAsia="宋体" w:cs="宋体"/>
          <w:sz w:val="21"/>
          <w:szCs w:val="21"/>
          <w:lang w:eastAsia="zh-CN"/>
        </w:rPr>
        <w:t>。</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Style w:val="42"/>
          <w:rFonts w:hint="eastAsia" w:ascii="宋体" w:hAnsi="宋体" w:eastAsia="宋体" w:cs="宋体"/>
          <w:sz w:val="21"/>
          <w:szCs w:val="21"/>
          <w:highlight w:val="none"/>
        </w:rPr>
      </w:pPr>
      <w:r>
        <w:rPr>
          <w:rFonts w:hint="eastAsia" w:ascii="宋体" w:hAnsi="宋体" w:eastAsia="宋体" w:cs="宋体"/>
          <w:sz w:val="21"/>
          <w:szCs w:val="21"/>
          <w:lang w:val="en-US" w:eastAsia="zh-CN"/>
        </w:rPr>
        <w:t>3、作为</w:t>
      </w:r>
      <w:r>
        <w:rPr>
          <w:rFonts w:hint="eastAsia" w:ascii="宋体" w:hAnsi="宋体" w:eastAsia="宋体" w:cs="宋体"/>
          <w:color w:val="000000"/>
          <w:kern w:val="0"/>
          <w:sz w:val="21"/>
          <w:szCs w:val="21"/>
          <w:lang w:val="en-US" w:eastAsia="zh-CN" w:bidi="ar"/>
        </w:rPr>
        <w:t>项目实施现场的安全责任主体，负责实施现场的全部安全管理工作，并承担安全管理责任。乙方应</w:t>
      </w:r>
      <w:r>
        <w:rPr>
          <w:rFonts w:hint="eastAsia" w:ascii="宋体" w:hAnsi="宋体" w:eastAsia="宋体" w:cs="宋体"/>
          <w:sz w:val="21"/>
          <w:szCs w:val="21"/>
        </w:rPr>
        <w:t>建立健全</w:t>
      </w:r>
      <w:r>
        <w:rPr>
          <w:rFonts w:hint="eastAsia" w:ascii="宋体" w:hAnsi="宋体" w:eastAsia="宋体" w:cs="宋体"/>
          <w:sz w:val="21"/>
          <w:szCs w:val="21"/>
          <w:lang w:eastAsia="zh-CN"/>
        </w:rPr>
        <w:t>安全生产</w:t>
      </w:r>
      <w:r>
        <w:rPr>
          <w:rFonts w:hint="eastAsia" w:ascii="宋体" w:hAnsi="宋体" w:eastAsia="宋体" w:cs="宋体"/>
          <w:sz w:val="21"/>
          <w:szCs w:val="21"/>
        </w:rPr>
        <w:t>管理体系，</w:t>
      </w:r>
      <w:r>
        <w:rPr>
          <w:rFonts w:hint="eastAsia" w:ascii="宋体" w:hAnsi="宋体" w:eastAsia="宋体" w:cs="宋体"/>
          <w:color w:val="000000"/>
          <w:kern w:val="0"/>
          <w:sz w:val="21"/>
          <w:szCs w:val="21"/>
          <w:lang w:val="en-US" w:eastAsia="zh-CN" w:bidi="ar"/>
        </w:rPr>
        <w:t>严格按安全生产标准组织实施，采取必要的安全防护措施，</w:t>
      </w:r>
      <w:r>
        <w:rPr>
          <w:rFonts w:hint="eastAsia" w:ascii="宋体" w:hAnsi="宋体" w:eastAsia="宋体" w:cs="宋体"/>
          <w:color w:val="000000"/>
          <w:sz w:val="21"/>
          <w:szCs w:val="21"/>
        </w:rPr>
        <w:t>防止因</w:t>
      </w:r>
      <w:r>
        <w:rPr>
          <w:rFonts w:hint="eastAsia" w:ascii="宋体" w:hAnsi="宋体" w:eastAsia="宋体" w:cs="宋体"/>
          <w:color w:val="000000"/>
          <w:sz w:val="21"/>
          <w:szCs w:val="21"/>
          <w:lang w:eastAsia="zh-CN"/>
        </w:rPr>
        <w:t>施工</w:t>
      </w:r>
      <w:r>
        <w:rPr>
          <w:rFonts w:hint="eastAsia" w:ascii="宋体" w:hAnsi="宋体" w:eastAsia="宋体" w:cs="宋体"/>
          <w:color w:val="000000"/>
          <w:sz w:val="21"/>
          <w:szCs w:val="21"/>
        </w:rPr>
        <w:t>造成人身伤害和财产损失。</w:t>
      </w:r>
      <w:r>
        <w:rPr>
          <w:rFonts w:hint="eastAsia" w:ascii="宋体" w:hAnsi="宋体" w:eastAsia="宋体" w:cs="宋体"/>
          <w:color w:val="000000"/>
          <w:sz w:val="21"/>
          <w:szCs w:val="21"/>
          <w:lang w:eastAsia="zh-CN"/>
        </w:rPr>
        <w:t>乙方应确保现场施工作业人员具备</w:t>
      </w:r>
      <w:r>
        <w:rPr>
          <w:rFonts w:hint="eastAsia" w:ascii="宋体" w:hAnsi="宋体" w:eastAsia="宋体" w:cs="宋体"/>
          <w:color w:val="000000"/>
          <w:kern w:val="0"/>
          <w:sz w:val="21"/>
          <w:szCs w:val="21"/>
          <w:lang w:val="en-US" w:eastAsia="zh-CN" w:bidi="ar"/>
        </w:rPr>
        <w:t>相适应的资格证书，</w:t>
      </w:r>
      <w:r>
        <w:rPr>
          <w:rFonts w:hint="eastAsia" w:ascii="宋体" w:hAnsi="宋体" w:eastAsia="宋体" w:cs="宋体"/>
          <w:color w:val="000000"/>
          <w:kern w:val="0"/>
          <w:sz w:val="21"/>
          <w:szCs w:val="21"/>
          <w:highlight w:val="none"/>
          <w:lang w:val="en-US" w:eastAsia="zh-CN" w:bidi="ar"/>
        </w:rPr>
        <w:t>并</w:t>
      </w:r>
      <w:r>
        <w:rPr>
          <w:rStyle w:val="42"/>
          <w:rFonts w:hint="eastAsia" w:ascii="宋体" w:hAnsi="宋体" w:eastAsia="宋体" w:cs="宋体"/>
          <w:sz w:val="21"/>
          <w:szCs w:val="21"/>
          <w:highlight w:val="none"/>
          <w:lang w:val="en-US" w:eastAsia="zh-CN"/>
        </w:rPr>
        <w:t>为其办理工伤保险或人身意外伤害保险</w:t>
      </w:r>
      <w:r>
        <w:rPr>
          <w:rStyle w:val="42"/>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项目所使用的材料及施工要</w:t>
      </w:r>
      <w:r>
        <w:rPr>
          <w:rFonts w:hint="eastAsia" w:ascii="宋体" w:hAnsi="宋体" w:eastAsia="宋体" w:cs="宋体"/>
          <w:color w:val="000000"/>
          <w:sz w:val="21"/>
          <w:szCs w:val="21"/>
          <w:lang w:eastAsia="zh-CN"/>
        </w:rPr>
        <w:t>符合</w:t>
      </w:r>
      <w:r>
        <w:rPr>
          <w:rFonts w:hint="eastAsia" w:ascii="宋体" w:hAnsi="宋体" w:eastAsia="宋体" w:cs="宋体"/>
          <w:color w:val="000000"/>
          <w:sz w:val="21"/>
          <w:szCs w:val="21"/>
        </w:rPr>
        <w:t>消防部门要求，项目期间配备专职安全人员，配置一定数量的消防器材，建立安全用电制度。</w:t>
      </w:r>
      <w:r>
        <w:rPr>
          <w:rFonts w:hint="eastAsia" w:ascii="宋体" w:hAnsi="宋体" w:eastAsia="宋体" w:cs="宋体"/>
          <w:color w:val="000000"/>
          <w:sz w:val="21"/>
          <w:szCs w:val="21"/>
          <w:lang w:eastAsia="zh-CN"/>
        </w:rPr>
        <w:t>施工</w:t>
      </w:r>
      <w:r>
        <w:rPr>
          <w:rFonts w:hint="eastAsia" w:ascii="宋体" w:hAnsi="宋体" w:eastAsia="宋体" w:cs="宋体"/>
          <w:color w:val="000000"/>
          <w:sz w:val="21"/>
          <w:szCs w:val="21"/>
        </w:rPr>
        <w:t>过程中如</w:t>
      </w:r>
      <w:r>
        <w:rPr>
          <w:rFonts w:hint="eastAsia" w:ascii="宋体" w:hAnsi="宋体" w:eastAsia="宋体" w:cs="宋体"/>
          <w:color w:val="000000"/>
          <w:sz w:val="21"/>
          <w:szCs w:val="21"/>
          <w:lang w:eastAsia="zh-CN"/>
        </w:rPr>
        <w:t>对</w:t>
      </w:r>
      <w:r>
        <w:rPr>
          <w:rFonts w:hint="eastAsia" w:ascii="宋体" w:hAnsi="宋体" w:eastAsia="宋体" w:cs="宋体"/>
          <w:color w:val="000000"/>
          <w:sz w:val="21"/>
          <w:szCs w:val="21"/>
        </w:rPr>
        <w:t>消防设施</w:t>
      </w:r>
      <w:r>
        <w:rPr>
          <w:rFonts w:hint="eastAsia" w:ascii="宋体" w:hAnsi="宋体" w:eastAsia="宋体" w:cs="宋体"/>
          <w:color w:val="000000"/>
          <w:sz w:val="21"/>
          <w:szCs w:val="21"/>
          <w:lang w:eastAsia="zh-CN"/>
        </w:rPr>
        <w:t>有损坏移位</w:t>
      </w:r>
      <w:r>
        <w:rPr>
          <w:rFonts w:hint="eastAsia" w:ascii="宋体" w:hAnsi="宋体" w:eastAsia="宋体" w:cs="宋体"/>
          <w:color w:val="000000"/>
          <w:sz w:val="21"/>
          <w:szCs w:val="21"/>
        </w:rPr>
        <w:t>，需</w:t>
      </w:r>
      <w:r>
        <w:rPr>
          <w:rFonts w:hint="eastAsia" w:ascii="宋体" w:hAnsi="宋体" w:eastAsia="宋体" w:cs="宋体"/>
          <w:color w:val="000000"/>
          <w:sz w:val="21"/>
          <w:szCs w:val="21"/>
          <w:lang w:eastAsia="zh-CN"/>
        </w:rPr>
        <w:t>及时按要求</w:t>
      </w:r>
      <w:r>
        <w:rPr>
          <w:rFonts w:hint="eastAsia" w:ascii="宋体" w:hAnsi="宋体" w:eastAsia="宋体" w:cs="宋体"/>
          <w:color w:val="000000"/>
          <w:sz w:val="21"/>
          <w:szCs w:val="21"/>
        </w:rPr>
        <w:t>恢复原状。</w:t>
      </w:r>
    </w:p>
    <w:p>
      <w:pPr>
        <w:pStyle w:val="2"/>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乙方及乙方项目服务人员不得以甲方名义开展任何非本合同约定的活动</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乙方不得将本合同项目内项目服务工作分包、转包或变相转包</w:t>
      </w:r>
      <w:r>
        <w:rPr>
          <w:rFonts w:hint="eastAsia" w:ascii="宋体" w:hAnsi="宋体" w:eastAsia="宋体" w:cs="宋体"/>
          <w:b w:val="0"/>
          <w:bCs/>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6、</w:t>
      </w:r>
      <w:r>
        <w:rPr>
          <w:rFonts w:hint="eastAsia" w:ascii="宋体" w:hAnsi="宋体" w:eastAsia="宋体" w:cs="宋体"/>
          <w:color w:val="000000"/>
          <w:sz w:val="21"/>
          <w:szCs w:val="21"/>
        </w:rPr>
        <w:t>委托</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作为</w:t>
      </w:r>
      <w:r>
        <w:rPr>
          <w:rFonts w:hint="eastAsia" w:ascii="宋体" w:hAnsi="宋体" w:eastAsia="宋体" w:cs="宋体"/>
          <w:color w:val="000000"/>
          <w:sz w:val="21"/>
          <w:szCs w:val="21"/>
          <w:lang w:eastAsia="zh-CN"/>
        </w:rPr>
        <w:t>乙方代表</w:t>
      </w:r>
      <w:r>
        <w:rPr>
          <w:rFonts w:hint="eastAsia" w:ascii="宋体" w:hAnsi="宋体" w:eastAsia="宋体" w:cs="宋体"/>
          <w:color w:val="000000"/>
          <w:sz w:val="21"/>
          <w:szCs w:val="21"/>
        </w:rPr>
        <w:t>，负责</w:t>
      </w:r>
      <w:r>
        <w:rPr>
          <w:rFonts w:hint="eastAsia" w:ascii="宋体" w:hAnsi="宋体" w:eastAsia="宋体" w:cs="宋体"/>
          <w:color w:val="000000"/>
          <w:sz w:val="21"/>
          <w:szCs w:val="21"/>
          <w:lang w:eastAsia="zh-CN"/>
        </w:rPr>
        <w:t>与甲方代表人员联络，联系</w:t>
      </w:r>
      <w:r>
        <w:rPr>
          <w:rFonts w:hint="eastAsia" w:ascii="宋体" w:hAnsi="宋体" w:eastAsia="宋体" w:cs="宋体"/>
          <w:color w:val="000000"/>
          <w:sz w:val="21"/>
          <w:szCs w:val="21"/>
        </w:rPr>
        <w:t>邮箱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41"/>
        <w:keepNext w:val="0"/>
        <w:keepLines w:val="0"/>
        <w:pageBreakBefore w:val="0"/>
        <w:numPr>
          <w:ilvl w:val="0"/>
          <w:numId w:val="0"/>
        </w:numPr>
        <w:kinsoku/>
        <w:wordWrap w:val="0"/>
        <w:overflowPunct/>
        <w:topLinePunct w:val="0"/>
        <w:autoSpaceDE/>
        <w:autoSpaceDN/>
        <w:bidi w:val="0"/>
        <w:adjustRightInd w:val="0"/>
        <w:snapToGrid w:val="0"/>
        <w:spacing w:before="0" w:beforeAutospacing="0" w:after="0" w:afterAutospacing="0" w:line="360" w:lineRule="auto"/>
        <w:ind w:firstLine="0" w:firstLineChars="0"/>
        <w:textAlignment w:val="auto"/>
        <w:rPr>
          <w:rStyle w:val="42"/>
          <w:rFonts w:hint="eastAsia" w:ascii="宋体" w:hAnsi="宋体" w:eastAsia="宋体" w:cs="宋体"/>
          <w:b/>
          <w:sz w:val="21"/>
          <w:szCs w:val="21"/>
        </w:rPr>
      </w:pPr>
      <w:r>
        <w:rPr>
          <w:rFonts w:hint="eastAsia" w:ascii="宋体" w:hAnsi="宋体" w:eastAsia="宋体" w:cs="宋体"/>
          <w:b/>
          <w:bCs/>
          <w:color w:val="000000"/>
          <w:sz w:val="21"/>
          <w:szCs w:val="21"/>
          <w:lang w:eastAsia="zh-CN"/>
        </w:rPr>
        <w:t>第四条</w:t>
      </w:r>
      <w:r>
        <w:rPr>
          <w:rFonts w:hint="eastAsia" w:ascii="宋体" w:hAnsi="宋体" w:eastAsia="宋体" w:cs="宋体"/>
          <w:color w:val="000000"/>
          <w:sz w:val="21"/>
          <w:szCs w:val="21"/>
          <w:lang w:val="en-US" w:eastAsia="zh-CN"/>
        </w:rPr>
        <w:t xml:space="preserve"> </w:t>
      </w: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lang w:eastAsia="zh-CN"/>
        </w:rPr>
        <w:t>项目实施</w:t>
      </w:r>
      <w:r>
        <w:rPr>
          <w:rStyle w:val="42"/>
          <w:rFonts w:hint="eastAsia" w:ascii="宋体" w:hAnsi="宋体" w:eastAsia="宋体" w:cs="宋体"/>
          <w:b/>
          <w:sz w:val="21"/>
          <w:szCs w:val="21"/>
        </w:rPr>
        <w:t>与变更</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0" w:firstLineChars="0"/>
        <w:textAlignment w:val="auto"/>
        <w:rPr>
          <w:rStyle w:val="42"/>
          <w:rFonts w:hint="eastAsia" w:ascii="宋体" w:hAnsi="宋体" w:eastAsia="宋体" w:cs="宋体"/>
          <w:sz w:val="21"/>
          <w:szCs w:val="21"/>
        </w:rPr>
      </w:pP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sz w:val="21"/>
          <w:szCs w:val="21"/>
          <w:lang w:eastAsia="zh-CN"/>
        </w:rPr>
        <w:t>（一）甲方确认设计施工图后，乙方应</w:t>
      </w:r>
      <w:r>
        <w:rPr>
          <w:rStyle w:val="42"/>
          <w:rFonts w:hint="eastAsia" w:ascii="宋体" w:hAnsi="宋体" w:eastAsia="宋体" w:cs="宋体"/>
          <w:sz w:val="21"/>
          <w:szCs w:val="21"/>
        </w:rPr>
        <w:t>按图施工，任意一方不得随意修改变更</w:t>
      </w:r>
      <w:r>
        <w:rPr>
          <w:rStyle w:val="42"/>
          <w:rFonts w:hint="eastAsia" w:ascii="宋体" w:hAnsi="宋体" w:eastAsia="宋体" w:cs="宋体"/>
          <w:sz w:val="21"/>
          <w:szCs w:val="21"/>
          <w:lang w:eastAsia="zh-CN"/>
        </w:rPr>
        <w:t>。</w:t>
      </w:r>
      <w:r>
        <w:rPr>
          <w:rStyle w:val="42"/>
          <w:rFonts w:hint="eastAsia" w:ascii="宋体" w:hAnsi="宋体" w:eastAsia="宋体" w:cs="宋体"/>
          <w:sz w:val="21"/>
          <w:szCs w:val="21"/>
        </w:rPr>
        <w:t>甲方</w:t>
      </w:r>
      <w:r>
        <w:rPr>
          <w:rStyle w:val="42"/>
          <w:rFonts w:hint="eastAsia" w:ascii="宋体" w:hAnsi="宋体" w:eastAsia="宋体" w:cs="宋体"/>
          <w:sz w:val="21"/>
          <w:szCs w:val="21"/>
          <w:lang w:eastAsia="zh-CN"/>
        </w:rPr>
        <w:t>在施工中</w:t>
      </w:r>
      <w:r>
        <w:rPr>
          <w:rStyle w:val="42"/>
          <w:rFonts w:hint="eastAsia" w:ascii="宋体" w:hAnsi="宋体" w:eastAsia="宋体" w:cs="宋体"/>
          <w:sz w:val="21"/>
          <w:szCs w:val="21"/>
        </w:rPr>
        <w:t>提出变更设计或增减项目</w:t>
      </w:r>
      <w:r>
        <w:rPr>
          <w:rStyle w:val="42"/>
          <w:rFonts w:hint="eastAsia" w:ascii="宋体" w:hAnsi="宋体" w:eastAsia="宋体" w:cs="宋体"/>
          <w:sz w:val="21"/>
          <w:szCs w:val="21"/>
          <w:lang w:eastAsia="zh-CN"/>
        </w:rPr>
        <w:t>的</w:t>
      </w:r>
      <w:r>
        <w:rPr>
          <w:rStyle w:val="42"/>
          <w:rFonts w:hint="eastAsia" w:ascii="宋体" w:hAnsi="宋体" w:eastAsia="宋体" w:cs="宋体"/>
          <w:sz w:val="21"/>
          <w:szCs w:val="21"/>
        </w:rPr>
        <w:t>，应书面通知乙方，乙方应</w:t>
      </w:r>
      <w:r>
        <w:rPr>
          <w:rStyle w:val="42"/>
          <w:rFonts w:hint="eastAsia" w:ascii="宋体" w:hAnsi="宋体" w:eastAsia="宋体" w:cs="宋体"/>
          <w:sz w:val="21"/>
          <w:szCs w:val="21"/>
          <w:lang w:val="en-US" w:eastAsia="zh-CN"/>
        </w:rPr>
        <w:t>3个工作日内</w:t>
      </w:r>
      <w:r>
        <w:rPr>
          <w:rStyle w:val="42"/>
          <w:rFonts w:hint="eastAsia" w:ascii="宋体" w:hAnsi="宋体" w:eastAsia="宋体" w:cs="宋体"/>
          <w:sz w:val="21"/>
          <w:szCs w:val="21"/>
        </w:rPr>
        <w:t>向甲方提交变更</w:t>
      </w:r>
      <w:r>
        <w:rPr>
          <w:rStyle w:val="42"/>
          <w:rFonts w:hint="eastAsia" w:ascii="宋体" w:hAnsi="宋体" w:eastAsia="宋体" w:cs="宋体"/>
          <w:sz w:val="21"/>
          <w:szCs w:val="21"/>
          <w:lang w:eastAsia="zh-CN"/>
        </w:rPr>
        <w:t>后的施工</w:t>
      </w:r>
      <w:r>
        <w:rPr>
          <w:rStyle w:val="42"/>
          <w:rFonts w:hint="eastAsia" w:ascii="宋体" w:hAnsi="宋体" w:eastAsia="宋体" w:cs="宋体"/>
          <w:sz w:val="21"/>
          <w:szCs w:val="21"/>
        </w:rPr>
        <w:t>方案</w:t>
      </w:r>
      <w:r>
        <w:rPr>
          <w:rStyle w:val="42"/>
          <w:rFonts w:hint="eastAsia" w:ascii="宋体" w:hAnsi="宋体" w:eastAsia="宋体" w:cs="宋体"/>
          <w:sz w:val="21"/>
          <w:szCs w:val="21"/>
          <w:lang w:eastAsia="zh-CN"/>
        </w:rPr>
        <w:t>及</w:t>
      </w:r>
      <w:r>
        <w:rPr>
          <w:rStyle w:val="42"/>
          <w:rFonts w:hint="eastAsia" w:ascii="宋体" w:hAnsi="宋体" w:eastAsia="宋体" w:cs="宋体"/>
          <w:sz w:val="21"/>
          <w:szCs w:val="21"/>
        </w:rPr>
        <w:t>增减项目的造价</w:t>
      </w:r>
      <w:r>
        <w:rPr>
          <w:rStyle w:val="42"/>
          <w:rFonts w:hint="eastAsia" w:ascii="宋体" w:hAnsi="宋体" w:eastAsia="宋体" w:cs="宋体"/>
          <w:sz w:val="21"/>
          <w:szCs w:val="21"/>
          <w:lang w:eastAsia="zh-CN"/>
        </w:rPr>
        <w:t>。</w:t>
      </w:r>
      <w:r>
        <w:rPr>
          <w:rStyle w:val="42"/>
          <w:rFonts w:hint="eastAsia" w:ascii="宋体" w:hAnsi="宋体" w:eastAsia="宋体" w:cs="宋体"/>
          <w:sz w:val="21"/>
          <w:szCs w:val="21"/>
        </w:rPr>
        <w:t>甲方</w:t>
      </w:r>
      <w:r>
        <w:rPr>
          <w:rStyle w:val="42"/>
          <w:rFonts w:hint="eastAsia" w:ascii="宋体" w:hAnsi="宋体" w:eastAsia="宋体" w:cs="宋体"/>
          <w:sz w:val="21"/>
          <w:szCs w:val="21"/>
          <w:lang w:eastAsia="zh-CN"/>
        </w:rPr>
        <w:t>同意</w:t>
      </w:r>
      <w:r>
        <w:rPr>
          <w:rStyle w:val="42"/>
          <w:rFonts w:hint="eastAsia" w:ascii="宋体" w:hAnsi="宋体" w:eastAsia="宋体" w:cs="宋体"/>
          <w:sz w:val="21"/>
          <w:szCs w:val="21"/>
        </w:rPr>
        <w:t>变更方案</w:t>
      </w:r>
      <w:r>
        <w:rPr>
          <w:rStyle w:val="42"/>
          <w:rFonts w:hint="eastAsia" w:ascii="宋体" w:hAnsi="宋体" w:eastAsia="宋体" w:cs="宋体"/>
          <w:sz w:val="21"/>
          <w:szCs w:val="21"/>
          <w:lang w:eastAsia="zh-CN"/>
        </w:rPr>
        <w:t>的，进行</w:t>
      </w:r>
      <w:r>
        <w:rPr>
          <w:rStyle w:val="42"/>
          <w:rFonts w:hint="eastAsia" w:ascii="宋体" w:hAnsi="宋体" w:eastAsia="宋体" w:cs="宋体"/>
          <w:sz w:val="21"/>
          <w:szCs w:val="21"/>
        </w:rPr>
        <w:t>签复。</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rPr>
      </w:pPr>
      <w:r>
        <w:rPr>
          <w:rStyle w:val="42"/>
          <w:rFonts w:hint="eastAsia" w:ascii="宋体" w:hAnsi="宋体" w:eastAsia="宋体" w:cs="宋体"/>
          <w:sz w:val="21"/>
          <w:szCs w:val="21"/>
          <w:lang w:eastAsia="zh-CN"/>
        </w:rPr>
        <w:t>（二）</w:t>
      </w:r>
      <w:r>
        <w:rPr>
          <w:rStyle w:val="42"/>
          <w:rFonts w:hint="eastAsia" w:ascii="宋体" w:hAnsi="宋体" w:eastAsia="宋体" w:cs="宋体"/>
          <w:sz w:val="21"/>
          <w:szCs w:val="21"/>
        </w:rPr>
        <w:t>乙方在施工中</w:t>
      </w:r>
      <w:r>
        <w:rPr>
          <w:rStyle w:val="42"/>
          <w:rFonts w:hint="eastAsia" w:ascii="宋体" w:hAnsi="宋体" w:eastAsia="宋体" w:cs="宋体"/>
          <w:sz w:val="21"/>
          <w:szCs w:val="21"/>
          <w:lang w:eastAsia="zh-CN"/>
        </w:rPr>
        <w:t>认为需要</w:t>
      </w:r>
      <w:r>
        <w:rPr>
          <w:rStyle w:val="42"/>
          <w:rFonts w:hint="eastAsia" w:ascii="宋体" w:hAnsi="宋体" w:eastAsia="宋体" w:cs="宋体"/>
          <w:sz w:val="21"/>
          <w:szCs w:val="21"/>
        </w:rPr>
        <w:t>增</w:t>
      </w:r>
      <w:r>
        <w:rPr>
          <w:rStyle w:val="42"/>
          <w:rFonts w:hint="eastAsia" w:ascii="宋体" w:hAnsi="宋体" w:eastAsia="宋体" w:cs="宋体"/>
          <w:sz w:val="21"/>
          <w:szCs w:val="21"/>
          <w:lang w:eastAsia="zh-CN"/>
        </w:rPr>
        <w:t>减</w:t>
      </w:r>
      <w:r>
        <w:rPr>
          <w:rStyle w:val="42"/>
          <w:rFonts w:hint="eastAsia" w:ascii="宋体" w:hAnsi="宋体" w:eastAsia="宋体" w:cs="宋体"/>
          <w:sz w:val="21"/>
          <w:szCs w:val="21"/>
        </w:rPr>
        <w:t>项目</w:t>
      </w:r>
      <w:r>
        <w:rPr>
          <w:rStyle w:val="42"/>
          <w:rFonts w:hint="eastAsia" w:ascii="宋体" w:hAnsi="宋体" w:eastAsia="宋体" w:cs="宋体"/>
          <w:sz w:val="21"/>
          <w:szCs w:val="21"/>
          <w:lang w:eastAsia="zh-CN"/>
        </w:rPr>
        <w:t>的，</w:t>
      </w:r>
      <w:r>
        <w:rPr>
          <w:rStyle w:val="42"/>
          <w:rFonts w:hint="eastAsia" w:ascii="宋体" w:hAnsi="宋体" w:eastAsia="宋体" w:cs="宋体"/>
          <w:sz w:val="21"/>
          <w:szCs w:val="21"/>
        </w:rPr>
        <w:t>须经双方协商后，由甲方盖章签字确认生效</w:t>
      </w:r>
      <w:r>
        <w:rPr>
          <w:rStyle w:val="42"/>
          <w:rFonts w:hint="eastAsia" w:ascii="宋体" w:hAnsi="宋体" w:eastAsia="宋体" w:cs="宋体"/>
          <w:sz w:val="21"/>
          <w:szCs w:val="21"/>
          <w:highlight w:val="none"/>
          <w:lang w:eastAsia="zh-CN"/>
        </w:rPr>
        <w:t>，否则不作为审计结算依据</w:t>
      </w:r>
      <w:r>
        <w:rPr>
          <w:rStyle w:val="42"/>
          <w:rFonts w:hint="eastAsia" w:ascii="宋体" w:hAnsi="宋体" w:eastAsia="宋体" w:cs="宋体"/>
          <w:sz w:val="21"/>
          <w:szCs w:val="21"/>
          <w:highlight w:val="none"/>
        </w:rPr>
        <w:t>。</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第五条</w:t>
      </w:r>
      <w:r>
        <w:rPr>
          <w:rStyle w:val="42"/>
          <w:rFonts w:hint="eastAsia" w:ascii="宋体" w:hAnsi="宋体" w:eastAsia="宋体" w:cs="宋体"/>
          <w:b/>
          <w:sz w:val="21"/>
          <w:szCs w:val="21"/>
          <w:lang w:val="en-US" w:eastAsia="zh-CN"/>
        </w:rPr>
        <w:t xml:space="preserve">  项目</w:t>
      </w:r>
      <w:r>
        <w:rPr>
          <w:rStyle w:val="42"/>
          <w:rFonts w:hint="eastAsia" w:ascii="宋体" w:hAnsi="宋体" w:eastAsia="宋体" w:cs="宋体"/>
          <w:b/>
          <w:sz w:val="21"/>
          <w:szCs w:val="21"/>
        </w:rPr>
        <w:t>验收与保修</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（一）项目实施</w:t>
      </w:r>
      <w:r>
        <w:rPr>
          <w:rStyle w:val="42"/>
          <w:rFonts w:hint="eastAsia" w:ascii="宋体" w:hAnsi="宋体" w:eastAsia="宋体" w:cs="宋体"/>
          <w:sz w:val="21"/>
          <w:szCs w:val="21"/>
        </w:rPr>
        <w:t>必须符合</w:t>
      </w:r>
      <w:r>
        <w:rPr>
          <w:rStyle w:val="42"/>
          <w:rFonts w:hint="eastAsia" w:ascii="宋体" w:hAnsi="宋体" w:eastAsia="宋体" w:cs="宋体"/>
          <w:sz w:val="21"/>
          <w:szCs w:val="21"/>
          <w:lang w:val="en-US" w:eastAsia="zh-CN"/>
        </w:rPr>
        <w:t>本合同</w:t>
      </w:r>
      <w:r>
        <w:rPr>
          <w:rStyle w:val="42"/>
          <w:rFonts w:hint="eastAsia" w:cs="宋体"/>
          <w:sz w:val="21"/>
          <w:szCs w:val="21"/>
          <w:lang w:val="en-US" w:eastAsia="zh-CN"/>
        </w:rPr>
        <w:t>及单项合同下</w:t>
      </w:r>
      <w:r>
        <w:rPr>
          <w:rStyle w:val="42"/>
          <w:rFonts w:hint="eastAsia" w:ascii="宋体" w:hAnsi="宋体" w:eastAsia="宋体" w:cs="宋体"/>
          <w:sz w:val="21"/>
          <w:szCs w:val="21"/>
          <w:lang w:val="en-US" w:eastAsia="zh-CN"/>
        </w:rPr>
        <w:t>设计</w:t>
      </w:r>
      <w:r>
        <w:rPr>
          <w:rStyle w:val="42"/>
          <w:rFonts w:hint="eastAsia" w:ascii="宋体" w:hAnsi="宋体" w:eastAsia="宋体" w:cs="宋体"/>
          <w:sz w:val="21"/>
          <w:szCs w:val="21"/>
        </w:rPr>
        <w:t>施工图、预算清单的要求，且符合国家、行业和地区的相关标准。</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eastAsia="zh-CN"/>
        </w:rPr>
        <w:t>（二）</w:t>
      </w:r>
      <w:r>
        <w:rPr>
          <w:rStyle w:val="42"/>
          <w:rFonts w:hint="eastAsia" w:ascii="宋体" w:hAnsi="宋体" w:eastAsia="宋体" w:cs="宋体"/>
          <w:sz w:val="21"/>
          <w:szCs w:val="21"/>
          <w:lang w:val="en-US" w:eastAsia="zh-CN"/>
        </w:rPr>
        <w:t>验收流程</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yellow"/>
        </w:rPr>
      </w:pPr>
      <w:r>
        <w:rPr>
          <w:rStyle w:val="42"/>
          <w:rFonts w:hint="eastAsia" w:ascii="宋体" w:hAnsi="宋体" w:eastAsia="宋体" w:cs="宋体"/>
          <w:sz w:val="21"/>
          <w:szCs w:val="21"/>
          <w:highlight w:val="none"/>
          <w:lang w:val="en-US" w:eastAsia="zh-CN"/>
        </w:rPr>
        <w:t>1、项目存在</w:t>
      </w:r>
      <w:r>
        <w:rPr>
          <w:rStyle w:val="42"/>
          <w:rFonts w:hint="eastAsia" w:ascii="宋体" w:hAnsi="宋体" w:eastAsia="宋体" w:cs="宋体"/>
          <w:sz w:val="21"/>
          <w:szCs w:val="21"/>
          <w:highlight w:val="none"/>
        </w:rPr>
        <w:t>隐蔽工程</w:t>
      </w:r>
      <w:r>
        <w:rPr>
          <w:rStyle w:val="42"/>
          <w:rFonts w:hint="eastAsia" w:ascii="宋体" w:hAnsi="宋体" w:eastAsia="宋体" w:cs="宋体"/>
          <w:sz w:val="21"/>
          <w:szCs w:val="21"/>
          <w:highlight w:val="none"/>
          <w:lang w:eastAsia="zh-CN"/>
        </w:rPr>
        <w:t>的，</w:t>
      </w:r>
      <w:r>
        <w:rPr>
          <w:rStyle w:val="42"/>
          <w:rFonts w:hint="eastAsia" w:ascii="宋体" w:hAnsi="宋体" w:eastAsia="宋体" w:cs="宋体"/>
          <w:sz w:val="21"/>
          <w:szCs w:val="21"/>
          <w:highlight w:val="none"/>
        </w:rPr>
        <w:t>乙方应在隐蔽前通知甲方进行验收，甲方在收到通知后</w:t>
      </w:r>
      <w:r>
        <w:rPr>
          <w:rStyle w:val="42"/>
          <w:rFonts w:hint="eastAsia" w:ascii="宋体" w:hAnsi="宋体" w:eastAsia="宋体" w:cs="宋体"/>
          <w:sz w:val="21"/>
          <w:szCs w:val="21"/>
          <w:highlight w:val="none"/>
          <w:u w:val="single"/>
        </w:rPr>
        <w:t xml:space="preserve">    </w:t>
      </w:r>
      <w:r>
        <w:rPr>
          <w:rStyle w:val="42"/>
          <w:rFonts w:hint="eastAsia" w:ascii="宋体" w:hAnsi="宋体" w:eastAsia="宋体" w:cs="宋体"/>
          <w:sz w:val="21"/>
          <w:szCs w:val="21"/>
          <w:highlight w:val="none"/>
          <w:lang w:eastAsia="zh-CN"/>
        </w:rPr>
        <w:t>个工作日</w:t>
      </w:r>
      <w:r>
        <w:rPr>
          <w:rStyle w:val="42"/>
          <w:rFonts w:hint="eastAsia" w:ascii="宋体" w:hAnsi="宋体" w:eastAsia="宋体" w:cs="宋体"/>
          <w:sz w:val="21"/>
          <w:szCs w:val="21"/>
          <w:highlight w:val="none"/>
        </w:rPr>
        <w:t>内组织验收</w:t>
      </w:r>
      <w:r>
        <w:rPr>
          <w:rStyle w:val="42"/>
          <w:rFonts w:hint="eastAsia" w:ascii="宋体" w:hAnsi="宋体" w:eastAsia="宋体" w:cs="宋体"/>
          <w:sz w:val="21"/>
          <w:szCs w:val="21"/>
          <w:highlight w:val="none"/>
          <w:lang w:eastAsia="zh-CN"/>
        </w:rPr>
        <w:t>，</w:t>
      </w:r>
      <w:r>
        <w:rPr>
          <w:rStyle w:val="42"/>
          <w:rFonts w:hint="eastAsia" w:ascii="宋体" w:hAnsi="宋体" w:eastAsia="宋体" w:cs="宋体"/>
          <w:sz w:val="21"/>
          <w:szCs w:val="21"/>
          <w:highlight w:val="none"/>
          <w:lang w:val="en-US" w:eastAsia="zh-CN"/>
        </w:rPr>
        <w:t>经</w:t>
      </w:r>
      <w:r>
        <w:rPr>
          <w:rStyle w:val="42"/>
          <w:rFonts w:hint="eastAsia" w:ascii="宋体" w:hAnsi="宋体" w:eastAsia="宋体" w:cs="宋体"/>
          <w:sz w:val="21"/>
          <w:szCs w:val="21"/>
          <w:highlight w:val="none"/>
        </w:rPr>
        <w:t>甲</w:t>
      </w:r>
      <w:r>
        <w:rPr>
          <w:rStyle w:val="42"/>
          <w:rFonts w:hint="eastAsia" w:ascii="宋体" w:hAnsi="宋体" w:eastAsia="宋体" w:cs="宋体"/>
          <w:sz w:val="21"/>
          <w:szCs w:val="21"/>
          <w:highlight w:val="none"/>
          <w:lang w:val="en-US" w:eastAsia="zh-CN"/>
        </w:rPr>
        <w:t>方书面验收通过后方可隐蔽。验收不合格的，乙方应按甲方要求在指定期限内进行整改，并承担由此造成的整改费用</w:t>
      </w:r>
      <w:r>
        <w:rPr>
          <w:rStyle w:val="42"/>
          <w:rFonts w:hint="eastAsia" w:ascii="宋体" w:hAnsi="宋体" w:eastAsia="宋体" w:cs="宋体"/>
          <w:sz w:val="21"/>
          <w:szCs w:val="21"/>
          <w:highlight w:val="none"/>
        </w:rPr>
        <w:t>。</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highlight w:val="none"/>
          <w:lang w:val="en-US" w:eastAsia="zh-CN"/>
        </w:rPr>
        <w:t>2、甲方要求进行室内环境质量检测的，在项目完工后由甲方（或委托乙方）组织安排建设行政主管部门认可、具有室内环境质量检测资格的机构进行室内环境质量检测。室内环境质量检测合格后，方可提交甲方验收。</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val="en-US" w:eastAsia="zh-CN"/>
        </w:rPr>
        <w:t>3、</w:t>
      </w:r>
      <w:r>
        <w:rPr>
          <w:rStyle w:val="42"/>
          <w:rFonts w:hint="eastAsia" w:ascii="宋体" w:hAnsi="宋体" w:eastAsia="宋体" w:cs="宋体"/>
          <w:sz w:val="21"/>
          <w:szCs w:val="21"/>
        </w:rPr>
        <w:t>乙方完成</w:t>
      </w:r>
      <w:r>
        <w:rPr>
          <w:rStyle w:val="42"/>
          <w:rFonts w:hint="eastAsia" w:ascii="宋体" w:hAnsi="宋体" w:eastAsia="宋体" w:cs="宋体"/>
          <w:sz w:val="21"/>
          <w:szCs w:val="21"/>
          <w:lang w:eastAsia="zh-CN"/>
        </w:rPr>
        <w:t>项目实施</w:t>
      </w:r>
      <w:r>
        <w:rPr>
          <w:rStyle w:val="42"/>
          <w:rFonts w:hint="eastAsia" w:ascii="宋体" w:hAnsi="宋体" w:eastAsia="宋体" w:cs="宋体"/>
          <w:sz w:val="21"/>
          <w:szCs w:val="21"/>
        </w:rPr>
        <w:t>后，应以书面形式通知甲方进行验收。</w:t>
      </w:r>
      <w:r>
        <w:rPr>
          <w:rStyle w:val="42"/>
          <w:rFonts w:hint="eastAsia" w:ascii="宋体" w:hAnsi="宋体" w:eastAsia="宋体" w:cs="宋体"/>
          <w:sz w:val="21"/>
          <w:szCs w:val="21"/>
          <w:lang w:eastAsia="zh-CN"/>
        </w:rPr>
        <w:t>无需室内环境质量检测的项目，</w:t>
      </w:r>
      <w:r>
        <w:rPr>
          <w:rStyle w:val="42"/>
          <w:rFonts w:hint="eastAsia" w:ascii="宋体" w:hAnsi="宋体" w:eastAsia="宋体" w:cs="宋体"/>
          <w:sz w:val="21"/>
          <w:szCs w:val="21"/>
        </w:rPr>
        <w:t>甲方在收到通知后</w:t>
      </w:r>
      <w:r>
        <w:rPr>
          <w:rStyle w:val="42"/>
          <w:rFonts w:hint="eastAsia" w:ascii="宋体" w:hAnsi="宋体" w:eastAsia="宋体" w:cs="宋体"/>
          <w:sz w:val="21"/>
          <w:szCs w:val="21"/>
          <w:u w:val="single"/>
        </w:rPr>
        <w:t xml:space="preserve">    </w:t>
      </w:r>
      <w:r>
        <w:rPr>
          <w:rStyle w:val="42"/>
          <w:rFonts w:hint="eastAsia" w:ascii="宋体" w:hAnsi="宋体" w:eastAsia="宋体" w:cs="宋体"/>
          <w:sz w:val="21"/>
          <w:szCs w:val="21"/>
          <w:lang w:eastAsia="zh-CN"/>
        </w:rPr>
        <w:t>个工作日</w:t>
      </w:r>
      <w:r>
        <w:rPr>
          <w:rStyle w:val="42"/>
          <w:rFonts w:hint="eastAsia" w:ascii="宋体" w:hAnsi="宋体" w:eastAsia="宋体" w:cs="宋体"/>
          <w:sz w:val="21"/>
          <w:szCs w:val="21"/>
        </w:rPr>
        <w:t>内组织验收。验收合格的，出具验收证明；验收不合格的，乙方应按甲方要求</w:t>
      </w:r>
      <w:r>
        <w:rPr>
          <w:rStyle w:val="42"/>
          <w:rFonts w:hint="eastAsia" w:ascii="宋体" w:hAnsi="宋体" w:eastAsia="宋体" w:cs="宋体"/>
          <w:sz w:val="21"/>
          <w:szCs w:val="21"/>
          <w:lang w:val="en-US" w:eastAsia="zh-CN"/>
        </w:rPr>
        <w:t>在指定期限内</w:t>
      </w:r>
      <w:r>
        <w:rPr>
          <w:rStyle w:val="42"/>
          <w:rFonts w:hint="eastAsia" w:ascii="宋体" w:hAnsi="宋体" w:eastAsia="宋体" w:cs="宋体"/>
          <w:sz w:val="21"/>
          <w:szCs w:val="21"/>
        </w:rPr>
        <w:t>进行整改，自行承担由此造成的整改费用。</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（三）</w:t>
      </w:r>
      <w:r>
        <w:rPr>
          <w:rStyle w:val="42"/>
          <w:rFonts w:hint="eastAsia" w:ascii="宋体" w:hAnsi="宋体" w:eastAsia="宋体" w:cs="宋体"/>
          <w:sz w:val="21"/>
          <w:szCs w:val="21"/>
        </w:rPr>
        <w:t>验收标准按照双方合同</w:t>
      </w:r>
      <w:r>
        <w:rPr>
          <w:rStyle w:val="42"/>
          <w:rFonts w:hint="eastAsia" w:ascii="宋体" w:hAnsi="宋体" w:eastAsia="宋体" w:cs="宋体"/>
          <w:sz w:val="21"/>
          <w:szCs w:val="21"/>
          <w:lang w:val="en-US" w:eastAsia="zh-CN"/>
        </w:rPr>
        <w:t>关于设计方案、</w:t>
      </w:r>
      <w:r>
        <w:rPr>
          <w:rStyle w:val="42"/>
          <w:rFonts w:hint="eastAsia" w:ascii="宋体" w:hAnsi="宋体" w:eastAsia="宋体" w:cs="宋体"/>
          <w:sz w:val="21"/>
          <w:szCs w:val="21"/>
        </w:rPr>
        <w:t>施工</w:t>
      </w:r>
      <w:r>
        <w:rPr>
          <w:rStyle w:val="42"/>
          <w:rFonts w:hint="eastAsia" w:ascii="宋体" w:hAnsi="宋体" w:eastAsia="宋体" w:cs="宋体"/>
          <w:sz w:val="21"/>
          <w:szCs w:val="21"/>
          <w:lang w:val="en-US" w:eastAsia="zh-CN"/>
        </w:rPr>
        <w:t>图、施工</w:t>
      </w:r>
      <w:r>
        <w:rPr>
          <w:rStyle w:val="42"/>
          <w:rFonts w:hint="eastAsia" w:ascii="宋体" w:hAnsi="宋体" w:eastAsia="宋体" w:cs="宋体"/>
          <w:sz w:val="21"/>
          <w:szCs w:val="21"/>
        </w:rPr>
        <w:t>质量</w:t>
      </w:r>
      <w:r>
        <w:rPr>
          <w:rStyle w:val="42"/>
          <w:rFonts w:hint="eastAsia" w:ascii="宋体" w:hAnsi="宋体" w:eastAsia="宋体" w:cs="宋体"/>
          <w:sz w:val="21"/>
          <w:szCs w:val="21"/>
          <w:lang w:eastAsia="zh-CN"/>
        </w:rPr>
        <w:t>、</w:t>
      </w:r>
      <w:r>
        <w:rPr>
          <w:rStyle w:val="42"/>
          <w:rFonts w:hint="eastAsia" w:ascii="宋体" w:hAnsi="宋体" w:eastAsia="宋体" w:cs="宋体"/>
          <w:sz w:val="21"/>
          <w:szCs w:val="21"/>
          <w:lang w:val="en-US" w:eastAsia="zh-CN"/>
        </w:rPr>
        <w:t>材料质量等</w:t>
      </w:r>
      <w:r>
        <w:rPr>
          <w:rStyle w:val="42"/>
          <w:rFonts w:hint="eastAsia" w:ascii="宋体" w:hAnsi="宋体" w:eastAsia="宋体" w:cs="宋体"/>
          <w:sz w:val="21"/>
          <w:szCs w:val="21"/>
        </w:rPr>
        <w:t>约定并参照国家相关规定执行。</w:t>
      </w:r>
    </w:p>
    <w:p>
      <w:pPr>
        <w:pStyle w:val="41"/>
        <w:keepNext w:val="0"/>
        <w:keepLines w:val="0"/>
        <w:pageBreakBefore w:val="0"/>
        <w:numPr>
          <w:ilvl w:val="0"/>
          <w:numId w:val="7"/>
        </w:numPr>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highlight w:val="none"/>
          <w:lang w:eastAsia="zh-CN"/>
        </w:rPr>
        <w:t>项目质量</w:t>
      </w:r>
      <w:r>
        <w:rPr>
          <w:rStyle w:val="42"/>
          <w:rFonts w:hint="eastAsia" w:ascii="宋体" w:hAnsi="宋体" w:eastAsia="宋体" w:cs="宋体"/>
          <w:sz w:val="21"/>
          <w:szCs w:val="21"/>
          <w:highlight w:val="none"/>
        </w:rPr>
        <w:t>保修期</w:t>
      </w:r>
      <w:r>
        <w:rPr>
          <w:rStyle w:val="42"/>
          <w:rFonts w:hint="eastAsia" w:cs="宋体"/>
          <w:sz w:val="21"/>
          <w:szCs w:val="21"/>
          <w:highlight w:val="none"/>
          <w:lang w:val="en-US" w:eastAsia="zh-CN"/>
        </w:rPr>
        <w:t>按照单个具体项目确定</w:t>
      </w:r>
      <w:r>
        <w:rPr>
          <w:rStyle w:val="42"/>
          <w:rFonts w:hint="eastAsia" w:ascii="宋体" w:hAnsi="宋体" w:eastAsia="宋体" w:cs="宋体"/>
          <w:sz w:val="21"/>
          <w:szCs w:val="21"/>
        </w:rPr>
        <w:t>，自甲方出具</w:t>
      </w:r>
      <w:r>
        <w:rPr>
          <w:rStyle w:val="42"/>
          <w:rFonts w:hint="eastAsia" w:ascii="宋体" w:hAnsi="宋体" w:eastAsia="宋体" w:cs="宋体"/>
          <w:sz w:val="21"/>
          <w:szCs w:val="21"/>
          <w:lang w:eastAsia="zh-CN"/>
        </w:rPr>
        <w:t>项目</w:t>
      </w:r>
      <w:r>
        <w:rPr>
          <w:rStyle w:val="42"/>
          <w:rFonts w:hint="eastAsia" w:ascii="宋体" w:hAnsi="宋体" w:eastAsia="宋体" w:cs="宋体"/>
          <w:sz w:val="21"/>
          <w:szCs w:val="21"/>
        </w:rPr>
        <w:t>验收</w:t>
      </w:r>
      <w:r>
        <w:rPr>
          <w:rStyle w:val="42"/>
          <w:rFonts w:hint="eastAsia" w:ascii="宋体" w:hAnsi="宋体" w:eastAsia="宋体" w:cs="宋体"/>
          <w:sz w:val="21"/>
          <w:szCs w:val="21"/>
          <w:lang w:eastAsia="zh-CN"/>
        </w:rPr>
        <w:t>合格</w:t>
      </w:r>
      <w:r>
        <w:rPr>
          <w:rStyle w:val="42"/>
          <w:rFonts w:hint="eastAsia" w:ascii="宋体" w:hAnsi="宋体" w:eastAsia="宋体" w:cs="宋体"/>
          <w:sz w:val="21"/>
          <w:szCs w:val="21"/>
        </w:rPr>
        <w:t>证明之日起算。</w:t>
      </w:r>
    </w:p>
    <w:p>
      <w:pPr>
        <w:pStyle w:val="41"/>
        <w:keepNext w:val="0"/>
        <w:keepLines w:val="0"/>
        <w:pageBreakBefore w:val="0"/>
        <w:numPr>
          <w:ilvl w:val="0"/>
          <w:numId w:val="8"/>
        </w:numPr>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eastAsia="zh-CN"/>
        </w:rPr>
        <w:t>质保期</w:t>
      </w:r>
      <w:r>
        <w:rPr>
          <w:rStyle w:val="42"/>
          <w:rFonts w:hint="eastAsia" w:ascii="宋体" w:hAnsi="宋体" w:eastAsia="宋体" w:cs="宋体"/>
          <w:sz w:val="21"/>
          <w:szCs w:val="21"/>
        </w:rPr>
        <w:t>内由于乙方责任造成的质量问题，乙方</w:t>
      </w:r>
      <w:r>
        <w:rPr>
          <w:rStyle w:val="42"/>
          <w:rFonts w:hint="eastAsia" w:ascii="宋体" w:hAnsi="宋体" w:eastAsia="宋体" w:cs="宋体"/>
          <w:sz w:val="21"/>
          <w:szCs w:val="21"/>
          <w:lang w:eastAsia="zh-CN"/>
        </w:rPr>
        <w:t>应</w:t>
      </w:r>
      <w:r>
        <w:rPr>
          <w:rStyle w:val="42"/>
          <w:rFonts w:hint="eastAsia" w:ascii="宋体" w:hAnsi="宋体" w:eastAsia="宋体" w:cs="宋体"/>
          <w:sz w:val="21"/>
          <w:szCs w:val="21"/>
        </w:rPr>
        <w:t>无条件在</w:t>
      </w:r>
      <w:r>
        <w:rPr>
          <w:rStyle w:val="42"/>
          <w:rFonts w:hint="eastAsia" w:ascii="宋体" w:hAnsi="宋体" w:eastAsia="宋体" w:cs="宋体"/>
          <w:sz w:val="21"/>
          <w:szCs w:val="21"/>
          <w:u w:val="single"/>
        </w:rPr>
        <w:t xml:space="preserve">   </w:t>
      </w:r>
      <w:r>
        <w:rPr>
          <w:rStyle w:val="42"/>
          <w:rFonts w:hint="eastAsia" w:ascii="宋体" w:hAnsi="宋体" w:eastAsia="宋体" w:cs="宋体"/>
          <w:sz w:val="21"/>
          <w:szCs w:val="21"/>
        </w:rPr>
        <w:t>日内按原貌进行维修</w:t>
      </w:r>
      <w:r>
        <w:rPr>
          <w:rStyle w:val="42"/>
          <w:rFonts w:hint="eastAsia" w:ascii="宋体" w:hAnsi="宋体" w:eastAsia="宋体" w:cs="宋体"/>
          <w:sz w:val="21"/>
          <w:szCs w:val="21"/>
          <w:lang w:eastAsia="zh-CN"/>
        </w:rPr>
        <w:t>或更换，</w:t>
      </w:r>
      <w:r>
        <w:rPr>
          <w:rStyle w:val="42"/>
          <w:rFonts w:hint="eastAsia" w:ascii="宋体" w:hAnsi="宋体" w:eastAsia="宋体" w:cs="宋体"/>
          <w:sz w:val="21"/>
          <w:szCs w:val="21"/>
          <w:lang w:val="en-US" w:eastAsia="zh-CN"/>
        </w:rPr>
        <w:t>不另行收取费用</w:t>
      </w:r>
      <w:r>
        <w:rPr>
          <w:rStyle w:val="42"/>
          <w:rFonts w:hint="eastAsia" w:ascii="宋体" w:hAnsi="宋体" w:eastAsia="宋体" w:cs="宋体"/>
          <w:sz w:val="21"/>
          <w:szCs w:val="21"/>
          <w:lang w:eastAsia="zh-CN"/>
        </w:rPr>
        <w:t>。</w:t>
      </w:r>
    </w:p>
    <w:p>
      <w:pPr>
        <w:keepNext w:val="0"/>
        <w:keepLines w:val="0"/>
        <w:pageBreakBefore w:val="0"/>
        <w:numPr>
          <w:ilvl w:val="0"/>
          <w:numId w:val="8"/>
        </w:numPr>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凡由产品质量问题引起的各类设备故障，乙方在接到甲方故障报修通知后，应及时予以响应，24小时内解决故障。不能及时排除故障的，征得甲方同意后可顺延维修时间。维修后仍不能排除故障的，则应由乙方提供不低于原设备标准的备用产品设备正常运行。</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val="en-US" w:eastAsia="zh-CN"/>
        </w:rPr>
        <w:t>3、施工材料、</w:t>
      </w:r>
      <w:r>
        <w:rPr>
          <w:rStyle w:val="42"/>
          <w:rFonts w:hint="eastAsia" w:ascii="宋体" w:hAnsi="宋体" w:eastAsia="宋体" w:cs="宋体"/>
          <w:sz w:val="21"/>
          <w:szCs w:val="21"/>
        </w:rPr>
        <w:t>设备</w:t>
      </w:r>
      <w:r>
        <w:rPr>
          <w:rStyle w:val="42"/>
          <w:rFonts w:hint="eastAsia" w:ascii="宋体" w:hAnsi="宋体" w:eastAsia="宋体" w:cs="宋体"/>
          <w:sz w:val="21"/>
          <w:szCs w:val="21"/>
          <w:lang w:val="en-US" w:eastAsia="zh-CN"/>
        </w:rPr>
        <w:t>等质保期比本合同约定的</w:t>
      </w:r>
      <w:r>
        <w:rPr>
          <w:rStyle w:val="42"/>
          <w:rFonts w:hint="eastAsia" w:ascii="宋体" w:hAnsi="宋体" w:eastAsia="宋体" w:cs="宋体"/>
          <w:sz w:val="21"/>
          <w:szCs w:val="21"/>
          <w:highlight w:val="none"/>
          <w:lang w:eastAsia="zh-CN"/>
        </w:rPr>
        <w:t>质保期</w:t>
      </w:r>
      <w:r>
        <w:rPr>
          <w:rStyle w:val="42"/>
          <w:rFonts w:hint="eastAsia" w:ascii="宋体" w:hAnsi="宋体" w:eastAsia="宋体" w:cs="宋体"/>
          <w:sz w:val="21"/>
          <w:szCs w:val="21"/>
          <w:highlight w:val="none"/>
          <w:lang w:val="en-US" w:eastAsia="zh-CN"/>
        </w:rPr>
        <w:t>更长的，按最长质保期执行。</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第六条</w:t>
      </w:r>
      <w:r>
        <w:rPr>
          <w:rStyle w:val="42"/>
          <w:rFonts w:hint="eastAsia" w:ascii="宋体" w:hAnsi="宋体" w:eastAsia="宋体" w:cs="宋体"/>
          <w:b/>
          <w:sz w:val="21"/>
          <w:szCs w:val="21"/>
          <w:lang w:val="en-US" w:eastAsia="zh-CN"/>
        </w:rPr>
        <w:t xml:space="preserve">  项目</w:t>
      </w:r>
      <w:r>
        <w:rPr>
          <w:rStyle w:val="42"/>
          <w:rFonts w:hint="eastAsia" w:ascii="宋体" w:hAnsi="宋体" w:eastAsia="宋体" w:cs="宋体"/>
          <w:b/>
          <w:sz w:val="21"/>
          <w:szCs w:val="21"/>
        </w:rPr>
        <w:t>结算</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yellow"/>
        </w:rPr>
      </w:pPr>
      <w:r>
        <w:rPr>
          <w:rFonts w:hint="eastAsia" w:cs="宋体"/>
          <w:sz w:val="21"/>
          <w:szCs w:val="21"/>
          <w:highlight w:val="none"/>
          <w:lang w:val="en-US" w:eastAsia="zh-CN"/>
        </w:rPr>
        <w:t>单个</w:t>
      </w:r>
      <w:r>
        <w:rPr>
          <w:rFonts w:hint="eastAsia" w:ascii="宋体" w:hAnsi="宋体" w:eastAsia="宋体" w:cs="宋体"/>
          <w:sz w:val="21"/>
          <w:szCs w:val="21"/>
          <w:highlight w:val="none"/>
          <w:lang w:eastAsia="zh-CN"/>
        </w:rPr>
        <w:t>项目竣工验收后，乙方需向甲方提供完整的竣工资料并申请项目结算。项目结算按经甲方书面同意的</w:t>
      </w:r>
      <w:r>
        <w:rPr>
          <w:rFonts w:hint="eastAsia" w:ascii="宋体" w:hAnsi="宋体" w:eastAsia="宋体" w:cs="宋体"/>
          <w:sz w:val="21"/>
          <w:szCs w:val="21"/>
          <w:highlight w:val="none"/>
          <w:lang w:val="en-US" w:eastAsia="zh-CN"/>
        </w:rPr>
        <w:t>现场实际工作量核计，综合服务单价按本合同预算清单约定的价格不变。</w:t>
      </w:r>
    </w:p>
    <w:p>
      <w:pPr>
        <w:keepNext w:val="0"/>
        <w:keepLines w:val="0"/>
        <w:pageBreakBefore w:val="0"/>
        <w:numPr>
          <w:ilvl w:val="0"/>
          <w:numId w:val="0"/>
        </w:numPr>
        <w:kinsoku/>
        <w:overflowPunct/>
        <w:topLinePunct w:val="0"/>
        <w:autoSpaceDE/>
        <w:autoSpaceDN/>
        <w:bidi w:val="0"/>
        <w:spacing w:line="360" w:lineRule="auto"/>
        <w:ind w:firstLine="0" w:firstLineChars="0"/>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val="en-US" w:eastAsia="zh-CN"/>
        </w:rPr>
        <w:t xml:space="preserve">第七条  </w:t>
      </w:r>
      <w:r>
        <w:rPr>
          <w:rStyle w:val="42"/>
          <w:rFonts w:hint="eastAsia" w:ascii="宋体" w:hAnsi="宋体" w:eastAsia="宋体" w:cs="宋体"/>
          <w:b/>
          <w:sz w:val="21"/>
          <w:szCs w:val="21"/>
        </w:rPr>
        <w:t>违约责任</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lang w:val="en-US" w:eastAsia="zh-CN"/>
        </w:rPr>
      </w:pPr>
      <w:r>
        <w:rPr>
          <w:rStyle w:val="42"/>
          <w:rFonts w:hint="eastAsia" w:ascii="宋体" w:hAnsi="宋体" w:eastAsia="宋体" w:cs="宋体"/>
          <w:sz w:val="21"/>
          <w:szCs w:val="21"/>
          <w:highlight w:val="none"/>
          <w:lang w:eastAsia="zh-CN"/>
        </w:rPr>
        <w:t>（一）因乙方原因造成的停工、返工、窝工、倒运、机械设备调迁、材料积压等损失和费用均由乙方自行承担。</w:t>
      </w:r>
      <w:r>
        <w:rPr>
          <w:rFonts w:hint="eastAsia" w:ascii="宋体" w:hAnsi="宋体" w:eastAsia="宋体" w:cs="宋体"/>
          <w:sz w:val="21"/>
          <w:szCs w:val="21"/>
          <w:lang w:val="en-US" w:eastAsia="zh-CN"/>
        </w:rPr>
        <w:t>因乙方原因造成的工期延误，每延误一天，须向甲方支付合同金额的千分之</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作为违约金。</w:t>
      </w:r>
    </w:p>
    <w:p>
      <w:pPr>
        <w:pStyle w:val="2"/>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因乙方原因逾期不能完成项目的，甲方有权安排其他单位完成项目，所产生的费用按实际发生额从合同款项中予以扣除。情节严重的，甲方有权单方终止合同，</w:t>
      </w:r>
      <w:r>
        <w:rPr>
          <w:rFonts w:hint="eastAsia" w:ascii="宋体" w:hAnsi="宋体" w:eastAsia="宋体" w:cs="宋体"/>
          <w:color w:val="auto"/>
          <w:sz w:val="21"/>
          <w:szCs w:val="21"/>
        </w:rPr>
        <w:t>乙方应</w:t>
      </w:r>
      <w:r>
        <w:rPr>
          <w:rFonts w:hint="eastAsia" w:ascii="宋体" w:hAnsi="宋体" w:eastAsia="宋体" w:cs="宋体"/>
          <w:color w:val="auto"/>
          <w:sz w:val="21"/>
          <w:szCs w:val="21"/>
          <w:lang w:eastAsia="zh-CN"/>
        </w:rPr>
        <w:t>自合同解除之日起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日内</w:t>
      </w:r>
      <w:r>
        <w:rPr>
          <w:rFonts w:hint="eastAsia" w:ascii="宋体" w:hAnsi="宋体" w:eastAsia="宋体" w:cs="宋体"/>
          <w:color w:val="auto"/>
          <w:sz w:val="21"/>
          <w:szCs w:val="21"/>
        </w:rPr>
        <w:t>返还甲方已支付的所有合同费用</w:t>
      </w:r>
      <w:r>
        <w:rPr>
          <w:rFonts w:hint="eastAsia" w:ascii="宋体" w:hAnsi="宋体" w:eastAsia="宋体" w:cs="宋体"/>
          <w:sz w:val="21"/>
          <w:szCs w:val="21"/>
          <w:lang w:val="en-US" w:eastAsia="zh-CN"/>
        </w:rPr>
        <w:t>。</w:t>
      </w:r>
    </w:p>
    <w:p>
      <w:pPr>
        <w:pStyle w:val="2"/>
        <w:keepNext w:val="0"/>
        <w:keepLines w:val="0"/>
        <w:pageBreakBefore w:val="0"/>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乙方采购送交的材料、设备等，须提供出厂证明或合格证、检测报告等，如不符合质量要求或型号规格有差异，甲方有权拒收并要求更换，因此产生的相关费用或损失由乙方承担。乙方存在以次充好、假冒伪劣等主观恶意行为的，甲方还可向乙方另行追偿合同价款</w:t>
      </w:r>
      <w:r>
        <w:rPr>
          <w:rFonts w:hint="eastAsia" w:ascii="宋体" w:hAnsi="宋体" w:eastAsia="宋体" w:cs="宋体"/>
          <w:sz w:val="21"/>
          <w:szCs w:val="21"/>
          <w:lang w:val="en-US" w:eastAsia="zh-CN"/>
        </w:rPr>
        <w:t>20%的违约金。</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lang w:val="en-US" w:eastAsia="zh-CN"/>
        </w:rPr>
      </w:pPr>
      <w:r>
        <w:rPr>
          <w:rStyle w:val="42"/>
          <w:rFonts w:hint="eastAsia" w:ascii="宋体" w:hAnsi="宋体" w:eastAsia="宋体" w:cs="宋体"/>
          <w:sz w:val="21"/>
          <w:szCs w:val="21"/>
          <w:highlight w:val="none"/>
          <w:lang w:eastAsia="zh-CN"/>
        </w:rPr>
        <w:t>（三）</w:t>
      </w:r>
      <w:r>
        <w:rPr>
          <w:rStyle w:val="42"/>
          <w:rFonts w:hint="eastAsia" w:ascii="宋体" w:hAnsi="宋体" w:eastAsia="宋体" w:cs="宋体"/>
          <w:sz w:val="21"/>
          <w:szCs w:val="21"/>
          <w:highlight w:val="none"/>
        </w:rPr>
        <w:t>乙方</w:t>
      </w:r>
      <w:r>
        <w:rPr>
          <w:rStyle w:val="42"/>
          <w:rFonts w:hint="eastAsia" w:ascii="宋体" w:hAnsi="宋体" w:eastAsia="宋体" w:cs="宋体"/>
          <w:sz w:val="21"/>
          <w:szCs w:val="21"/>
          <w:highlight w:val="none"/>
          <w:lang w:eastAsia="zh-CN"/>
        </w:rPr>
        <w:t>不按照甲方确认的设计方案、施工图进行施工的，或施工不符合合同约定的，</w:t>
      </w:r>
      <w:r>
        <w:rPr>
          <w:rFonts w:hint="eastAsia" w:ascii="宋体" w:hAnsi="宋体" w:eastAsia="宋体" w:cs="宋体"/>
          <w:color w:val="000000"/>
          <w:kern w:val="0"/>
          <w:sz w:val="21"/>
          <w:szCs w:val="21"/>
          <w:lang w:val="en-US" w:eastAsia="zh-CN" w:bidi="ar"/>
        </w:rPr>
        <w:t>甲方可要求乙方整改，</w:t>
      </w:r>
      <w:r>
        <w:rPr>
          <w:rFonts w:hint="eastAsia" w:ascii="宋体" w:hAnsi="宋体" w:eastAsia="宋体" w:cs="宋体"/>
          <w:color w:val="auto"/>
          <w:sz w:val="21"/>
          <w:szCs w:val="21"/>
          <w:highlight w:val="none"/>
        </w:rPr>
        <w:t>乙方应</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rPr>
        <w:t>在甲方指定的时间内进行整改，</w:t>
      </w:r>
      <w:r>
        <w:rPr>
          <w:rFonts w:hint="eastAsia" w:ascii="宋体" w:hAnsi="宋体" w:eastAsia="宋体" w:cs="宋体"/>
          <w:color w:val="auto"/>
          <w:sz w:val="21"/>
          <w:szCs w:val="21"/>
          <w:lang w:eastAsia="zh-CN"/>
        </w:rPr>
        <w:t>直至整改合格为止。</w:t>
      </w:r>
      <w:r>
        <w:rPr>
          <w:rFonts w:hint="eastAsia" w:ascii="宋体" w:hAnsi="宋体" w:eastAsia="宋体" w:cs="宋体"/>
          <w:color w:val="auto"/>
          <w:sz w:val="21"/>
          <w:szCs w:val="21"/>
          <w:lang w:val="en-US" w:eastAsia="zh-CN"/>
        </w:rPr>
        <w:t>因整改产生的费用由乙方自行承担，且乙方应按本合同承担工期延误违约金。</w:t>
      </w:r>
      <w:r>
        <w:rPr>
          <w:rFonts w:hint="eastAsia" w:ascii="宋体" w:hAnsi="宋体" w:eastAsia="宋体" w:cs="宋体"/>
          <w:color w:val="auto"/>
          <w:sz w:val="21"/>
          <w:szCs w:val="21"/>
          <w:lang w:eastAsia="zh-CN"/>
        </w:rPr>
        <w:t>乙方未能在甲方指定的时间内完成整改或整改后仍然达不到合同约定的</w:t>
      </w:r>
      <w:r>
        <w:rPr>
          <w:rFonts w:hint="eastAsia" w:ascii="宋体" w:hAnsi="宋体" w:eastAsia="宋体" w:cs="宋体"/>
          <w:color w:val="auto"/>
          <w:sz w:val="21"/>
          <w:szCs w:val="21"/>
        </w:rPr>
        <w:t>，甲方有权解除合同，不予支付乙方所有合同费用（如甲方已支付的，乙方应</w:t>
      </w:r>
      <w:r>
        <w:rPr>
          <w:rFonts w:hint="eastAsia" w:ascii="宋体" w:hAnsi="宋体" w:eastAsia="宋体" w:cs="宋体"/>
          <w:color w:val="auto"/>
          <w:sz w:val="21"/>
          <w:szCs w:val="21"/>
          <w:lang w:eastAsia="zh-CN"/>
        </w:rPr>
        <w:t>自合同解除之日起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日内</w:t>
      </w:r>
      <w:r>
        <w:rPr>
          <w:rFonts w:hint="eastAsia" w:ascii="宋体" w:hAnsi="宋体" w:eastAsia="宋体" w:cs="宋体"/>
          <w:color w:val="auto"/>
          <w:sz w:val="21"/>
          <w:szCs w:val="21"/>
        </w:rPr>
        <w:t>返还甲方已支付的所有合同费用）</w:t>
      </w:r>
      <w:r>
        <w:rPr>
          <w:rFonts w:hint="eastAsia" w:ascii="宋体" w:hAnsi="宋体" w:eastAsia="宋体" w:cs="宋体"/>
          <w:color w:val="auto"/>
          <w:sz w:val="21"/>
          <w:szCs w:val="21"/>
          <w:lang w:eastAsia="zh-CN"/>
        </w:rPr>
        <w:t>。因此给甲方造成损失的，乙方还应作出相应赔偿</w:t>
      </w:r>
      <w:r>
        <w:rPr>
          <w:rFonts w:hint="eastAsia" w:ascii="宋体" w:hAnsi="宋体" w:eastAsia="宋体" w:cs="宋体"/>
          <w:color w:val="auto"/>
          <w:sz w:val="21"/>
          <w:szCs w:val="21"/>
          <w:lang w:val="en-US" w:eastAsia="zh-CN"/>
        </w:rPr>
        <w:t>。</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lang w:val="en-US" w:eastAsia="zh-CN"/>
        </w:rPr>
        <w:t>（四）</w:t>
      </w:r>
      <w:r>
        <w:rPr>
          <w:rFonts w:hint="eastAsia" w:ascii="宋体" w:hAnsi="宋体" w:eastAsia="宋体" w:cs="宋体"/>
          <w:color w:val="000000"/>
          <w:kern w:val="0"/>
          <w:sz w:val="21"/>
          <w:szCs w:val="21"/>
          <w:lang w:val="en-US" w:eastAsia="zh-CN" w:bidi="ar"/>
        </w:rPr>
        <w:t>因乙方派出的工作人员不符合安全管理和技术、资质要求的，或不服从甲方安全管理要求、不听劝阻的，甲方有权要求乙方立刻清理撤出作业现场，待整改完毕并且得到甲方同意后，方可再次入场作业。乙方拒绝予以整改的，甲方有权要求乙方以每次3000元的标准支付违反安全文明施工的违约金。经甲方书面警告，乙方仍拒绝予以整改的，甲方有权单方面终止本合同并且不承担任何赔偿责任，</w:t>
      </w:r>
      <w:r>
        <w:rPr>
          <w:rFonts w:hint="eastAsia" w:ascii="宋体" w:hAnsi="宋体" w:eastAsia="宋体" w:cs="宋体"/>
          <w:color w:val="auto"/>
          <w:sz w:val="21"/>
          <w:szCs w:val="21"/>
        </w:rPr>
        <w:t>乙方应</w:t>
      </w:r>
      <w:r>
        <w:rPr>
          <w:rFonts w:hint="eastAsia" w:ascii="宋体" w:hAnsi="宋体" w:eastAsia="宋体" w:cs="宋体"/>
          <w:color w:val="auto"/>
          <w:sz w:val="21"/>
          <w:szCs w:val="21"/>
          <w:lang w:eastAsia="zh-CN"/>
        </w:rPr>
        <w:t>自合同解除之日起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日内</w:t>
      </w:r>
      <w:r>
        <w:rPr>
          <w:rFonts w:hint="eastAsia" w:ascii="宋体" w:hAnsi="宋体" w:eastAsia="宋体" w:cs="宋体"/>
          <w:color w:val="auto"/>
          <w:sz w:val="21"/>
          <w:szCs w:val="21"/>
        </w:rPr>
        <w:t>返还甲方已支付的所有合同费用</w:t>
      </w:r>
      <w:r>
        <w:rPr>
          <w:rFonts w:hint="eastAsia" w:ascii="宋体" w:hAnsi="宋体" w:eastAsia="宋体" w:cs="宋体"/>
          <w:color w:val="auto"/>
          <w:sz w:val="21"/>
          <w:szCs w:val="21"/>
          <w:lang w:eastAsia="zh-CN"/>
        </w:rPr>
        <w:t>，</w:t>
      </w:r>
      <w:r>
        <w:rPr>
          <w:rFonts w:hint="eastAsia" w:ascii="宋体" w:hAnsi="宋体" w:eastAsia="宋体" w:cs="宋体"/>
          <w:color w:val="000000"/>
          <w:kern w:val="0"/>
          <w:sz w:val="21"/>
          <w:szCs w:val="21"/>
          <w:lang w:val="en-US" w:eastAsia="zh-CN" w:bidi="ar"/>
        </w:rPr>
        <w:t>由此造成的所有损失均由乙方承担。</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w:t>
      </w:r>
      <w:r>
        <w:rPr>
          <w:rStyle w:val="42"/>
          <w:rFonts w:hint="eastAsia" w:ascii="宋体" w:hAnsi="宋体" w:eastAsia="宋体" w:cs="宋体"/>
          <w:sz w:val="21"/>
          <w:szCs w:val="21"/>
          <w:lang w:eastAsia="zh-CN"/>
        </w:rPr>
        <w:t>在施工过程中，因乙方</w:t>
      </w:r>
      <w:r>
        <w:rPr>
          <w:rStyle w:val="42"/>
          <w:rFonts w:hint="eastAsia" w:ascii="宋体" w:hAnsi="宋体" w:eastAsia="宋体" w:cs="宋体"/>
          <w:sz w:val="21"/>
          <w:szCs w:val="21"/>
          <w:lang w:val="en-US" w:eastAsia="zh-CN"/>
        </w:rPr>
        <w:t>及其工作人员</w:t>
      </w:r>
      <w:r>
        <w:rPr>
          <w:rStyle w:val="42"/>
          <w:rFonts w:hint="eastAsia" w:ascii="宋体" w:hAnsi="宋体" w:eastAsia="宋体" w:cs="宋体"/>
          <w:sz w:val="21"/>
          <w:szCs w:val="21"/>
          <w:lang w:eastAsia="zh-CN"/>
        </w:rPr>
        <w:t>导致发生任何人身安全和财产损害事故的，均由乙方负责解决并承担相应的法律责任，赔偿损害方全部损失。</w:t>
      </w:r>
      <w:r>
        <w:rPr>
          <w:rFonts w:hint="eastAsia" w:ascii="宋体" w:hAnsi="宋体" w:eastAsia="宋体" w:cs="宋体"/>
          <w:color w:val="000000"/>
          <w:kern w:val="0"/>
          <w:sz w:val="21"/>
          <w:szCs w:val="21"/>
          <w:lang w:val="en-US" w:eastAsia="zh-CN" w:bidi="ar"/>
        </w:rPr>
        <w:t>如发生瞒报、谎报事故等情形，甲方有权立即解除本合同，</w:t>
      </w:r>
      <w:r>
        <w:rPr>
          <w:rFonts w:hint="eastAsia" w:ascii="宋体" w:hAnsi="宋体" w:eastAsia="宋体" w:cs="宋体"/>
          <w:color w:val="auto"/>
          <w:sz w:val="21"/>
          <w:szCs w:val="21"/>
        </w:rPr>
        <w:t>乙方应</w:t>
      </w:r>
      <w:r>
        <w:rPr>
          <w:rFonts w:hint="eastAsia" w:ascii="宋体" w:hAnsi="宋体" w:eastAsia="宋体" w:cs="宋体"/>
          <w:color w:val="auto"/>
          <w:sz w:val="21"/>
          <w:szCs w:val="21"/>
          <w:lang w:eastAsia="zh-CN"/>
        </w:rPr>
        <w:t>自合同解除之日起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日内</w:t>
      </w:r>
      <w:r>
        <w:rPr>
          <w:rFonts w:hint="eastAsia" w:ascii="宋体" w:hAnsi="宋体" w:eastAsia="宋体" w:cs="宋体"/>
          <w:color w:val="auto"/>
          <w:sz w:val="21"/>
          <w:szCs w:val="21"/>
        </w:rPr>
        <w:t>返还甲方已支付的所有合同费用</w:t>
      </w:r>
      <w:r>
        <w:rPr>
          <w:rFonts w:hint="eastAsia" w:ascii="宋体" w:hAnsi="宋体" w:eastAsia="宋体" w:cs="宋体"/>
          <w:color w:val="auto"/>
          <w:sz w:val="21"/>
          <w:szCs w:val="21"/>
          <w:lang w:eastAsia="zh-CN"/>
        </w:rPr>
        <w:t>并承担所有损失。甲方若因此需对外承担赔偿责任的，则乙方应在甲方承担赔偿责任范围内向甲方承担等额赔偿责任。乙方应在收到甲方提供的生效法律文书复印件、赔偿通知等文件之日起五个工作日内将款项支付给甲方。</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eastAsia="zh-CN"/>
        </w:rPr>
        <w:t>（六）项目质保期内，如乙方未及时履行本合同约定的保修义务的，甲方有权自行或聘请第三方提供保修服务，所产生的费用由乙方承担，</w:t>
      </w:r>
      <w:r>
        <w:rPr>
          <w:rStyle w:val="42"/>
          <w:rFonts w:hint="eastAsia" w:ascii="宋体" w:hAnsi="宋体" w:eastAsia="宋体" w:cs="宋体"/>
          <w:sz w:val="21"/>
          <w:szCs w:val="21"/>
          <w:lang w:val="en-US" w:eastAsia="zh-CN"/>
        </w:rPr>
        <w:t>甲方有权从剩余未付款项（包括质保金）中扣除，剩余未付款项不足以弥补甲方支付第三方的费用的，甲方有权向乙方追偿</w:t>
      </w:r>
      <w:r>
        <w:rPr>
          <w:rStyle w:val="42"/>
          <w:rFonts w:hint="eastAsia" w:ascii="宋体" w:hAnsi="宋体" w:eastAsia="宋体" w:cs="宋体"/>
          <w:sz w:val="21"/>
          <w:szCs w:val="21"/>
          <w:lang w:eastAsia="zh-CN"/>
        </w:rPr>
        <w:t>。</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val="0"/>
          <w:bCs w:val="0"/>
          <w:color w:val="auto"/>
          <w:sz w:val="21"/>
          <w:szCs w:val="21"/>
          <w:lang w:eastAsia="zh-CN"/>
        </w:rPr>
        <w:t>（七）</w:t>
      </w:r>
      <w:r>
        <w:rPr>
          <w:rFonts w:hint="eastAsia" w:ascii="宋体" w:hAnsi="宋体" w:eastAsia="宋体" w:cs="宋体"/>
          <w:b w:val="0"/>
          <w:bCs w:val="0"/>
          <w:color w:val="auto"/>
          <w:sz w:val="21"/>
          <w:szCs w:val="21"/>
        </w:rPr>
        <w:t>因乙方违反本合同约定导致甲方遭受损失的，乙方应当赔偿甲方的损失。</w:t>
      </w:r>
      <w:r>
        <w:rPr>
          <w:rFonts w:hint="eastAsia" w:ascii="宋体" w:hAnsi="宋体" w:eastAsia="宋体" w:cs="宋体"/>
          <w:b w:val="0"/>
          <w:bCs w:val="0"/>
          <w:color w:val="auto"/>
          <w:sz w:val="21"/>
          <w:szCs w:val="21"/>
          <w:lang w:val="en-US" w:eastAsia="zh-CN"/>
        </w:rPr>
        <w:t>甲方有权在任何一期应付合同价款中扣除乙方按照本合同应支付的违约金。</w:t>
      </w:r>
    </w:p>
    <w:p>
      <w:pPr>
        <w:keepNext w:val="0"/>
        <w:keepLines w:val="0"/>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宋体" w:cs="宋体"/>
          <w:b/>
          <w:bCs/>
          <w:sz w:val="21"/>
          <w:szCs w:val="21"/>
          <w:highlight w:val="none"/>
          <w:lang w:val="en-US" w:eastAsia="zh-CN"/>
        </w:rPr>
      </w:pPr>
      <w:r>
        <w:rPr>
          <w:rStyle w:val="42"/>
          <w:rFonts w:hint="eastAsia" w:ascii="宋体" w:hAnsi="宋体" w:eastAsia="宋体" w:cs="宋体"/>
          <w:sz w:val="21"/>
          <w:szCs w:val="21"/>
          <w:lang w:eastAsia="zh-CN"/>
        </w:rPr>
        <w:t>（八）</w:t>
      </w:r>
      <w:r>
        <w:rPr>
          <w:rStyle w:val="42"/>
          <w:rFonts w:hint="eastAsia" w:ascii="宋体" w:hAnsi="宋体" w:eastAsia="宋体" w:cs="宋体"/>
          <w:sz w:val="21"/>
          <w:szCs w:val="21"/>
        </w:rPr>
        <w:t>因一方原因，合同无法继续履行时，经与对方协商同意后办理合同终止手续，并由责任方赔偿对方由此造成的经济损失。本合同所称损失包括但不限于直接的经济损失、预期（可得）利益损失及为此而支出的</w:t>
      </w:r>
      <w:r>
        <w:rPr>
          <w:rStyle w:val="42"/>
          <w:rFonts w:hint="eastAsia" w:ascii="宋体" w:hAnsi="宋体" w:eastAsia="宋体" w:cs="宋体"/>
          <w:sz w:val="21"/>
          <w:szCs w:val="21"/>
          <w:lang w:val="en-US" w:eastAsia="zh-CN"/>
        </w:rPr>
        <w:t>维权支出（包括但不限于</w:t>
      </w:r>
      <w:r>
        <w:rPr>
          <w:rStyle w:val="42"/>
          <w:rFonts w:hint="eastAsia" w:ascii="宋体" w:hAnsi="宋体" w:eastAsia="宋体" w:cs="宋体"/>
          <w:sz w:val="21"/>
          <w:szCs w:val="21"/>
        </w:rPr>
        <w:t>调查取证费、鉴定费、公证费、评估费、交通差旅费、诉讼费、律师费、财产保全费</w:t>
      </w:r>
      <w:r>
        <w:rPr>
          <w:rStyle w:val="42"/>
          <w:rFonts w:hint="eastAsia" w:ascii="宋体" w:hAnsi="宋体" w:eastAsia="宋体" w:cs="宋体"/>
          <w:sz w:val="21"/>
          <w:szCs w:val="21"/>
          <w:lang w:eastAsia="zh-CN"/>
        </w:rPr>
        <w:t>、</w:t>
      </w:r>
      <w:r>
        <w:rPr>
          <w:rStyle w:val="42"/>
          <w:rFonts w:hint="eastAsia" w:ascii="宋体" w:hAnsi="宋体" w:eastAsia="宋体" w:cs="宋体"/>
          <w:sz w:val="21"/>
          <w:szCs w:val="21"/>
          <w:lang w:val="en-US" w:eastAsia="zh-CN"/>
        </w:rPr>
        <w:t>财产保全保险费</w:t>
      </w:r>
      <w:r>
        <w:rPr>
          <w:rStyle w:val="42"/>
          <w:rFonts w:hint="eastAsia" w:ascii="宋体" w:hAnsi="宋体" w:eastAsia="宋体" w:cs="宋体"/>
          <w:sz w:val="21"/>
          <w:szCs w:val="21"/>
        </w:rPr>
        <w:t>等</w:t>
      </w:r>
      <w:r>
        <w:rPr>
          <w:rStyle w:val="42"/>
          <w:rFonts w:hint="eastAsia" w:ascii="宋体" w:hAnsi="宋体" w:eastAsia="宋体" w:cs="宋体"/>
          <w:sz w:val="21"/>
          <w:szCs w:val="21"/>
          <w:lang w:eastAsia="zh-CN"/>
        </w:rPr>
        <w:t>）</w:t>
      </w:r>
      <w:r>
        <w:rPr>
          <w:rStyle w:val="42"/>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第八条  知识产权与商业秘密</w:t>
      </w:r>
    </w:p>
    <w:p>
      <w:pPr>
        <w:keepNext w:val="0"/>
        <w:keepLines w:val="0"/>
        <w:pageBreakBefore w:val="0"/>
        <w:widowControl w:val="0"/>
        <w:numPr>
          <w:ilvl w:val="0"/>
          <w:numId w:val="9"/>
        </w:numPr>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甲方提供的</w:t>
      </w:r>
      <w:r>
        <w:rPr>
          <w:rFonts w:hint="eastAsia" w:ascii="宋体" w:hAnsi="宋体" w:eastAsia="宋体" w:cs="宋体"/>
          <w:bCs w:val="0"/>
          <w:sz w:val="21"/>
          <w:szCs w:val="21"/>
          <w:highlight w:val="none"/>
          <w:lang w:eastAsia="zh-CN"/>
        </w:rPr>
        <w:t>任何与本项目相关的图片、文字、音视频等材料的知识产权均</w:t>
      </w:r>
      <w:r>
        <w:rPr>
          <w:rFonts w:hint="eastAsia" w:ascii="宋体" w:hAnsi="宋体" w:eastAsia="宋体" w:cs="宋体"/>
          <w:bCs w:val="0"/>
          <w:sz w:val="21"/>
          <w:szCs w:val="21"/>
          <w:highlight w:val="none"/>
        </w:rPr>
        <w:t>归甲方所有，乙方不得将其用于合同项目以外的其他目的或向第三方提供</w:t>
      </w:r>
      <w:r>
        <w:rPr>
          <w:rFonts w:hint="eastAsia" w:ascii="宋体" w:hAnsi="宋体" w:eastAsia="宋体" w:cs="宋体"/>
          <w:bCs w:val="0"/>
          <w:sz w:val="21"/>
          <w:szCs w:val="21"/>
          <w:highlight w:val="none"/>
          <w:lang w:eastAsia="zh-CN"/>
        </w:rPr>
        <w:t>上述材料</w:t>
      </w:r>
      <w:r>
        <w:rPr>
          <w:rFonts w:hint="eastAsia" w:ascii="宋体" w:hAnsi="宋体" w:eastAsia="宋体" w:cs="宋体"/>
          <w:bCs w:val="0"/>
          <w:sz w:val="21"/>
          <w:szCs w:val="21"/>
          <w:highlight w:val="none"/>
        </w:rPr>
        <w:t>，否则乙方应另行承担侵权责任。</w:t>
      </w:r>
    </w:p>
    <w:p>
      <w:pPr>
        <w:keepNext w:val="0"/>
        <w:keepLines w:val="0"/>
        <w:pageBreakBefore w:val="0"/>
        <w:widowControl w:val="0"/>
        <w:numPr>
          <w:ilvl w:val="0"/>
          <w:numId w:val="10"/>
        </w:numPr>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乙方在签订和履行本合同中知悉的</w:t>
      </w:r>
      <w:r>
        <w:rPr>
          <w:rFonts w:hint="eastAsia" w:ascii="宋体" w:hAnsi="宋体" w:eastAsia="宋体" w:cs="宋体"/>
          <w:bCs w:val="0"/>
          <w:sz w:val="21"/>
          <w:szCs w:val="21"/>
          <w:highlight w:val="none"/>
        </w:rPr>
        <w:t>甲方</w:t>
      </w:r>
      <w:r>
        <w:rPr>
          <w:rFonts w:hint="eastAsia" w:ascii="宋体" w:hAnsi="宋体" w:eastAsia="宋体" w:cs="宋体"/>
          <w:b w:val="0"/>
          <w:bCs w:val="0"/>
          <w:sz w:val="21"/>
          <w:szCs w:val="21"/>
          <w:highlight w:val="none"/>
          <w:lang w:val="en-US" w:eastAsia="zh-CN"/>
        </w:rPr>
        <w:t>的全部信息（包括技术信息和经营信息等）均为</w:t>
      </w:r>
      <w:r>
        <w:rPr>
          <w:rFonts w:hint="eastAsia" w:ascii="宋体" w:hAnsi="宋体" w:eastAsia="宋体" w:cs="宋体"/>
          <w:bCs w:val="0"/>
          <w:sz w:val="21"/>
          <w:szCs w:val="21"/>
          <w:highlight w:val="none"/>
        </w:rPr>
        <w:t>甲方</w:t>
      </w:r>
      <w:r>
        <w:rPr>
          <w:rFonts w:hint="eastAsia" w:ascii="宋体" w:hAnsi="宋体" w:eastAsia="宋体" w:cs="宋体"/>
          <w:b w:val="0"/>
          <w:bCs w:val="0"/>
          <w:sz w:val="21"/>
          <w:szCs w:val="21"/>
          <w:highlight w:val="none"/>
          <w:lang w:val="en-US" w:eastAsia="zh-CN"/>
        </w:rPr>
        <w:t>的商业秘密。除本合同规定之工作所需外，未经</w:t>
      </w:r>
      <w:r>
        <w:rPr>
          <w:rFonts w:hint="eastAsia" w:ascii="宋体" w:hAnsi="宋体" w:eastAsia="宋体" w:cs="宋体"/>
          <w:bCs w:val="0"/>
          <w:sz w:val="21"/>
          <w:szCs w:val="21"/>
          <w:highlight w:val="none"/>
        </w:rPr>
        <w:t>甲方</w:t>
      </w:r>
      <w:r>
        <w:rPr>
          <w:rFonts w:hint="eastAsia" w:ascii="宋体" w:hAnsi="宋体" w:eastAsia="宋体" w:cs="宋体"/>
          <w:b w:val="0"/>
          <w:bCs w:val="0"/>
          <w:sz w:val="21"/>
          <w:szCs w:val="21"/>
          <w:highlight w:val="none"/>
          <w:lang w:val="en-US" w:eastAsia="zh-CN"/>
        </w:rPr>
        <w:t>事先书面同意，乙方不得使用、披露甲方的商业秘密，不得擅自使用、复制甲方的商标、标志、商业信息、技术及其他资料，否则乙方应承担相应的侵权责任。</w:t>
      </w:r>
    </w:p>
    <w:p>
      <w:pPr>
        <w:keepNext w:val="0"/>
        <w:keepLines w:val="0"/>
        <w:pageBreakBefore w:val="0"/>
        <w:widowControl w:val="0"/>
        <w:kinsoku/>
        <w:overflowPunct/>
        <w:topLinePunct w:val="0"/>
        <w:autoSpaceDE/>
        <w:autoSpaceDN/>
        <w:bidi w:val="0"/>
        <w:spacing w:line="360" w:lineRule="auto"/>
        <w:ind w:firstLine="420" w:firstLineChars="200"/>
        <w:textAlignment w:val="auto"/>
        <w:rPr>
          <w:rStyle w:val="42"/>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（三）</w:t>
      </w:r>
      <w:r>
        <w:rPr>
          <w:rFonts w:hint="eastAsia" w:ascii="宋体" w:hAnsi="宋体" w:eastAsia="宋体" w:cs="宋体"/>
          <w:color w:val="000000"/>
          <w:sz w:val="21"/>
          <w:szCs w:val="21"/>
        </w:rPr>
        <w:t>本</w:t>
      </w:r>
      <w:r>
        <w:rPr>
          <w:rFonts w:hint="eastAsia" w:ascii="宋体" w:hAnsi="宋体" w:eastAsia="宋体" w:cs="宋体"/>
          <w:color w:val="000000"/>
          <w:sz w:val="21"/>
          <w:szCs w:val="21"/>
          <w:lang w:eastAsia="zh-CN"/>
        </w:rPr>
        <w:t>合同</w:t>
      </w:r>
      <w:r>
        <w:rPr>
          <w:rFonts w:hint="eastAsia" w:ascii="宋体" w:hAnsi="宋体" w:eastAsia="宋体" w:cs="宋体"/>
          <w:color w:val="000000"/>
          <w:sz w:val="21"/>
          <w:szCs w:val="21"/>
        </w:rPr>
        <w:t>有效期内及终止后，本条款</w:t>
      </w:r>
      <w:r>
        <w:rPr>
          <w:rFonts w:hint="eastAsia" w:ascii="宋体" w:hAnsi="宋体" w:eastAsia="宋体" w:cs="宋体"/>
          <w:color w:val="000000"/>
          <w:sz w:val="21"/>
          <w:szCs w:val="21"/>
          <w:lang w:val="en-US" w:eastAsia="zh-CN"/>
        </w:rPr>
        <w:t>对乙方</w:t>
      </w:r>
      <w:r>
        <w:rPr>
          <w:rFonts w:hint="eastAsia" w:ascii="宋体" w:hAnsi="宋体" w:eastAsia="宋体" w:cs="宋体"/>
          <w:color w:val="000000"/>
          <w:sz w:val="21"/>
          <w:szCs w:val="21"/>
        </w:rPr>
        <w:t>仍具有法律效力。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第九条  不可抗力及免责</w:t>
      </w:r>
    </w:p>
    <w:p>
      <w:pPr>
        <w:keepNext w:val="0"/>
        <w:keepLines w:val="0"/>
        <w:pageBreakBefore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highlight w:val="none"/>
          <w:lang w:eastAsia="zh-CN"/>
        </w:rPr>
        <w:t>（一）“不可抗力”是指本合同双方不能合理控制、不可预见或即使预见亦无法避免的事件，该事件妨碍、影响或延误任何一方根据本合同履行其全部或部分义务。不可抗力包括但不限于：自然原因的不可抗力，例如：地震、火灾、洪水、严重的传染性疾病等；国家机关原因的不可抗力，例如：法律、政策、行政指令、政府行为和国家政策发生根本性改变；其它不可抗力：战争、武装冲突、动乱等其他突发事件等。</w:t>
      </w:r>
    </w:p>
    <w:p>
      <w:pPr>
        <w:keepNext w:val="0"/>
        <w:keepLines w:val="0"/>
        <w:pageBreakBefore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highlight w:val="none"/>
          <w:lang w:eastAsia="zh-CN"/>
        </w:rPr>
        <w:t>（二）任何一方由于不可抗力原因不能履行合同时，应在不可抗力事件结束后3日内向对方通报，以减轻可能给对方造成的损失。在取得有关机构的不可抗力证明或双方谅解确认后，双方可根据不可抗力事件对合同履行的影响程度协商决定延期履行、变更合同或解除合同，并免于承担违约责任。</w:t>
      </w:r>
    </w:p>
    <w:p>
      <w:pPr>
        <w:keepNext w:val="0"/>
        <w:keepLines w:val="0"/>
        <w:pageBreakBefore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Cs w:val="0"/>
          <w:sz w:val="21"/>
          <w:szCs w:val="21"/>
          <w:highlight w:val="none"/>
          <w:lang w:eastAsia="zh-CN"/>
        </w:rPr>
        <w:t>（三）</w:t>
      </w:r>
      <w:r>
        <w:rPr>
          <w:rFonts w:hint="eastAsia" w:ascii="宋体" w:hAnsi="宋体" w:eastAsia="宋体" w:cs="宋体"/>
          <w:bCs w:val="0"/>
          <w:sz w:val="21"/>
          <w:szCs w:val="21"/>
          <w:highlight w:val="none"/>
        </w:rPr>
        <w:t>遭受不可抗力的一方未履行上述义务或不可抗力发生在一方违约前或违约后的，不能免除其违约责任。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bCs/>
          <w:sz w:val="21"/>
          <w:szCs w:val="21"/>
          <w:highlight w:val="none"/>
          <w:lang w:val="en-US" w:eastAsia="zh-CN"/>
        </w:rPr>
      </w:pPr>
      <w:r>
        <w:rPr>
          <w:rStyle w:val="42"/>
          <w:rFonts w:hint="eastAsia" w:ascii="宋体" w:hAnsi="宋体" w:eastAsia="宋体" w:cs="宋体"/>
          <w:b/>
          <w:sz w:val="21"/>
          <w:szCs w:val="21"/>
          <w:lang w:eastAsia="zh-CN"/>
        </w:rPr>
        <w:t>第</w:t>
      </w:r>
      <w:r>
        <w:rPr>
          <w:rStyle w:val="42"/>
          <w:rFonts w:hint="eastAsia" w:ascii="宋体" w:hAnsi="宋体" w:eastAsia="宋体" w:cs="宋体"/>
          <w:b/>
          <w:sz w:val="21"/>
          <w:szCs w:val="21"/>
        </w:rPr>
        <w:t>十</w:t>
      </w:r>
      <w:r>
        <w:rPr>
          <w:rStyle w:val="42"/>
          <w:rFonts w:hint="eastAsia" w:ascii="宋体" w:hAnsi="宋体" w:eastAsia="宋体" w:cs="宋体"/>
          <w:b/>
          <w:sz w:val="21"/>
          <w:szCs w:val="21"/>
          <w:lang w:eastAsia="zh-CN"/>
        </w:rPr>
        <w:t>条</w:t>
      </w:r>
      <w:r>
        <w:rPr>
          <w:rStyle w:val="42"/>
          <w:rFonts w:hint="eastAsia" w:ascii="宋体" w:hAnsi="宋体" w:eastAsia="宋体" w:cs="宋体"/>
          <w:b/>
          <w:sz w:val="21"/>
          <w:szCs w:val="21"/>
          <w:lang w:val="en-US" w:eastAsia="zh-CN"/>
        </w:rPr>
        <w:t xml:space="preserve">  </w:t>
      </w:r>
      <w:r>
        <w:rPr>
          <w:rFonts w:hint="eastAsia" w:ascii="宋体" w:hAnsi="宋体" w:eastAsia="宋体" w:cs="宋体"/>
          <w:b/>
          <w:bCs/>
          <w:sz w:val="21"/>
          <w:szCs w:val="21"/>
          <w:highlight w:val="none"/>
          <w:lang w:val="en-US" w:eastAsia="zh-CN"/>
        </w:rPr>
        <w:t>法律适用及争议解决</w:t>
      </w:r>
    </w:p>
    <w:p>
      <w:pPr>
        <w:rPr>
          <w:rStyle w:val="42"/>
          <w:rFonts w:hint="eastAsia" w:ascii="宋体" w:hAnsi="宋体" w:eastAsia="宋体" w:cs="宋体"/>
          <w:kern w:val="0"/>
          <w:sz w:val="21"/>
          <w:szCs w:val="21"/>
          <w:lang w:val="en-US" w:eastAsia="zh-CN" w:bidi="ar-SA"/>
        </w:rPr>
      </w:pPr>
      <w:r>
        <w:rPr>
          <w:rStyle w:val="42"/>
          <w:rFonts w:hint="eastAsia" w:ascii="宋体" w:hAnsi="宋体" w:eastAsia="宋体" w:cs="宋体"/>
          <w:kern w:val="0"/>
          <w:sz w:val="21"/>
          <w:szCs w:val="21"/>
          <w:lang w:val="en-US" w:eastAsia="zh-CN" w:bidi="ar-SA"/>
        </w:rPr>
        <w:t>（一）本合同受中华人民共和国法律解释和管辖，并不考虑法律冲突。</w:t>
      </w:r>
    </w:p>
    <w:p>
      <w:pPr>
        <w:pStyle w:val="44"/>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42"/>
          <w:rFonts w:hint="eastAsia" w:ascii="宋体" w:hAnsi="宋体" w:eastAsia="宋体" w:cs="宋体"/>
          <w:kern w:val="0"/>
          <w:sz w:val="21"/>
          <w:szCs w:val="21"/>
          <w:lang w:val="en-US" w:eastAsia="zh-CN" w:bidi="ar-SA"/>
        </w:rPr>
      </w:pPr>
      <w:r>
        <w:rPr>
          <w:rStyle w:val="42"/>
          <w:rFonts w:hint="eastAsia" w:ascii="宋体" w:hAnsi="宋体" w:eastAsia="宋体" w:cs="宋体"/>
          <w:kern w:val="0"/>
          <w:sz w:val="21"/>
          <w:szCs w:val="21"/>
          <w:lang w:val="en-US" w:eastAsia="zh-CN" w:bidi="ar-SA"/>
        </w:rPr>
        <w:t>（二）双方约定，合同签订地为广州市越秀区。有关本合同的任何争议应由双方秉承善意友好协商解决。</w:t>
      </w:r>
      <w:r>
        <w:rPr>
          <w:rFonts w:hint="eastAsia" w:ascii="宋体" w:hAnsi="宋体" w:eastAsia="宋体" w:cs="宋体"/>
          <w:b w:val="0"/>
          <w:bCs w:val="0"/>
          <w:sz w:val="21"/>
          <w:szCs w:val="21"/>
        </w:rPr>
        <w:t>若</w:t>
      </w:r>
      <w:r>
        <w:rPr>
          <w:rFonts w:hint="eastAsia" w:ascii="宋体" w:hAnsi="宋体" w:eastAsia="宋体" w:cs="宋体"/>
          <w:b w:val="0"/>
          <w:bCs w:val="0"/>
          <w:sz w:val="21"/>
          <w:szCs w:val="21"/>
          <w:lang w:eastAsia="zh-CN"/>
        </w:rPr>
        <w:t>双方</w:t>
      </w:r>
      <w:r>
        <w:rPr>
          <w:rFonts w:hint="eastAsia" w:ascii="宋体" w:hAnsi="宋体" w:eastAsia="宋体" w:cs="宋体"/>
          <w:b w:val="0"/>
          <w:bCs w:val="0"/>
          <w:sz w:val="21"/>
          <w:szCs w:val="21"/>
        </w:rPr>
        <w:t>协商不成，</w:t>
      </w:r>
      <w:r>
        <w:rPr>
          <w:rFonts w:hint="eastAsia" w:ascii="宋体" w:hAnsi="宋体" w:eastAsia="宋体" w:cs="宋体"/>
          <w:b w:val="0"/>
          <w:bCs w:val="0"/>
          <w:sz w:val="21"/>
          <w:szCs w:val="21"/>
          <w:lang w:eastAsia="zh-CN"/>
        </w:rPr>
        <w:t>一方可</w:t>
      </w:r>
      <w:r>
        <w:rPr>
          <w:rStyle w:val="42"/>
          <w:rFonts w:hint="eastAsia" w:ascii="宋体" w:hAnsi="宋体" w:eastAsia="宋体" w:cs="宋体"/>
          <w:kern w:val="0"/>
          <w:sz w:val="21"/>
          <w:szCs w:val="21"/>
          <w:lang w:val="en-US" w:eastAsia="zh-CN" w:bidi="ar-SA"/>
        </w:rPr>
        <w:t>将争议提交合同签订地有管辖权的法院诉讼解决。</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第十一条  通知与送达</w:t>
      </w:r>
    </w:p>
    <w:p>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本合同有关的通知、文件等均须采用书面形式发出，并通过快递或专人送至本合同首页载明的通讯地址。快递寄出第三日（无论对方签收与否）与对方签收日中较早的日期视为已送达日期。一方的地址如发生变更，应于变更后七天内通知对方，未通知或延迟通知的，由其承担法律后果。</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w:t>
      </w:r>
      <w:r>
        <w:rPr>
          <w:rStyle w:val="42"/>
          <w:rFonts w:hint="eastAsia" w:ascii="宋体" w:hAnsi="宋体" w:eastAsia="宋体" w:cs="宋体"/>
          <w:b/>
          <w:sz w:val="21"/>
          <w:szCs w:val="21"/>
        </w:rPr>
        <w:t>十</w:t>
      </w:r>
      <w:r>
        <w:rPr>
          <w:rStyle w:val="42"/>
          <w:rFonts w:hint="eastAsia" w:ascii="宋体" w:hAnsi="宋体" w:eastAsia="宋体" w:cs="宋体"/>
          <w:b/>
          <w:sz w:val="21"/>
          <w:szCs w:val="21"/>
          <w:lang w:eastAsia="zh-CN"/>
        </w:rPr>
        <w:t>二条</w:t>
      </w: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rPr>
        <w:t>其他</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（一）</w:t>
      </w:r>
      <w:r>
        <w:rPr>
          <w:rFonts w:hint="eastAsia" w:ascii="宋体" w:hAnsi="宋体" w:eastAsia="宋体" w:cs="宋体"/>
          <w:sz w:val="21"/>
          <w:szCs w:val="21"/>
          <w:lang w:eastAsia="zh-CN"/>
        </w:rPr>
        <w:t>本合同经双方</w:t>
      </w:r>
      <w:r>
        <w:rPr>
          <w:rFonts w:hint="eastAsia" w:cs="宋体"/>
          <w:sz w:val="21"/>
          <w:szCs w:val="21"/>
          <w:lang w:eastAsia="zh-CN"/>
        </w:rPr>
        <w:t>法定代表人/负责人</w:t>
      </w:r>
      <w:r>
        <w:rPr>
          <w:rFonts w:hint="eastAsia" w:ascii="宋体" w:hAnsi="宋体" w:eastAsia="宋体" w:cs="宋体"/>
          <w:sz w:val="21"/>
          <w:szCs w:val="21"/>
          <w:lang w:eastAsia="zh-CN"/>
        </w:rPr>
        <w:t>或授权代理人签字并盖章之日起生效</w:t>
      </w:r>
      <w:r>
        <w:rPr>
          <w:rStyle w:val="42"/>
          <w:rFonts w:hint="eastAsia" w:ascii="宋体" w:hAnsi="宋体" w:eastAsia="宋体" w:cs="宋体"/>
          <w:sz w:val="21"/>
          <w:szCs w:val="21"/>
        </w:rPr>
        <w:t>。</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（二）</w:t>
      </w:r>
      <w:r>
        <w:rPr>
          <w:rFonts w:hint="eastAsia" w:ascii="宋体" w:hAnsi="宋体" w:eastAsia="宋体" w:cs="宋体"/>
          <w:sz w:val="21"/>
          <w:szCs w:val="21"/>
          <w:lang w:eastAsia="zh-CN"/>
        </w:rPr>
        <w:t>本合同共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肆</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份，具有同等法律效力</w:t>
      </w:r>
      <w:r>
        <w:rPr>
          <w:rStyle w:val="42"/>
          <w:rFonts w:hint="eastAsia" w:ascii="宋体" w:hAnsi="宋体" w:eastAsia="宋体" w:cs="宋体"/>
          <w:sz w:val="21"/>
          <w:szCs w:val="21"/>
        </w:rPr>
        <w:t>。</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三）在执行本合同的过程中，所有经双方签署确认的文件（包括会议纪要、补充协议、往来信函）即成为本合同的有效组成部分。本合同未尽事宜或任何一方就本合同的任何条款要求修改，须由双方签订书面补充协议。补充协议是本合同的组成部分，与本合同具有同等法律效力，不一致之处以补充协议为准。</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lang w:eastAsia="zh-CN"/>
        </w:rPr>
      </w:pPr>
      <w:r>
        <w:rPr>
          <w:rStyle w:val="42"/>
          <w:rFonts w:hint="eastAsia" w:ascii="宋体" w:hAnsi="宋体" w:eastAsia="宋体" w:cs="宋体"/>
          <w:sz w:val="21"/>
          <w:szCs w:val="21"/>
          <w:highlight w:val="none"/>
          <w:lang w:eastAsia="zh-CN"/>
        </w:rPr>
        <w:t>（四）</w:t>
      </w:r>
      <w:r>
        <w:rPr>
          <w:rStyle w:val="42"/>
          <w:rFonts w:hint="eastAsia" w:ascii="宋体" w:hAnsi="宋体" w:eastAsia="宋体" w:cs="宋体"/>
          <w:sz w:val="21"/>
          <w:szCs w:val="21"/>
          <w:highlight w:val="none"/>
        </w:rPr>
        <w:t>以下附件均为本合同组成部分，与本合同具有同等法律效力。</w:t>
      </w:r>
      <w:r>
        <w:rPr>
          <w:rStyle w:val="42"/>
          <w:rFonts w:hint="eastAsia" w:ascii="宋体" w:hAnsi="宋体" w:eastAsia="宋体" w:cs="宋体"/>
          <w:sz w:val="21"/>
          <w:szCs w:val="21"/>
          <w:highlight w:val="none"/>
          <w:lang w:eastAsia="zh-CN"/>
        </w:rPr>
        <w:t>附件有：</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default" w:ascii="宋体" w:hAnsi="宋体" w:eastAsia="宋体" w:cs="宋体"/>
          <w:sz w:val="21"/>
          <w:szCs w:val="21"/>
          <w:highlight w:val="none"/>
          <w:lang w:val="en-US" w:eastAsia="zh-CN"/>
        </w:rPr>
      </w:pPr>
      <w:r>
        <w:rPr>
          <w:rStyle w:val="42"/>
          <w:rFonts w:hint="eastAsia" w:ascii="宋体" w:hAnsi="宋体" w:eastAsia="宋体" w:cs="宋体"/>
          <w:sz w:val="21"/>
          <w:szCs w:val="21"/>
          <w:highlight w:val="none"/>
          <w:lang w:val="en-US" w:eastAsia="zh-CN"/>
        </w:rPr>
        <w:t>1、附件一：</w:t>
      </w:r>
      <w:r>
        <w:rPr>
          <w:rStyle w:val="42"/>
          <w:rFonts w:hint="eastAsia" w:cs="宋体"/>
          <w:sz w:val="21"/>
          <w:szCs w:val="21"/>
          <w:highlight w:val="none"/>
          <w:lang w:val="en-US" w:eastAsia="zh-CN"/>
        </w:rPr>
        <w:t>年度供应商的管理及使用原则</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lang w:val="en-US" w:eastAsia="zh-CN"/>
        </w:rPr>
      </w:pPr>
      <w:r>
        <w:rPr>
          <w:rStyle w:val="42"/>
          <w:rFonts w:hint="eastAsia" w:cs="宋体"/>
          <w:sz w:val="21"/>
          <w:szCs w:val="21"/>
          <w:highlight w:val="none"/>
          <w:lang w:val="en-US" w:eastAsia="zh-CN"/>
        </w:rPr>
        <w:t>2</w:t>
      </w:r>
      <w:r>
        <w:rPr>
          <w:rStyle w:val="42"/>
          <w:rFonts w:hint="eastAsia" w:ascii="宋体" w:hAnsi="宋体" w:eastAsia="宋体" w:cs="宋体"/>
          <w:sz w:val="21"/>
          <w:szCs w:val="21"/>
          <w:highlight w:val="none"/>
          <w:lang w:val="en-US" w:eastAsia="zh-CN"/>
        </w:rPr>
        <w:t>、附件</w:t>
      </w:r>
      <w:r>
        <w:rPr>
          <w:rStyle w:val="42"/>
          <w:rFonts w:hint="eastAsia" w:cs="宋体"/>
          <w:sz w:val="21"/>
          <w:szCs w:val="21"/>
          <w:highlight w:val="none"/>
          <w:lang w:val="en-US" w:eastAsia="zh-CN"/>
        </w:rPr>
        <w:t>二</w:t>
      </w:r>
      <w:r>
        <w:rPr>
          <w:rStyle w:val="42"/>
          <w:rFonts w:hint="eastAsia" w:ascii="宋体" w:hAnsi="宋体" w:eastAsia="宋体" w:cs="宋体"/>
          <w:sz w:val="21"/>
          <w:szCs w:val="21"/>
          <w:highlight w:val="none"/>
          <w:lang w:val="en-US" w:eastAsia="zh-CN"/>
        </w:rPr>
        <w:t>：项目履约考核评分表</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default" w:ascii="宋体" w:hAnsi="宋体" w:eastAsia="宋体" w:cs="宋体"/>
          <w:sz w:val="21"/>
          <w:szCs w:val="21"/>
          <w:highlight w:val="none"/>
          <w:lang w:val="en-US" w:eastAsia="zh-CN"/>
        </w:rPr>
      </w:pPr>
      <w:r>
        <w:rPr>
          <w:rStyle w:val="42"/>
          <w:rFonts w:hint="eastAsia" w:cs="宋体"/>
          <w:sz w:val="21"/>
          <w:szCs w:val="21"/>
          <w:highlight w:val="none"/>
          <w:lang w:val="en-US" w:eastAsia="zh-CN"/>
        </w:rPr>
        <w:t>3、</w:t>
      </w:r>
      <w:r>
        <w:rPr>
          <w:rStyle w:val="42"/>
          <w:rFonts w:hint="eastAsia" w:ascii="宋体" w:hAnsi="宋体" w:eastAsia="宋体" w:cs="宋体"/>
          <w:sz w:val="21"/>
          <w:szCs w:val="21"/>
          <w:highlight w:val="none"/>
          <w:lang w:val="en-US" w:eastAsia="zh-CN"/>
        </w:rPr>
        <w:t>附件</w:t>
      </w:r>
      <w:r>
        <w:rPr>
          <w:rStyle w:val="42"/>
          <w:rFonts w:hint="eastAsia" w:cs="宋体"/>
          <w:sz w:val="21"/>
          <w:szCs w:val="21"/>
          <w:highlight w:val="none"/>
          <w:lang w:val="en-US" w:eastAsia="zh-CN"/>
        </w:rPr>
        <w:t>三</w:t>
      </w:r>
      <w:r>
        <w:rPr>
          <w:rStyle w:val="42"/>
          <w:rFonts w:hint="eastAsia" w:ascii="宋体" w:hAnsi="宋体" w:eastAsia="宋体" w:cs="宋体"/>
          <w:sz w:val="21"/>
          <w:szCs w:val="21"/>
          <w:highlight w:val="none"/>
          <w:lang w:val="en-US" w:eastAsia="zh-CN"/>
        </w:rPr>
        <w:t>：</w:t>
      </w:r>
      <w:r>
        <w:rPr>
          <w:rStyle w:val="42"/>
          <w:rFonts w:hint="eastAsia" w:cs="宋体"/>
          <w:sz w:val="21"/>
          <w:szCs w:val="21"/>
          <w:highlight w:val="none"/>
          <w:lang w:val="en-US" w:eastAsia="zh-CN"/>
        </w:rPr>
        <w:t>廉政责任书</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u w:val="single"/>
          <w:lang w:val="en-US" w:eastAsia="zh-CN"/>
        </w:rPr>
      </w:pP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【以下无正文】</w:t>
      </w:r>
    </w:p>
    <w:p>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sz w:val="21"/>
          <w:szCs w:val="21"/>
          <w:shd w:val="clear" w:color="auto" w:fill="FFFFFF"/>
        </w:rPr>
      </w:pPr>
    </w:p>
    <w:p>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sz w:val="21"/>
          <w:szCs w:val="21"/>
          <w:shd w:val="clear" w:color="auto" w:fill="FFFFFF"/>
        </w:rPr>
      </w:pPr>
    </w:p>
    <w:p>
      <w:pPr>
        <w:keepNext w:val="0"/>
        <w:keepLines w:val="0"/>
        <w:pageBreakBefore w:val="0"/>
        <w:kinsoku/>
        <w:overflowPunct/>
        <w:topLinePunct w:val="0"/>
        <w:autoSpaceDE/>
        <w:autoSpaceDN/>
        <w:bidi w:val="0"/>
        <w:snapToGrid w:val="0"/>
        <w:spacing w:line="360" w:lineRule="auto"/>
        <w:ind w:firstLine="0" w:firstLineChars="0"/>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甲方（盖章）：</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乙方（盖章）：</w:t>
      </w:r>
    </w:p>
    <w:p>
      <w:pPr>
        <w:pStyle w:val="2"/>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1"/>
          <w:szCs w:val="21"/>
        </w:rPr>
      </w:pPr>
    </w:p>
    <w:p>
      <w:pPr>
        <w:keepNext w:val="0"/>
        <w:keepLines w:val="0"/>
        <w:pageBreakBefore w:val="0"/>
        <w:kinsoku/>
        <w:overflowPunct/>
        <w:topLinePunct w:val="0"/>
        <w:autoSpaceDE/>
        <w:autoSpaceDN/>
        <w:bidi w:val="0"/>
        <w:snapToGrid w:val="0"/>
        <w:spacing w:line="360" w:lineRule="auto"/>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法人（授权）代表签字：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xml:space="preserve">  法人（授权）代表签字：     </w:t>
      </w:r>
    </w:p>
    <w:p>
      <w:pPr>
        <w:keepNext w:val="0"/>
        <w:keepLines w:val="0"/>
        <w:pageBreakBefore w:val="0"/>
        <w:kinsoku/>
        <w:overflowPunct/>
        <w:topLinePunct w:val="0"/>
        <w:autoSpaceDE/>
        <w:autoSpaceDN/>
        <w:bidi w:val="0"/>
        <w:snapToGrid w:val="0"/>
        <w:spacing w:line="360" w:lineRule="auto"/>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Calibri" w:hAnsi="宋体" w:eastAsia="宋体" w:cs="Times New Roman"/>
          <w:b/>
          <w:bCs/>
          <w:sz w:val="22"/>
          <w:szCs w:val="21"/>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日</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日</w:t>
      </w:r>
    </w:p>
    <w:p>
      <w:pPr>
        <w:rPr>
          <w:rFonts w:hint="eastAsia"/>
          <w:b/>
          <w:bCs/>
          <w:sz w:val="21"/>
          <w:szCs w:val="21"/>
          <w:lang w:val="en-US" w:eastAsia="zh-CN"/>
        </w:rPr>
      </w:pPr>
      <w:r>
        <w:rPr>
          <w:rFonts w:hint="eastAsia"/>
          <w:b/>
          <w:bCs/>
          <w:sz w:val="21"/>
          <w:szCs w:val="21"/>
          <w:lang w:val="en-US" w:eastAsia="zh-CN"/>
        </w:rPr>
        <w:br w:type="page"/>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eastAsia"/>
          <w:b/>
          <w:bCs/>
          <w:sz w:val="21"/>
          <w:szCs w:val="21"/>
          <w:lang w:val="en-US" w:eastAsia="zh-CN"/>
        </w:rPr>
      </w:pPr>
      <w:r>
        <w:rPr>
          <w:rFonts w:hint="eastAsia"/>
          <w:b/>
          <w:bCs/>
          <w:sz w:val="21"/>
          <w:szCs w:val="21"/>
          <w:lang w:val="en-US" w:eastAsia="zh-CN"/>
        </w:rPr>
        <w:t>附件一：年度供应商的使用及管理原则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2" w:firstLineChars="200"/>
        <w:jc w:val="center"/>
        <w:textAlignment w:val="auto"/>
        <w:rPr>
          <w:rStyle w:val="42"/>
          <w:rFonts w:hint="eastAsia" w:ascii="宋体" w:hAnsi="宋体" w:eastAsia="宋体" w:cs="宋体"/>
          <w:sz w:val="21"/>
          <w:szCs w:val="21"/>
          <w:lang w:eastAsia="zh-CN"/>
        </w:rPr>
      </w:pPr>
      <w:r>
        <w:rPr>
          <w:rStyle w:val="42"/>
          <w:rFonts w:hint="eastAsia" w:ascii="宋体" w:hAnsi="宋体" w:eastAsia="宋体" w:cs="宋体"/>
          <w:b/>
          <w:bCs/>
          <w:sz w:val="28"/>
          <w:szCs w:val="28"/>
          <w:lang w:eastAsia="zh-CN"/>
        </w:rPr>
        <w:t>年度供应商的使用及管理原则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val="en-US" w:eastAsia="zh-CN"/>
        </w:rPr>
        <w:t>（一）使用原则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每个具体项目实施前，</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通知全部年度入围供应商，并以书面形式向全部年度入围供应商发送项目需求。</w:t>
      </w:r>
      <w:r>
        <w:rPr>
          <w:rStyle w:val="42"/>
          <w:rFonts w:hint="eastAsia" w:cs="宋体"/>
          <w:sz w:val="21"/>
          <w:szCs w:val="21"/>
          <w:lang w:val="en-US" w:eastAsia="zh-CN"/>
        </w:rPr>
        <w:t>各</w:t>
      </w:r>
      <w:r>
        <w:rPr>
          <w:rStyle w:val="42"/>
          <w:rFonts w:hint="eastAsia" w:ascii="宋体" w:hAnsi="宋体" w:eastAsia="宋体" w:cs="宋体"/>
          <w:sz w:val="21"/>
          <w:szCs w:val="21"/>
          <w:lang w:val="en-US" w:eastAsia="zh-CN"/>
        </w:rPr>
        <w:t>年度供应商需在规定时间内进行响应报价。</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依照南方报业传媒集团</w:t>
      </w:r>
      <w:r>
        <w:rPr>
          <w:rFonts w:hint="eastAsia" w:cs="宋体"/>
          <w:color w:val="auto"/>
          <w:sz w:val="21"/>
          <w:szCs w:val="21"/>
          <w:highlight w:val="none"/>
          <w:lang w:val="en-US" w:eastAsia="zh-CN"/>
        </w:rPr>
        <w:t>（南方日报社）</w:t>
      </w:r>
      <w:r>
        <w:rPr>
          <w:rStyle w:val="42"/>
          <w:rFonts w:hint="eastAsia" w:ascii="宋体" w:hAnsi="宋体" w:eastAsia="宋体" w:cs="宋体"/>
          <w:sz w:val="21"/>
          <w:szCs w:val="21"/>
          <w:lang w:val="en-US" w:eastAsia="zh-CN"/>
        </w:rPr>
        <w:t>和广东南方日报经营有限公司有关管理规定，根据单个具体项目情况及供应商的报价，以最低报价确定该项目的实施单位，并签订项目合同。不满三家供应商响应报价的，</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在对项目材料作相应调整后，重新向全部年度供应商发送项目需求，年度供应商在规定时间内重新进行报价。若存在两次不满三家供应商响应报价的情况，</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可针对单个实施项目采用其他方式进行采购。</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本次年度招标入围采购适用范围不包含设计施工一体化服务采购项目。</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val="en-US" w:eastAsia="zh-CN"/>
        </w:rPr>
        <w:t>（二）管理原则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年度供应商合作期自合同签订之日起一年。服务期满后，根据</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履约评价结果，经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同意后可再续期一年，累计不超过2年。</w:t>
      </w:r>
      <w:r>
        <w:rPr>
          <w:rStyle w:val="42"/>
          <w:rFonts w:hint="eastAsia" w:ascii="宋体" w:hAnsi="宋体" w:eastAsia="宋体" w:cs="宋体"/>
          <w:sz w:val="21"/>
          <w:szCs w:val="21"/>
          <w:lang w:val="en-US" w:eastAsia="zh-CN"/>
        </w:rPr>
        <w:t>合作期内，</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将根据实际情况对年度供应商进行评价考核和动态管理。部分细则如下：</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1、每个具体项目实施前，</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以书面形式向可参与报价的全部年度供应商发送项目需求。</w:t>
      </w:r>
      <w:r>
        <w:rPr>
          <w:rStyle w:val="42"/>
          <w:rFonts w:hint="eastAsia" w:cs="宋体"/>
          <w:sz w:val="21"/>
          <w:szCs w:val="21"/>
          <w:lang w:val="en-US" w:eastAsia="zh-CN"/>
        </w:rPr>
        <w:t>各</w:t>
      </w:r>
      <w:r>
        <w:rPr>
          <w:rStyle w:val="42"/>
          <w:rFonts w:hint="eastAsia" w:ascii="宋体" w:hAnsi="宋体" w:eastAsia="宋体" w:cs="宋体"/>
          <w:sz w:val="21"/>
          <w:szCs w:val="21"/>
          <w:lang w:val="en-US" w:eastAsia="zh-CN"/>
        </w:rPr>
        <w:t>年度供应商根据</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的具体项目需求，在规定时间内以书面形式进行响应报价，如不响应则记一次“不参与项目”。</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2、</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发出的项目采购需求原则上均设定项目最高限价，</w:t>
      </w:r>
      <w:r>
        <w:rPr>
          <w:rStyle w:val="42"/>
          <w:rFonts w:hint="eastAsia" w:cs="宋体"/>
          <w:sz w:val="21"/>
          <w:szCs w:val="21"/>
          <w:lang w:val="en-US" w:eastAsia="zh-CN"/>
        </w:rPr>
        <w:t>各</w:t>
      </w:r>
      <w:r>
        <w:rPr>
          <w:rStyle w:val="42"/>
          <w:rFonts w:hint="eastAsia" w:ascii="宋体" w:hAnsi="宋体" w:eastAsia="宋体" w:cs="宋体"/>
          <w:sz w:val="21"/>
          <w:szCs w:val="21"/>
          <w:lang w:val="en-US" w:eastAsia="zh-CN"/>
        </w:rPr>
        <w:t>年度供应商的报价不得超过</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 xml:space="preserve">设定的最高限价，否则视为无效报价。年度供应商提供无效报价的，记为一次“不参与项目”。 </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default" w:ascii="宋体" w:hAnsi="宋体" w:eastAsia="宋体" w:cs="宋体"/>
          <w:sz w:val="21"/>
          <w:szCs w:val="21"/>
          <w:lang w:val="en-US" w:eastAsia="zh-CN"/>
        </w:rPr>
      </w:pPr>
      <w:r>
        <w:rPr>
          <w:rStyle w:val="42"/>
          <w:rFonts w:hint="eastAsia" w:ascii="宋体" w:hAnsi="宋体" w:eastAsia="宋体" w:cs="宋体"/>
          <w:sz w:val="21"/>
          <w:szCs w:val="21"/>
          <w:lang w:val="en-US" w:eastAsia="zh-CN"/>
        </w:rPr>
        <w:t>3、年度供应商累计 3 次“不参与项目”，则直接解除合作，取消其年度供应商资格。被取消资格的年度供应商2年内不得参与</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的同类项目投标。</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lang w:val="en-US" w:eastAsia="zh-CN"/>
        </w:rPr>
      </w:pPr>
      <w:r>
        <w:rPr>
          <w:rStyle w:val="42"/>
          <w:rFonts w:hint="eastAsia" w:ascii="宋体" w:hAnsi="宋体" w:eastAsia="宋体" w:cs="宋体"/>
          <w:sz w:val="21"/>
          <w:szCs w:val="21"/>
          <w:lang w:val="en-US" w:eastAsia="zh-CN"/>
        </w:rPr>
        <w:t>4、为加强布展实施年度供应商的管理，</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将拟定布展实施年度供应商管理规定。在具体项目完成后，</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将对照供应商管理规定，对具体项目实施供应商的需求响应、项目执行、综合服务、施工质量等方面的履约情况进行相应履约评价。评</w:t>
      </w:r>
      <w:r>
        <w:rPr>
          <w:rStyle w:val="42"/>
          <w:rFonts w:hint="eastAsia" w:ascii="宋体" w:hAnsi="宋体" w:eastAsia="宋体" w:cs="宋体"/>
          <w:sz w:val="21"/>
          <w:szCs w:val="21"/>
          <w:highlight w:val="none"/>
          <w:lang w:val="en-US" w:eastAsia="zh-CN"/>
        </w:rPr>
        <w:t>价考核得分低于</w:t>
      </w:r>
      <w:r>
        <w:rPr>
          <w:rFonts w:hint="eastAsia" w:ascii="宋体" w:hAnsi="宋体" w:cs="宋体"/>
          <w:color w:val="auto"/>
          <w:sz w:val="21"/>
          <w:szCs w:val="21"/>
          <w:highlight w:val="none"/>
          <w:lang w:val="en-US" w:eastAsia="zh-CN"/>
        </w:rPr>
        <w:t>80分的，</w:t>
      </w:r>
      <w:r>
        <w:rPr>
          <w:rFonts w:hint="eastAsia" w:cs="宋体"/>
          <w:color w:val="auto"/>
          <w:sz w:val="21"/>
          <w:szCs w:val="21"/>
          <w:highlight w:val="none"/>
          <w:lang w:val="en-US" w:eastAsia="zh-CN"/>
        </w:rPr>
        <w:t>暂停参与一次项目的报价资格</w:t>
      </w:r>
      <w:r>
        <w:rPr>
          <w:rFonts w:hint="eastAsia" w:ascii="宋体" w:hAnsi="宋体" w:cs="宋体"/>
          <w:color w:val="auto"/>
          <w:sz w:val="21"/>
          <w:szCs w:val="21"/>
          <w:highlight w:val="none"/>
          <w:lang w:val="en-US" w:eastAsia="zh-CN"/>
        </w:rPr>
        <w:t>，评价考核低于</w:t>
      </w:r>
      <w:r>
        <w:rPr>
          <w:rStyle w:val="42"/>
          <w:rFonts w:hint="eastAsia" w:ascii="宋体" w:hAnsi="宋体" w:eastAsia="宋体" w:cs="宋体"/>
          <w:sz w:val="21"/>
          <w:szCs w:val="21"/>
          <w:highlight w:val="none"/>
          <w:lang w:val="en-US" w:eastAsia="zh-CN"/>
        </w:rPr>
        <w:t>60分的，取消其后续具体项目的参与资格。</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sz w:val="28"/>
          <w:szCs w:val="28"/>
          <w:lang w:val="en-US" w:eastAsia="zh-CN"/>
        </w:rPr>
      </w:pPr>
      <w:r>
        <w:rPr>
          <w:rStyle w:val="42"/>
          <w:rFonts w:hint="eastAsia" w:ascii="宋体" w:hAnsi="宋体" w:eastAsia="宋体" w:cs="宋体"/>
          <w:sz w:val="21"/>
          <w:szCs w:val="21"/>
          <w:lang w:val="en-US" w:eastAsia="zh-CN"/>
        </w:rPr>
        <w:t>5、当服务期内可参与报价的年度供应商数量少于3家时，</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将重新启动招标增补供应商或采取其他方式开展工作。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eastAsia="宋体"/>
          <w:b/>
          <w:bCs/>
          <w:sz w:val="21"/>
          <w:szCs w:val="21"/>
          <w:lang w:val="en-US" w:eastAsia="zh-CN"/>
        </w:rPr>
      </w:pPr>
      <w:r>
        <w:rPr>
          <w:rFonts w:hint="eastAsia"/>
          <w:b/>
          <w:bCs/>
          <w:sz w:val="21"/>
          <w:szCs w:val="21"/>
          <w:lang w:val="en-US" w:eastAsia="zh-CN"/>
        </w:rPr>
        <w:t>附件二：项目履约考核评分表</w:t>
      </w:r>
    </w:p>
    <w:p>
      <w:pPr>
        <w:jc w:val="center"/>
        <w:rPr>
          <w:rFonts w:hint="eastAsia"/>
          <w:b/>
          <w:bCs/>
          <w:sz w:val="28"/>
          <w:szCs w:val="28"/>
        </w:rPr>
      </w:pPr>
      <w:r>
        <w:rPr>
          <w:rFonts w:hint="eastAsia"/>
          <w:b/>
          <w:bCs/>
          <w:sz w:val="28"/>
          <w:szCs w:val="28"/>
        </w:rPr>
        <w:t>项目履约考核评分表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186"/>
        <w:gridCol w:w="2055"/>
        <w:gridCol w:w="1375"/>
        <w:gridCol w:w="1295"/>
        <w:gridCol w:w="1033"/>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8414" w:type="dxa"/>
            <w:gridSpan w:val="6"/>
            <w:vAlign w:val="center"/>
          </w:tcPr>
          <w:p>
            <w:pPr>
              <w:jc w:val="left"/>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0"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供应商</w:t>
            </w:r>
          </w:p>
        </w:tc>
        <w:tc>
          <w:tcPr>
            <w:tcW w:w="8414" w:type="dxa"/>
            <w:gridSpan w:val="6"/>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开工时间</w:t>
            </w:r>
          </w:p>
        </w:tc>
        <w:tc>
          <w:tcPr>
            <w:tcW w:w="3461" w:type="dxa"/>
            <w:gridSpan w:val="2"/>
            <w:vAlign w:val="center"/>
          </w:tcPr>
          <w:p>
            <w:pPr>
              <w:wordWrap w:val="0"/>
              <w:jc w:val="left"/>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 xml:space="preserve">年  月  日  </w:t>
            </w:r>
          </w:p>
        </w:tc>
        <w:tc>
          <w:tcPr>
            <w:tcW w:w="1443" w:type="dxa"/>
            <w:vAlign w:val="center"/>
          </w:tcPr>
          <w:p>
            <w:pPr>
              <w:jc w:val="left"/>
              <w:rPr>
                <w:rFonts w:hint="eastAsia"/>
                <w:sz w:val="21"/>
                <w:szCs w:val="21"/>
                <w:vertAlign w:val="baseline"/>
                <w:lang w:val="en-US" w:eastAsia="zh-CN"/>
              </w:rPr>
            </w:pPr>
            <w:r>
              <w:rPr>
                <w:rFonts w:hint="eastAsia"/>
                <w:b/>
                <w:bCs/>
                <w:sz w:val="21"/>
                <w:szCs w:val="21"/>
                <w:vertAlign w:val="baseline"/>
                <w:lang w:val="en-US" w:eastAsia="zh-CN"/>
              </w:rPr>
              <w:t>完工时间</w:t>
            </w:r>
          </w:p>
        </w:tc>
        <w:tc>
          <w:tcPr>
            <w:tcW w:w="3510" w:type="dxa"/>
            <w:gridSpan w:val="3"/>
            <w:vAlign w:val="center"/>
          </w:tcPr>
          <w:p>
            <w:pPr>
              <w:wordWrap w:val="0"/>
              <w:jc w:val="left"/>
              <w:rPr>
                <w:rFonts w:hint="default"/>
                <w:sz w:val="21"/>
                <w:szCs w:val="21"/>
                <w:vertAlign w:val="baseline"/>
                <w:lang w:val="en-US" w:eastAsia="zh-CN"/>
              </w:rPr>
            </w:pPr>
            <w:r>
              <w:rPr>
                <w:rFonts w:hint="eastAsia"/>
                <w:sz w:val="21"/>
                <w:szCs w:val="21"/>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4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评价内容</w:t>
            </w:r>
          </w:p>
        </w:tc>
        <w:tc>
          <w:tcPr>
            <w:tcW w:w="1246"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分值</w:t>
            </w:r>
          </w:p>
        </w:tc>
        <w:tc>
          <w:tcPr>
            <w:tcW w:w="5054" w:type="dxa"/>
            <w:gridSpan w:val="3"/>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评分标准</w:t>
            </w:r>
          </w:p>
        </w:tc>
        <w:tc>
          <w:tcPr>
            <w:tcW w:w="1085"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得分</w:t>
            </w:r>
          </w:p>
        </w:tc>
        <w:tc>
          <w:tcPr>
            <w:tcW w:w="1029"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施工质量</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5054" w:type="dxa"/>
            <w:gridSpan w:val="3"/>
            <w:vAlign w:val="center"/>
          </w:tcPr>
          <w:p>
            <w:pPr>
              <w:jc w:val="both"/>
              <w:rPr>
                <w:rFonts w:hint="default"/>
                <w:sz w:val="21"/>
                <w:szCs w:val="21"/>
                <w:vertAlign w:val="baseline"/>
                <w:lang w:val="en-US" w:eastAsia="zh-CN"/>
              </w:rPr>
            </w:pPr>
            <w:r>
              <w:rPr>
                <w:rFonts w:hint="eastAsia"/>
                <w:sz w:val="21"/>
                <w:szCs w:val="21"/>
                <w:vertAlign w:val="baseline"/>
                <w:lang w:val="en-US" w:eastAsia="zh-CN"/>
              </w:rPr>
              <w:t>优（＞24分），良（＞18分），中（＞12分），差（＞6分），很差（≥0分）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安全文明施工</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优（＞24分），良（＞18分），中（＞12分），差（＞6分），很差（≥0分）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进度管理</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优（＞16分），良（＞12分），中（＞8分），差（＞4分），很差（≥0分）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响应速度与配合度</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优（＞16分），良（＞12分），中（＞8分），差（＞4分），很差（≥0分）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减分项</w:t>
            </w:r>
          </w:p>
        </w:tc>
        <w:tc>
          <w:tcPr>
            <w:tcW w:w="124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－5/次</w:t>
            </w:r>
          </w:p>
        </w:tc>
        <w:tc>
          <w:tcPr>
            <w:tcW w:w="5054" w:type="dxa"/>
            <w:gridSpan w:val="3"/>
            <w:vAlign w:val="center"/>
          </w:tcPr>
          <w:p>
            <w:pPr>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项目执行过程中，如若收到项目业主方、监理方的书面投诉，一次扣减5分。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重大失误</w:t>
            </w:r>
          </w:p>
        </w:tc>
        <w:tc>
          <w:tcPr>
            <w:tcW w:w="124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－10≤－30/次</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因乙方失误，导致项目无法按时按质完成，并对甲方造成实际损失的，视损失大小，每次扣减10-30 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一票否决</w:t>
            </w:r>
          </w:p>
        </w:tc>
        <w:tc>
          <w:tcPr>
            <w:tcW w:w="6300" w:type="dxa"/>
            <w:gridSpan w:val="4"/>
            <w:vAlign w:val="center"/>
          </w:tcPr>
          <w:p>
            <w:pPr>
              <w:jc w:val="center"/>
              <w:rPr>
                <w:rFonts w:hint="eastAsia"/>
                <w:sz w:val="21"/>
                <w:szCs w:val="21"/>
                <w:vertAlign w:val="baseline"/>
                <w:lang w:val="en-US" w:eastAsia="zh-CN"/>
              </w:rPr>
            </w:pPr>
            <w:r>
              <w:rPr>
                <w:rFonts w:hint="eastAsia"/>
                <w:sz w:val="21"/>
                <w:szCs w:val="21"/>
                <w:vertAlign w:val="baseline"/>
                <w:lang w:val="en-US" w:eastAsia="zh-CN"/>
              </w:rPr>
              <w:t>如乙方出现违反国家法律法规、廉政廉洁规定的情况，计0分，取消其年度供应商资格。</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740" w:type="dxa"/>
            <w:gridSpan w:val="5"/>
            <w:vAlign w:val="center"/>
          </w:tcPr>
          <w:p>
            <w:pPr>
              <w:jc w:val="center"/>
              <w:rPr>
                <w:rFonts w:hint="eastAsia"/>
                <w:sz w:val="21"/>
                <w:szCs w:val="21"/>
                <w:vertAlign w:val="baseline"/>
                <w:lang w:val="en-US" w:eastAsia="zh-CN"/>
              </w:rPr>
            </w:pPr>
            <w:r>
              <w:rPr>
                <w:rFonts w:hint="eastAsia"/>
                <w:b/>
                <w:bCs/>
                <w:sz w:val="21"/>
                <w:szCs w:val="21"/>
                <w:vertAlign w:val="baseline"/>
                <w:lang w:val="en-US" w:eastAsia="zh-CN"/>
              </w:rPr>
              <w:t>总分</w:t>
            </w:r>
          </w:p>
        </w:tc>
        <w:tc>
          <w:tcPr>
            <w:tcW w:w="1085" w:type="dxa"/>
            <w:vAlign w:val="center"/>
          </w:tcPr>
          <w:p>
            <w:pPr>
              <w:jc w:val="center"/>
              <w:rPr>
                <w:rFonts w:hint="eastAsia"/>
                <w:sz w:val="21"/>
                <w:szCs w:val="21"/>
                <w:vertAlign w:val="baseline"/>
                <w:lang w:val="en-US" w:eastAsia="zh-CN"/>
              </w:rPr>
            </w:pPr>
          </w:p>
        </w:tc>
        <w:tc>
          <w:tcPr>
            <w:tcW w:w="1029" w:type="dxa"/>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4" w:type="dxa"/>
            <w:gridSpan w:val="7"/>
            <w:vAlign w:val="center"/>
          </w:tcPr>
          <w:p>
            <w:pPr>
              <w:jc w:val="both"/>
              <w:rPr>
                <w:rFonts w:hint="eastAsia"/>
                <w:sz w:val="21"/>
                <w:szCs w:val="21"/>
                <w:vertAlign w:val="baseline"/>
                <w:lang w:val="en-US" w:eastAsia="zh-CN"/>
              </w:rPr>
            </w:pPr>
            <w:r>
              <w:rPr>
                <w:rFonts w:hint="eastAsia"/>
                <w:b/>
                <w:bCs/>
                <w:sz w:val="21"/>
                <w:szCs w:val="21"/>
                <w:vertAlign w:val="baseline"/>
                <w:lang w:val="en-US" w:eastAsia="zh-CN"/>
              </w:rPr>
              <w:t>评价人签名：</w:t>
            </w:r>
          </w:p>
        </w:tc>
      </w:tr>
    </w:tbl>
    <w:p>
      <w:pPr>
        <w:pStyle w:val="2"/>
        <w:rPr>
          <w:rFonts w:hint="eastAsia"/>
          <w:lang w:val="en-US" w:eastAsia="zh-CN"/>
        </w:rPr>
      </w:pPr>
    </w:p>
    <w:p>
      <w:pPr>
        <w:widowControl/>
        <w:jc w:val="center"/>
        <w:rPr>
          <w:rFonts w:hint="eastAsia" w:ascii="宋体" w:hAnsi="宋体" w:eastAsia="宋体" w:cs="宋体"/>
          <w:b/>
          <w:bCs/>
          <w:color w:val="auto"/>
          <w:sz w:val="52"/>
          <w:szCs w:val="5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Arial"/>
          <w:color w:val="auto"/>
        </w:rPr>
      </w:pP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附件三：</w:t>
      </w:r>
      <w:r>
        <w:rPr>
          <w:rFonts w:hint="eastAsia" w:cs="宋体"/>
          <w:b/>
          <w:bCs/>
          <w:sz w:val="21"/>
          <w:szCs w:val="21"/>
          <w:lang w:val="en-US" w:eastAsia="zh-CN"/>
        </w:rPr>
        <w:t>廉政责任书</w:t>
      </w:r>
    </w:p>
    <w:p>
      <w:pPr>
        <w:spacing w:line="500" w:lineRule="exact"/>
        <w:ind w:firstLine="0"/>
        <w:jc w:val="center"/>
        <w:rPr>
          <w:rFonts w:hint="eastAsia" w:ascii="宋体" w:hAnsi="宋体" w:eastAsia="宋体" w:cs="宋体"/>
          <w:b/>
          <w:sz w:val="21"/>
          <w:szCs w:val="21"/>
        </w:rPr>
      </w:pPr>
      <w:r>
        <w:rPr>
          <w:rFonts w:hint="eastAsia" w:ascii="宋体" w:hAnsi="宋体" w:eastAsia="宋体" w:cs="宋体"/>
          <w:b/>
          <w:sz w:val="21"/>
          <w:szCs w:val="21"/>
        </w:rPr>
        <w:t>廉政责任书</w:t>
      </w:r>
    </w:p>
    <w:p>
      <w:pPr>
        <w:pStyle w:val="2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lang w:val="en-US"/>
        </w:rPr>
      </w:pPr>
    </w:p>
    <w:p>
      <w:pPr>
        <w:pStyle w:val="2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u w:val="none"/>
          <w:lang w:val="en-US" w:eastAsia="zh-CN"/>
        </w:rPr>
        <w:t>甲方</w:t>
      </w:r>
      <w:r>
        <w:rPr>
          <w:rFonts w:hint="eastAsia" w:ascii="宋体" w:hAnsi="宋体" w:eastAsia="宋体" w:cs="宋体"/>
          <w:b w:val="0"/>
          <w:bCs w:val="0"/>
          <w:sz w:val="21"/>
          <w:szCs w:val="21"/>
          <w:u w:val="none"/>
          <w:lang w:val="en-US"/>
        </w:rPr>
        <w:t>：</w:t>
      </w:r>
      <w:r>
        <w:rPr>
          <w:rFonts w:hint="eastAsia" w:ascii="宋体" w:hAnsi="宋体" w:eastAsia="宋体" w:cs="宋体"/>
          <w:b w:val="0"/>
          <w:bCs w:val="0"/>
          <w:sz w:val="21"/>
          <w:szCs w:val="21"/>
          <w:u w:val="single"/>
          <w:lang w:val="en-US" w:eastAsia="zh-CN"/>
        </w:rPr>
        <w:t>广东南方日报展示科技有限公司</w:t>
      </w:r>
    </w:p>
    <w:p>
      <w:pPr>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u w:val="none"/>
          <w:lang w:val="en-US" w:eastAsia="zh-CN"/>
        </w:rPr>
        <w:t>地址：</w:t>
      </w:r>
      <w:r>
        <w:rPr>
          <w:rFonts w:hint="eastAsia" w:ascii="宋体" w:hAnsi="宋体" w:eastAsia="宋体" w:cs="宋体"/>
          <w:b w:val="0"/>
          <w:bCs w:val="0"/>
          <w:sz w:val="21"/>
          <w:szCs w:val="21"/>
          <w:u w:val="single"/>
          <w:lang w:val="en-US" w:eastAsia="zh-CN"/>
        </w:rPr>
        <w:t xml:space="preserve">                            </w:t>
      </w:r>
    </w:p>
    <w:p>
      <w:pPr>
        <w:pStyle w:val="2"/>
        <w:rPr>
          <w:rFonts w:hint="eastAsia" w:ascii="宋体" w:hAnsi="宋体" w:eastAsia="宋体" w:cs="宋体"/>
          <w:szCs w:val="21"/>
          <w:lang w:val="en-US"/>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u w:val="single"/>
        </w:rPr>
      </w:pPr>
      <w:r>
        <w:rPr>
          <w:rFonts w:hint="eastAsia" w:ascii="宋体" w:hAnsi="宋体" w:eastAsia="宋体" w:cs="宋体"/>
          <w:b w:val="0"/>
          <w:bCs w:val="0"/>
          <w:sz w:val="21"/>
          <w:szCs w:val="21"/>
          <w:u w:val="none"/>
          <w:lang w:val="en-US" w:eastAsia="zh-CN"/>
        </w:rPr>
        <w:t>乙方</w:t>
      </w:r>
      <w:r>
        <w:rPr>
          <w:rFonts w:hint="eastAsia" w:ascii="宋体" w:hAnsi="宋体" w:eastAsia="宋体" w:cs="宋体"/>
          <w:b w:val="0"/>
          <w:bCs w:val="0"/>
          <w:sz w:val="21"/>
          <w:szCs w:val="21"/>
          <w:u w:val="none"/>
          <w:lang w:val="en-US"/>
        </w:rPr>
        <w:t>：</w:t>
      </w:r>
      <w:r>
        <w:rPr>
          <w:rFonts w:hint="eastAsia" w:ascii="宋体" w:hAnsi="宋体" w:eastAsia="宋体" w:cs="宋体"/>
          <w:b w:val="0"/>
          <w:bCs w:val="0"/>
          <w:sz w:val="21"/>
          <w:szCs w:val="21"/>
          <w:u w:val="single"/>
          <w:lang w:val="en-US" w:eastAsia="zh-CN"/>
        </w:rPr>
        <w:t xml:space="preserve">                            </w:t>
      </w:r>
    </w:p>
    <w:p>
      <w:pPr>
        <w:pStyle w:val="2"/>
        <w:rPr>
          <w:rFonts w:hint="eastAsia" w:ascii="宋体" w:hAnsi="宋体" w:eastAsia="宋体" w:cs="宋体"/>
          <w:sz w:val="21"/>
          <w:szCs w:val="21"/>
          <w:u w:val="single"/>
          <w:lang w:val="en-US" w:eastAsia="zh-CN"/>
        </w:rPr>
      </w:pPr>
      <w:r>
        <w:rPr>
          <w:rFonts w:hint="eastAsia" w:ascii="宋体" w:hAnsi="宋体" w:eastAsia="宋体" w:cs="宋体"/>
          <w:sz w:val="21"/>
          <w:szCs w:val="21"/>
          <w:u w:val="none"/>
          <w:lang w:val="en-US" w:eastAsia="zh-CN"/>
        </w:rPr>
        <w:t>地址：</w:t>
      </w:r>
      <w:r>
        <w:rPr>
          <w:rFonts w:hint="eastAsia" w:ascii="宋体" w:hAnsi="宋体" w:eastAsia="宋体" w:cs="宋体"/>
          <w:sz w:val="21"/>
          <w:szCs w:val="21"/>
          <w:u w:val="single"/>
          <w:lang w:val="en-US" w:eastAsia="zh-CN"/>
        </w:rPr>
        <w:t xml:space="preserve">                            </w:t>
      </w:r>
    </w:p>
    <w:p>
      <w:pPr>
        <w:pStyle w:val="2"/>
        <w:rPr>
          <w:rFonts w:hint="eastAsia" w:ascii="宋体" w:hAnsi="宋体" w:eastAsia="宋体" w:cs="宋体"/>
          <w:sz w:val="21"/>
          <w:szCs w:val="21"/>
          <w:u w:val="single"/>
          <w:lang w:val="en-US" w:eastAsia="zh-CN"/>
        </w:rPr>
      </w:pPr>
    </w:p>
    <w:p>
      <w:pPr>
        <w:shd w:val="clear" w:fill="FFFFFF" w:themeFill="background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为保证合作双方的共同利益，加强廉洁风险防控，规范</w:t>
      </w:r>
      <w:r>
        <w:rPr>
          <w:rFonts w:hint="eastAsia" w:ascii="宋体" w:hAnsi="宋体" w:eastAsia="宋体" w:cs="宋体"/>
          <w:sz w:val="21"/>
          <w:szCs w:val="21"/>
          <w:highlight w:val="none"/>
          <w:lang w:val="en-US" w:eastAsia="zh-CN"/>
        </w:rPr>
        <w:t>项目实施过程</w:t>
      </w:r>
      <w:r>
        <w:rPr>
          <w:rFonts w:hint="eastAsia" w:ascii="宋体" w:hAnsi="宋体" w:eastAsia="宋体" w:cs="宋体"/>
          <w:sz w:val="21"/>
          <w:szCs w:val="21"/>
          <w:highlight w:val="none"/>
        </w:rPr>
        <w:t>中双方的各项活动，防止发生各种</w:t>
      </w:r>
      <w:r>
        <w:rPr>
          <w:rFonts w:hint="eastAsia" w:ascii="宋体" w:hAnsi="宋体" w:eastAsia="宋体" w:cs="宋体"/>
          <w:sz w:val="21"/>
          <w:szCs w:val="21"/>
          <w:highlight w:val="none"/>
          <w:lang w:val="en-US" w:eastAsia="zh-CN"/>
        </w:rPr>
        <w:t>牟取</w:t>
      </w:r>
      <w:r>
        <w:rPr>
          <w:rFonts w:hint="eastAsia" w:ascii="宋体" w:hAnsi="宋体" w:eastAsia="宋体" w:cs="宋体"/>
          <w:sz w:val="21"/>
          <w:szCs w:val="21"/>
          <w:highlight w:val="none"/>
        </w:rPr>
        <w:t>不正当利益的违法违纪行为，保护国家和</w:t>
      </w:r>
      <w:r>
        <w:rPr>
          <w:rFonts w:hint="eastAsia" w:ascii="宋体" w:hAnsi="宋体" w:eastAsia="宋体" w:cs="宋体"/>
          <w:sz w:val="21"/>
          <w:szCs w:val="21"/>
          <w:highlight w:val="none"/>
          <w:lang w:val="en-US" w:eastAsia="zh-CN"/>
        </w:rPr>
        <w:t>双方</w:t>
      </w:r>
      <w:r>
        <w:rPr>
          <w:rFonts w:hint="eastAsia" w:ascii="宋体" w:hAnsi="宋体" w:eastAsia="宋体" w:cs="宋体"/>
          <w:sz w:val="21"/>
          <w:szCs w:val="21"/>
          <w:highlight w:val="none"/>
        </w:rPr>
        <w:t>的合法权益，特订立本廉政责任书。</w:t>
      </w:r>
    </w:p>
    <w:p>
      <w:pPr>
        <w:shd w:val="clear" w:fill="FFFFFF" w:themeFill="background1"/>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第一条  甲乙双方的责任</w:t>
      </w:r>
    </w:p>
    <w:p>
      <w:pPr>
        <w:pStyle w:val="2"/>
        <w:numPr>
          <w:ilvl w:val="0"/>
          <w:numId w:val="11"/>
        </w:numPr>
        <w:ind w:left="210" w:leftChars="0" w:firstLine="430" w:firstLineChars="0"/>
        <w:rPr>
          <w:rFonts w:hint="eastAsia" w:ascii="宋体" w:hAnsi="宋体" w:eastAsia="宋体" w:cs="宋体"/>
          <w:sz w:val="21"/>
          <w:szCs w:val="21"/>
          <w:highlight w:val="none"/>
        </w:rPr>
      </w:pPr>
      <w:r>
        <w:rPr>
          <w:rFonts w:hint="eastAsia" w:ascii="宋体" w:hAnsi="宋体" w:eastAsia="宋体" w:cs="宋体"/>
          <w:sz w:val="21"/>
          <w:szCs w:val="21"/>
        </w:rPr>
        <w:t>严格</w:t>
      </w:r>
      <w:r>
        <w:rPr>
          <w:rFonts w:hint="eastAsia" w:ascii="宋体" w:hAnsi="宋体" w:eastAsia="宋体" w:cs="宋体"/>
          <w:sz w:val="21"/>
          <w:szCs w:val="21"/>
          <w:lang w:val="en-US" w:eastAsia="zh-CN"/>
        </w:rPr>
        <w:t>遵守</w:t>
      </w:r>
      <w:r>
        <w:rPr>
          <w:rFonts w:hint="eastAsia" w:ascii="宋体" w:hAnsi="宋体" w:eastAsia="宋体" w:cs="宋体"/>
          <w:sz w:val="21"/>
          <w:szCs w:val="21"/>
        </w:rPr>
        <w:t>法律法规，坚持廉洁、诚信的原则，恪守公认的商业道德和职业道德规范，</w:t>
      </w:r>
      <w:r>
        <w:rPr>
          <w:rFonts w:hint="eastAsia" w:ascii="宋体" w:hAnsi="宋体" w:eastAsia="宋体" w:cs="宋体"/>
          <w:sz w:val="21"/>
          <w:szCs w:val="21"/>
          <w:lang w:val="en-US" w:eastAsia="zh-CN"/>
        </w:rPr>
        <w:t>坚决</w:t>
      </w:r>
      <w:r>
        <w:rPr>
          <w:rFonts w:hint="eastAsia" w:ascii="宋体" w:hAnsi="宋体" w:eastAsia="宋体" w:cs="宋体"/>
          <w:sz w:val="21"/>
          <w:szCs w:val="21"/>
        </w:rPr>
        <w:t>抵制不廉洁、不诚信行为</w:t>
      </w:r>
      <w:r>
        <w:rPr>
          <w:rFonts w:hint="eastAsia" w:ascii="宋体" w:hAnsi="宋体" w:eastAsia="宋体" w:cs="宋体"/>
          <w:sz w:val="21"/>
          <w:szCs w:val="21"/>
          <w:lang w:eastAsia="zh-CN"/>
        </w:rPr>
        <w:t>。</w:t>
      </w:r>
    </w:p>
    <w:p>
      <w:pPr>
        <w:pStyle w:val="2"/>
        <w:numPr>
          <w:ilvl w:val="0"/>
          <w:numId w:val="11"/>
        </w:numPr>
        <w:ind w:left="210" w:leftChars="0" w:firstLine="420" w:firstLineChars="0"/>
        <w:rPr>
          <w:rFonts w:hint="eastAsia" w:ascii="宋体" w:hAnsi="宋体" w:eastAsia="宋体" w:cs="宋体"/>
          <w:sz w:val="21"/>
          <w:szCs w:val="21"/>
        </w:rPr>
      </w:pPr>
      <w:r>
        <w:rPr>
          <w:rFonts w:hint="eastAsia" w:ascii="宋体" w:hAnsi="宋体" w:eastAsia="宋体" w:cs="宋体"/>
          <w:sz w:val="21"/>
          <w:szCs w:val="21"/>
        </w:rPr>
        <w:t>双方的业务活动坚持公开、公正、</w:t>
      </w:r>
      <w:r>
        <w:rPr>
          <w:rFonts w:hint="eastAsia" w:ascii="宋体" w:hAnsi="宋体" w:eastAsia="宋体" w:cs="宋体"/>
          <w:sz w:val="21"/>
          <w:szCs w:val="21"/>
          <w:lang w:val="en-US" w:eastAsia="zh-CN"/>
        </w:rPr>
        <w:t>公平、</w:t>
      </w:r>
      <w:r>
        <w:rPr>
          <w:rFonts w:hint="eastAsia" w:ascii="宋体" w:hAnsi="宋体" w:eastAsia="宋体" w:cs="宋体"/>
          <w:sz w:val="21"/>
          <w:szCs w:val="21"/>
        </w:rPr>
        <w:t>诚信的原则（法律认定的商业秘密和合同文件另有规定除外），不得损害国家和集体利益、</w:t>
      </w:r>
      <w:r>
        <w:rPr>
          <w:rFonts w:hint="eastAsia" w:ascii="宋体" w:hAnsi="宋体" w:eastAsia="宋体" w:cs="宋体"/>
          <w:sz w:val="21"/>
          <w:szCs w:val="21"/>
          <w:lang w:val="en-US" w:eastAsia="zh-CN"/>
        </w:rPr>
        <w:t>违反相关法律法规等</w:t>
      </w:r>
      <w:r>
        <w:rPr>
          <w:rFonts w:hint="eastAsia" w:ascii="宋体" w:hAnsi="宋体" w:eastAsia="宋体" w:cs="宋体"/>
          <w:sz w:val="21"/>
          <w:szCs w:val="21"/>
        </w:rPr>
        <w:t>。</w:t>
      </w:r>
    </w:p>
    <w:p>
      <w:pPr>
        <w:pStyle w:val="2"/>
        <w:numPr>
          <w:ilvl w:val="0"/>
          <w:numId w:val="11"/>
        </w:numPr>
        <w:ind w:left="210" w:leftChars="0" w:firstLine="43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教育、监督本单位所有相关人员廉洁、尽职工作，制定和严格执行相关规章制度，防范和严肃查处相关人员违法、违纪利用工作便利</w:t>
      </w:r>
      <w:r>
        <w:rPr>
          <w:rFonts w:hint="eastAsia" w:ascii="宋体" w:hAnsi="宋体" w:eastAsia="宋体" w:cs="宋体"/>
          <w:sz w:val="21"/>
          <w:szCs w:val="21"/>
          <w:highlight w:val="none"/>
          <w:lang w:val="en-US" w:eastAsia="zh-CN"/>
        </w:rPr>
        <w:t>牟取</w:t>
      </w:r>
      <w:r>
        <w:rPr>
          <w:rFonts w:hint="eastAsia" w:ascii="宋体" w:hAnsi="宋体" w:eastAsia="宋体" w:cs="宋体"/>
          <w:sz w:val="21"/>
          <w:szCs w:val="21"/>
          <w:highlight w:val="none"/>
        </w:rPr>
        <w:t>个人利益。</w:t>
      </w:r>
    </w:p>
    <w:p>
      <w:pPr>
        <w:pStyle w:val="2"/>
        <w:numPr>
          <w:ilvl w:val="0"/>
          <w:numId w:val="11"/>
        </w:numPr>
        <w:ind w:left="210" w:firstLine="420" w:firstLineChars="0"/>
        <w:rPr>
          <w:rFonts w:hint="eastAsia" w:ascii="宋体" w:hAnsi="宋体" w:eastAsia="宋体" w:cs="宋体"/>
          <w:sz w:val="21"/>
          <w:szCs w:val="21"/>
        </w:rPr>
      </w:pPr>
      <w:r>
        <w:rPr>
          <w:rFonts w:hint="eastAsia" w:ascii="宋体" w:hAnsi="宋体" w:eastAsia="宋体" w:cs="宋体"/>
          <w:sz w:val="21"/>
          <w:szCs w:val="21"/>
        </w:rPr>
        <w:t>建立健全廉政制度，开展廉政教育，监督并认真查处违法违纪行为。</w:t>
      </w:r>
    </w:p>
    <w:p>
      <w:pPr>
        <w:pStyle w:val="2"/>
        <w:numPr>
          <w:ilvl w:val="0"/>
          <w:numId w:val="11"/>
        </w:numPr>
        <w:ind w:left="210" w:firstLine="420" w:firstLineChars="0"/>
        <w:rPr>
          <w:rFonts w:hint="eastAsia" w:ascii="宋体" w:hAnsi="宋体" w:eastAsia="宋体" w:cs="宋体"/>
          <w:sz w:val="21"/>
          <w:szCs w:val="21"/>
        </w:rPr>
      </w:pPr>
      <w:r>
        <w:rPr>
          <w:rFonts w:hint="eastAsia" w:ascii="宋体" w:hAnsi="宋体" w:eastAsia="宋体" w:cs="宋体"/>
          <w:sz w:val="21"/>
          <w:szCs w:val="21"/>
        </w:rPr>
        <w:t>发现对方在业务活动中有违反廉政规定的行为，有及时提醒对方纠正的权利和义务。</w:t>
      </w:r>
    </w:p>
    <w:p>
      <w:pPr>
        <w:pStyle w:val="2"/>
        <w:numPr>
          <w:ilvl w:val="0"/>
          <w:numId w:val="11"/>
        </w:numPr>
        <w:ind w:left="210" w:firstLine="420" w:firstLineChars="0"/>
        <w:rPr>
          <w:rFonts w:hint="eastAsia" w:ascii="宋体" w:hAnsi="宋体" w:eastAsia="宋体" w:cs="宋体"/>
          <w:sz w:val="21"/>
          <w:szCs w:val="21"/>
        </w:rPr>
      </w:pPr>
      <w:r>
        <w:rPr>
          <w:rFonts w:hint="eastAsia" w:ascii="宋体" w:hAnsi="宋体" w:eastAsia="宋体" w:cs="宋体"/>
          <w:sz w:val="21"/>
          <w:szCs w:val="21"/>
        </w:rPr>
        <w:t>发现对方严重违反本合同义务条款的行为，有向其上级有关部门举报、建议给予处理并要求告知处理结果的权利。</w:t>
      </w:r>
    </w:p>
    <w:p>
      <w:pPr>
        <w:tabs>
          <w:tab w:val="left" w:pos="630"/>
        </w:tabs>
        <w:spacing w:line="5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第二条  甲方的责任</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甲方应教育和监督本方项目</w:t>
      </w:r>
      <w:r>
        <w:rPr>
          <w:rFonts w:hint="eastAsia" w:ascii="宋体" w:hAnsi="宋体" w:eastAsia="宋体" w:cs="宋体"/>
          <w:sz w:val="21"/>
          <w:szCs w:val="21"/>
          <w:highlight w:val="none"/>
          <w:lang w:val="en-US" w:eastAsia="zh-CN"/>
        </w:rPr>
        <w:t>相关</w:t>
      </w:r>
      <w:r>
        <w:rPr>
          <w:rFonts w:hint="eastAsia" w:ascii="宋体" w:hAnsi="宋体" w:eastAsia="宋体" w:cs="宋体"/>
          <w:sz w:val="21"/>
          <w:szCs w:val="21"/>
          <w:highlight w:val="none"/>
        </w:rPr>
        <w:t>人员，在</w:t>
      </w:r>
      <w:r>
        <w:rPr>
          <w:rFonts w:hint="eastAsia" w:ascii="宋体" w:hAnsi="宋体" w:eastAsia="宋体" w:cs="宋体"/>
          <w:sz w:val="21"/>
          <w:szCs w:val="21"/>
          <w:highlight w:val="none"/>
          <w:lang w:val="en-US" w:eastAsia="zh-CN"/>
        </w:rPr>
        <w:t>项目实施</w:t>
      </w:r>
      <w:r>
        <w:rPr>
          <w:rFonts w:hint="eastAsia" w:ascii="宋体" w:hAnsi="宋体" w:eastAsia="宋体" w:cs="宋体"/>
          <w:sz w:val="21"/>
          <w:szCs w:val="21"/>
          <w:highlight w:val="none"/>
        </w:rPr>
        <w:t>的事前、事中、事后均严格遵守以下规定：</w:t>
      </w:r>
    </w:p>
    <w:p>
      <w:pPr>
        <w:pStyle w:val="2"/>
        <w:numPr>
          <w:ilvl w:val="0"/>
          <w:numId w:val="12"/>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向乙方和相关单位索要或接受回扣、礼金、红包、有价证券、银行卡、物品和好处费、感谢费等。</w:t>
      </w:r>
    </w:p>
    <w:p>
      <w:pPr>
        <w:pStyle w:val="2"/>
        <w:numPr>
          <w:ilvl w:val="0"/>
          <w:numId w:val="12"/>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在乙方和相关单位报销任何应由甲方支付的费用。</w:t>
      </w:r>
    </w:p>
    <w:p>
      <w:pPr>
        <w:pStyle w:val="2"/>
        <w:numPr>
          <w:ilvl w:val="0"/>
          <w:numId w:val="12"/>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要求、暗示和接受</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和相关单位为个人装修住房、婚丧嫁娶、配偶子女的工作安排以及出国（境）、旅游（双方相关合同所规定的考察不受此限）等提供方便。</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lang w:val="en-US" w:eastAsia="zh-CN"/>
        </w:rPr>
        <w:t>要求、暗示</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为甲方相关人员的</w:t>
      </w:r>
      <w:r>
        <w:rPr>
          <w:rFonts w:hint="eastAsia" w:ascii="宋体" w:hAnsi="宋体" w:eastAsia="宋体" w:cs="宋体"/>
          <w:sz w:val="21"/>
          <w:szCs w:val="21"/>
          <w:highlight w:val="none"/>
        </w:rPr>
        <w:t>配偶、子女、亲属</w:t>
      </w:r>
      <w:r>
        <w:rPr>
          <w:rFonts w:hint="eastAsia" w:ascii="宋体" w:hAnsi="宋体" w:eastAsia="宋体" w:cs="宋体"/>
          <w:sz w:val="21"/>
          <w:szCs w:val="21"/>
          <w:highlight w:val="none"/>
          <w:lang w:val="en-US" w:eastAsia="zh-CN"/>
        </w:rPr>
        <w:t>等参与</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有关的经济活动</w:t>
      </w:r>
      <w:r>
        <w:rPr>
          <w:rFonts w:hint="eastAsia" w:ascii="宋体" w:hAnsi="宋体" w:eastAsia="宋体" w:cs="宋体"/>
          <w:sz w:val="21"/>
          <w:szCs w:val="21"/>
          <w:highlight w:val="none"/>
          <w:lang w:val="en-US" w:eastAsia="zh-CN"/>
        </w:rPr>
        <w:t>提供便利</w:t>
      </w:r>
      <w:r>
        <w:rPr>
          <w:rFonts w:hint="eastAsia" w:ascii="宋体" w:hAnsi="宋体" w:eastAsia="宋体" w:cs="宋体"/>
          <w:sz w:val="21"/>
          <w:szCs w:val="21"/>
          <w:highlight w:val="none"/>
        </w:rPr>
        <w:t>。不得以任何理由向乙方和相关单位推荐</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第三条  乙方的责任</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应与甲方保持正常的业务交往，按照有关法律法规和程序开展业务工作，并教育和监督其领导和有关人员严格遵守以下规定：</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以任何理由向甲方、</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相关单位及其工作人员索要、接受或赠送礼金、红包、有价证券、银行卡、物品和回扣、好处费、感谢费等。</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以任何理由为甲方</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相关单位报销应由对方或个人支付的费用。</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接受或暗示为甲方、相关单位或个人装修住房、婚丧嫁娶、配偶子女的工作安排以及出国（境）、旅游等提供方便。</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w:t>
      </w:r>
      <w:r>
        <w:rPr>
          <w:rFonts w:hint="eastAsia" w:ascii="宋体" w:hAnsi="宋体" w:eastAsia="宋体" w:cs="宋体"/>
          <w:sz w:val="21"/>
          <w:szCs w:val="21"/>
          <w:highlight w:val="none"/>
          <w:lang w:eastAsia="zh-CN"/>
        </w:rPr>
        <w:t>不得</w:t>
      </w:r>
      <w:r>
        <w:rPr>
          <w:rFonts w:hint="eastAsia" w:ascii="宋体" w:hAnsi="宋体" w:eastAsia="宋体" w:cs="宋体"/>
          <w:sz w:val="21"/>
          <w:szCs w:val="21"/>
          <w:highlight w:val="none"/>
        </w:rPr>
        <w:t>以任何理由为甲方、相关单位或个人组织有可能影响公正执行公务的宴请、健身、娱乐等活动。</w:t>
      </w:r>
    </w:p>
    <w:p>
      <w:pPr>
        <w:pStyle w:val="2"/>
        <w:numPr>
          <w:ilvl w:val="0"/>
          <w:numId w:val="0"/>
        </w:numPr>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第四条  法律和纪律责任</w:t>
      </w:r>
    </w:p>
    <w:p>
      <w:pPr>
        <w:pStyle w:val="2"/>
        <w:numPr>
          <w:ilvl w:val="0"/>
          <w:numId w:val="13"/>
        </w:numPr>
        <w:ind w:left="0" w:leftChars="0" w:firstLine="64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甲方工作人员有违反本责任书</w:t>
      </w:r>
      <w:r>
        <w:rPr>
          <w:rFonts w:hint="eastAsia" w:ascii="宋体" w:hAnsi="宋体" w:eastAsia="宋体" w:cs="宋体"/>
          <w:sz w:val="21"/>
          <w:szCs w:val="21"/>
          <w:highlight w:val="none"/>
          <w:lang w:eastAsia="zh-CN"/>
        </w:rPr>
        <w:t>牟取</w:t>
      </w:r>
      <w:r>
        <w:rPr>
          <w:rFonts w:hint="eastAsia" w:ascii="宋体" w:hAnsi="宋体" w:eastAsia="宋体" w:cs="宋体"/>
          <w:sz w:val="21"/>
          <w:szCs w:val="21"/>
          <w:highlight w:val="none"/>
        </w:rPr>
        <w:t>个人利益行为的，乙方应向甲方或有关机关举报，甲方应按照管理权限调查核实，并依据有关法律法规和规定给予党纪、政纪处分或公司制度项下处分处理；涉嫌犯罪的，向司法机关举报，追究刑事责任。</w:t>
      </w:r>
    </w:p>
    <w:p>
      <w:pPr>
        <w:pStyle w:val="2"/>
        <w:numPr>
          <w:ilvl w:val="0"/>
          <w:numId w:val="13"/>
        </w:numPr>
        <w:ind w:left="0" w:leftChars="0" w:firstLine="64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乙方工作人员有违反本责任书</w:t>
      </w:r>
      <w:r>
        <w:rPr>
          <w:rFonts w:hint="eastAsia" w:ascii="宋体" w:hAnsi="宋体" w:eastAsia="宋体" w:cs="宋体"/>
          <w:sz w:val="21"/>
          <w:szCs w:val="21"/>
          <w:highlight w:val="none"/>
          <w:lang w:eastAsia="zh-CN"/>
        </w:rPr>
        <w:t>牟取</w:t>
      </w:r>
      <w:r>
        <w:rPr>
          <w:rFonts w:hint="eastAsia" w:ascii="宋体" w:hAnsi="宋体" w:eastAsia="宋体" w:cs="宋体"/>
          <w:sz w:val="21"/>
          <w:szCs w:val="21"/>
          <w:highlight w:val="none"/>
        </w:rPr>
        <w:t>个人利益行为的，甲方应向乙方或有关机关举报，乙方应按照管理权限调查核实，并依据有关法律法规和规定给予党纪、政纪处分或公司制度项下处分处理；涉嫌犯罪的，向司法机关举报，追究刑事责任。</w:t>
      </w:r>
    </w:p>
    <w:p>
      <w:pPr>
        <w:pStyle w:val="2"/>
        <w:numPr>
          <w:ilvl w:val="0"/>
          <w:numId w:val="13"/>
        </w:numPr>
        <w:ind w:left="0" w:leftChars="0" w:firstLine="64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乙方工作人员违反本</w:t>
      </w:r>
      <w:r>
        <w:rPr>
          <w:rFonts w:hint="eastAsia" w:ascii="宋体" w:hAnsi="宋体" w:eastAsia="宋体" w:cs="宋体"/>
          <w:sz w:val="21"/>
          <w:szCs w:val="21"/>
          <w:highlight w:val="none"/>
          <w:lang w:val="en-US" w:eastAsia="zh-CN"/>
        </w:rPr>
        <w:t>责任书</w:t>
      </w:r>
      <w:r>
        <w:rPr>
          <w:rFonts w:hint="eastAsia" w:ascii="宋体" w:hAnsi="宋体" w:eastAsia="宋体" w:cs="宋体"/>
          <w:sz w:val="21"/>
          <w:szCs w:val="21"/>
          <w:highlight w:val="none"/>
        </w:rPr>
        <w:t>向甲方工作人员</w:t>
      </w:r>
      <w:r>
        <w:rPr>
          <w:rFonts w:hint="eastAsia" w:ascii="宋体" w:hAnsi="宋体" w:eastAsia="宋体" w:cs="宋体"/>
          <w:sz w:val="21"/>
          <w:szCs w:val="21"/>
          <w:highlight w:val="none"/>
          <w:lang w:val="en-US" w:eastAsia="zh-CN"/>
        </w:rPr>
        <w:t>和相关单位</w:t>
      </w:r>
      <w:r>
        <w:rPr>
          <w:rFonts w:hint="eastAsia" w:ascii="宋体" w:hAnsi="宋体" w:eastAsia="宋体" w:cs="宋体"/>
          <w:sz w:val="21"/>
          <w:szCs w:val="21"/>
          <w:highlight w:val="none"/>
        </w:rPr>
        <w:t>输送或</w:t>
      </w:r>
      <w:r>
        <w:rPr>
          <w:rFonts w:hint="eastAsia" w:ascii="宋体" w:hAnsi="宋体" w:eastAsia="宋体" w:cs="宋体"/>
          <w:sz w:val="21"/>
          <w:szCs w:val="21"/>
          <w:highlight w:val="none"/>
          <w:lang w:val="en-US" w:eastAsia="zh-CN"/>
        </w:rPr>
        <w:t>牟取</w:t>
      </w:r>
      <w:r>
        <w:rPr>
          <w:rFonts w:hint="eastAsia" w:ascii="宋体" w:hAnsi="宋体" w:eastAsia="宋体" w:cs="宋体"/>
          <w:sz w:val="21"/>
          <w:szCs w:val="21"/>
          <w:highlight w:val="none"/>
        </w:rPr>
        <w:t>不正当利益的，一经发现，甲方有权终止或解除与乙方进行的任何交易及相关合同，由此造成的不利后果由乙方完全承担。</w:t>
      </w:r>
    </w:p>
    <w:p>
      <w:pPr>
        <w:pStyle w:val="2"/>
        <w:numPr>
          <w:ilvl w:val="0"/>
          <w:numId w:val="13"/>
        </w:numPr>
        <w:ind w:left="0" w:leftChars="0" w:firstLine="64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乙方承担因其违反本协议规定向甲方工作人员</w:t>
      </w:r>
      <w:r>
        <w:rPr>
          <w:rFonts w:hint="eastAsia" w:ascii="宋体" w:hAnsi="宋体" w:eastAsia="宋体" w:cs="宋体"/>
          <w:sz w:val="21"/>
          <w:szCs w:val="21"/>
          <w:highlight w:val="none"/>
          <w:lang w:val="en-US" w:eastAsia="zh-CN"/>
        </w:rPr>
        <w:t>和相关单位</w:t>
      </w:r>
      <w:r>
        <w:rPr>
          <w:rFonts w:hint="eastAsia" w:ascii="宋体" w:hAnsi="宋体" w:eastAsia="宋体" w:cs="宋体"/>
          <w:sz w:val="21"/>
          <w:szCs w:val="21"/>
          <w:highlight w:val="none"/>
        </w:rPr>
        <w:t>输送或</w:t>
      </w:r>
      <w:r>
        <w:rPr>
          <w:rFonts w:hint="eastAsia" w:ascii="宋体" w:hAnsi="宋体" w:eastAsia="宋体" w:cs="宋体"/>
          <w:sz w:val="21"/>
          <w:szCs w:val="21"/>
          <w:highlight w:val="none"/>
          <w:lang w:val="en-US" w:eastAsia="zh-CN"/>
        </w:rPr>
        <w:t>牟</w:t>
      </w:r>
      <w:r>
        <w:rPr>
          <w:rFonts w:hint="eastAsia" w:ascii="宋体" w:hAnsi="宋体" w:eastAsia="宋体" w:cs="宋体"/>
          <w:sz w:val="21"/>
          <w:szCs w:val="21"/>
          <w:highlight w:val="none"/>
        </w:rPr>
        <w:t>取不正当利益行为给甲方造成的一切损失（包括直接和间接损失）</w:t>
      </w:r>
      <w:r>
        <w:rPr>
          <w:rFonts w:hint="eastAsia" w:ascii="宋体" w:hAnsi="宋体" w:eastAsia="宋体" w:cs="宋体"/>
          <w:sz w:val="21"/>
          <w:szCs w:val="21"/>
          <w:highlight w:val="none"/>
          <w:lang w:eastAsia="zh-CN"/>
        </w:rPr>
        <w:t>。</w:t>
      </w:r>
    </w:p>
    <w:p>
      <w:pPr>
        <w:pStyle w:val="2"/>
        <w:numPr>
          <w:ilvl w:val="0"/>
          <w:numId w:val="0"/>
        </w:num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第五条 </w:t>
      </w:r>
      <w:r>
        <w:rPr>
          <w:rFonts w:hint="eastAsia" w:ascii="宋体" w:hAnsi="宋体" w:eastAsia="宋体" w:cs="宋体"/>
          <w:sz w:val="21"/>
          <w:szCs w:val="21"/>
          <w:highlight w:val="none"/>
          <w:u w:val="single"/>
        </w:rPr>
        <w:t>因本协议产生或</w:t>
      </w:r>
      <w:r>
        <w:rPr>
          <w:rFonts w:hint="eastAsia" w:ascii="宋体" w:hAnsi="宋体" w:eastAsia="宋体" w:cs="宋体"/>
          <w:sz w:val="21"/>
          <w:szCs w:val="21"/>
          <w:highlight w:val="none"/>
          <w:u w:val="single"/>
          <w:lang w:val="en-US" w:eastAsia="zh-CN"/>
        </w:rPr>
        <w:t>与</w:t>
      </w:r>
      <w:r>
        <w:rPr>
          <w:rFonts w:hint="eastAsia" w:ascii="宋体" w:hAnsi="宋体" w:eastAsia="宋体" w:cs="宋体"/>
          <w:sz w:val="21"/>
          <w:szCs w:val="21"/>
          <w:highlight w:val="none"/>
          <w:u w:val="single"/>
        </w:rPr>
        <w:t>本协议有关的一切争议，双方应协商解决，协商不成，双方均有权向</w:t>
      </w:r>
      <w:r>
        <w:rPr>
          <w:rStyle w:val="42"/>
          <w:rFonts w:hint="eastAsia" w:ascii="宋体" w:hAnsi="宋体" w:eastAsia="宋体" w:cs="宋体"/>
          <w:kern w:val="0"/>
          <w:sz w:val="21"/>
          <w:szCs w:val="21"/>
          <w:lang w:val="en-US" w:eastAsia="zh-CN" w:bidi="ar-SA"/>
        </w:rPr>
        <w:t>合同签订地有管辖权的法院</w:t>
      </w:r>
      <w:r>
        <w:rPr>
          <w:rFonts w:hint="eastAsia" w:ascii="宋体" w:hAnsi="宋体" w:eastAsia="宋体" w:cs="宋体"/>
          <w:sz w:val="21"/>
          <w:szCs w:val="21"/>
          <w:highlight w:val="none"/>
          <w:u w:val="single"/>
        </w:rPr>
        <w:t>提起诉讼。</w:t>
      </w:r>
      <w:r>
        <w:rPr>
          <w:rFonts w:hint="eastAsia" w:ascii="宋体" w:hAnsi="宋体" w:eastAsia="宋体" w:cs="宋体"/>
          <w:sz w:val="21"/>
          <w:szCs w:val="21"/>
          <w:highlight w:val="none"/>
        </w:rPr>
        <w:t>第六条 本协议一式</w:t>
      </w:r>
      <w:r>
        <w:rPr>
          <w:rFonts w:hint="eastAsia" w:ascii="宋体" w:hAnsi="宋体" w:eastAsia="宋体" w:cs="宋体"/>
          <w:sz w:val="21"/>
          <w:szCs w:val="21"/>
          <w:highlight w:val="none"/>
          <w:lang w:val="en-US" w:eastAsia="zh-CN"/>
        </w:rPr>
        <w:t>两</w:t>
      </w:r>
      <w:r>
        <w:rPr>
          <w:rFonts w:hint="eastAsia" w:ascii="宋体" w:hAnsi="宋体" w:eastAsia="宋体" w:cs="宋体"/>
          <w:sz w:val="21"/>
          <w:szCs w:val="21"/>
          <w:highlight w:val="none"/>
        </w:rPr>
        <w:t>份，其中甲方</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份、乙方</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份，均具同等法律效力</w:t>
      </w:r>
      <w:r>
        <w:rPr>
          <w:rFonts w:hint="eastAsia" w:ascii="宋体" w:hAnsi="宋体" w:eastAsia="宋体" w:cs="宋体"/>
          <w:sz w:val="21"/>
          <w:szCs w:val="21"/>
          <w:highlight w:val="none"/>
          <w:lang w:eastAsia="zh-CN"/>
        </w:rPr>
        <w:t>。</w:t>
      </w:r>
    </w:p>
    <w:p>
      <w:pPr>
        <w:pStyle w:val="2"/>
        <w:numPr>
          <w:ilvl w:val="0"/>
          <w:numId w:val="0"/>
        </w:num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条 本协议自双方</w:t>
      </w:r>
      <w:r>
        <w:rPr>
          <w:rFonts w:hint="eastAsia" w:ascii="宋体" w:hAnsi="宋体" w:eastAsia="宋体" w:cs="宋体"/>
          <w:sz w:val="21"/>
          <w:szCs w:val="21"/>
          <w:highlight w:val="none"/>
          <w:lang w:val="en-US" w:eastAsia="zh-CN"/>
        </w:rPr>
        <w:t>法定代表人或授权代表签字并且盖章</w:t>
      </w:r>
      <w:r>
        <w:rPr>
          <w:rFonts w:hint="eastAsia" w:ascii="宋体" w:hAnsi="宋体" w:eastAsia="宋体" w:cs="宋体"/>
          <w:sz w:val="21"/>
          <w:szCs w:val="21"/>
          <w:highlight w:val="none"/>
        </w:rPr>
        <w:t>时生效。</w:t>
      </w:r>
    </w:p>
    <w:p>
      <w:pPr>
        <w:pStyle w:val="2"/>
        <w:numPr>
          <w:ilvl w:val="0"/>
          <w:numId w:val="0"/>
        </w:numPr>
        <w:ind w:firstLine="630" w:firstLineChars="300"/>
        <w:rPr>
          <w:rFonts w:hint="eastAsia" w:ascii="宋体" w:hAnsi="宋体" w:eastAsia="宋体" w:cs="宋体"/>
          <w:sz w:val="21"/>
          <w:szCs w:val="21"/>
          <w:highlight w:val="none"/>
        </w:rPr>
      </w:pPr>
    </w:p>
    <w:p>
      <w:pPr>
        <w:pStyle w:val="2"/>
        <w:numPr>
          <w:ilvl w:val="0"/>
          <w:numId w:val="0"/>
        </w:numPr>
        <w:ind w:firstLine="630" w:firstLineChars="300"/>
        <w:rPr>
          <w:rFonts w:hint="eastAsia" w:ascii="宋体" w:hAnsi="宋体" w:eastAsia="宋体" w:cs="宋体"/>
          <w:sz w:val="21"/>
          <w:szCs w:val="21"/>
          <w:highlight w:val="none"/>
        </w:rPr>
      </w:pPr>
    </w:p>
    <w:p>
      <w:pPr>
        <w:pStyle w:val="2"/>
        <w:numPr>
          <w:ilvl w:val="0"/>
          <w:numId w:val="0"/>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甲方单位：（盖章）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乙方单位：（盖章） </w:t>
      </w:r>
    </w:p>
    <w:p>
      <w:pPr>
        <w:pStyle w:val="2"/>
        <w:numPr>
          <w:ilvl w:val="0"/>
          <w:numId w:val="0"/>
        </w:numPr>
        <w:ind w:left="5760" w:hanging="3780" w:hangingChars="18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                    法定代表人或</w:t>
      </w:r>
    </w:p>
    <w:p>
      <w:pPr>
        <w:pStyle w:val="2"/>
        <w:numPr>
          <w:ilvl w:val="0"/>
          <w:numId w:val="0"/>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或授权代表（签字）</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授权代表（签字）</w:t>
      </w:r>
      <w:r>
        <w:rPr>
          <w:rFonts w:hint="eastAsia" w:ascii="宋体" w:hAnsi="宋体" w:eastAsia="宋体" w:cs="宋体"/>
          <w:sz w:val="21"/>
          <w:szCs w:val="21"/>
          <w:highlight w:val="none"/>
        </w:rPr>
        <w:t xml:space="preserve">：  </w:t>
      </w:r>
    </w:p>
    <w:p>
      <w:pPr>
        <w:pStyle w:val="2"/>
        <w:numPr>
          <w:ilvl w:val="0"/>
          <w:numId w:val="0"/>
        </w:numPr>
        <w:rPr>
          <w:rFonts w:hint="eastAsia" w:ascii="宋体" w:hAnsi="宋体" w:eastAsia="宋体" w:cs="宋体"/>
          <w:sz w:val="21"/>
          <w:szCs w:val="21"/>
          <w:highlight w:val="none"/>
          <w:lang w:val="en-US" w:eastAsia="zh-CN"/>
        </w:rPr>
      </w:pPr>
    </w:p>
    <w:p>
      <w:pPr>
        <w:pStyle w:val="2"/>
        <w:numPr>
          <w:ilvl w:val="0"/>
          <w:numId w:val="0"/>
        </w:numPr>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年   月   日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rPr>
        <w:t xml:space="preserve">年   月   日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none"/>
          <w:lang w:val="en-US" w:eastAsia="zh-CN"/>
        </w:rPr>
        <w:t xml:space="preserve">   </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b/>
          <w:bCs/>
          <w:sz w:val="21"/>
          <w:szCs w:val="21"/>
          <w:lang w:val="en-US" w:eastAsia="zh-CN"/>
        </w:rPr>
      </w:pPr>
    </w:p>
    <w:p>
      <w:pPr>
        <w:jc w:val="center"/>
        <w:rPr>
          <w:color w:val="auto"/>
        </w:rPr>
      </w:pPr>
    </w:p>
    <w:p>
      <w:pPr>
        <w:jc w:val="center"/>
        <w:rPr>
          <w:rFonts w:hint="eastAsia" w:ascii="宋体" w:hAnsi="宋体" w:cs="宋体"/>
          <w:b/>
          <w:sz w:val="72"/>
          <w:szCs w:val="72"/>
          <w:highlight w:val="none"/>
          <w:lang w:val="en-US" w:eastAsia="zh-CN"/>
        </w:rPr>
      </w:pPr>
    </w:p>
    <w:p>
      <w:pPr>
        <w:jc w:val="center"/>
        <w:rPr>
          <w:rFonts w:hint="eastAsia" w:ascii="宋体" w:hAnsi="宋体" w:cs="宋体"/>
          <w:b/>
          <w:sz w:val="72"/>
          <w:szCs w:val="72"/>
          <w:highlight w:val="none"/>
          <w:lang w:val="en-US" w:eastAsia="zh-CN"/>
        </w:rPr>
      </w:pPr>
    </w:p>
    <w:p>
      <w:pPr>
        <w:jc w:val="center"/>
        <w:rPr>
          <w:rFonts w:hint="eastAsia" w:ascii="宋体" w:hAnsi="宋体" w:cs="宋体"/>
          <w:b/>
          <w:sz w:val="72"/>
          <w:szCs w:val="72"/>
          <w:highlight w:val="none"/>
          <w:lang w:val="en-US" w:eastAsia="zh-CN"/>
        </w:rPr>
      </w:pPr>
      <w:r>
        <w:rPr>
          <w:rFonts w:hint="eastAsia" w:ascii="宋体" w:hAnsi="宋体" w:cs="宋体"/>
          <w:b/>
          <w:sz w:val="72"/>
          <w:szCs w:val="72"/>
          <w:highlight w:val="none"/>
          <w:lang w:val="en-US" w:eastAsia="zh-CN"/>
        </w:rPr>
        <w:t>招 标 入 围 合 同 书</w:t>
      </w:r>
    </w:p>
    <w:p>
      <w:pPr>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w:t>
      </w:r>
      <w:r>
        <w:rPr>
          <w:rFonts w:hint="eastAsia" w:ascii="宋体" w:hAnsi="宋体" w:cs="宋体"/>
          <w:b/>
          <w:sz w:val="32"/>
          <w:szCs w:val="32"/>
          <w:highlight w:val="none"/>
          <w:lang w:val="en-US" w:eastAsia="zh-CN"/>
        </w:rPr>
        <w:t>适用于子包2</w:t>
      </w:r>
      <w:r>
        <w:rPr>
          <w:rFonts w:hint="eastAsia" w:ascii="宋体" w:hAnsi="宋体" w:cs="宋体"/>
          <w:b/>
          <w:sz w:val="32"/>
          <w:szCs w:val="32"/>
          <w:highlight w:val="none"/>
          <w:lang w:eastAsia="zh-CN"/>
        </w:rPr>
        <w:t>）</w:t>
      </w:r>
    </w:p>
    <w:p>
      <w:pPr>
        <w:pStyle w:val="60"/>
      </w:pPr>
    </w:p>
    <w:p>
      <w:pPr>
        <w:pStyle w:val="3"/>
        <w:rPr>
          <w:rFonts w:ascii="宋体" w:hAnsi="宋体" w:eastAsia="宋体" w:cs="宋体"/>
        </w:rPr>
      </w:pPr>
    </w:p>
    <w:p>
      <w:pPr>
        <w:pStyle w:val="3"/>
        <w:rPr>
          <w:rFonts w:ascii="宋体" w:hAnsi="宋体" w:eastAsia="宋体" w:cs="宋体"/>
        </w:rPr>
      </w:pPr>
    </w:p>
    <w:p>
      <w:pPr>
        <w:jc w:val="center"/>
        <w:rPr>
          <w:rFonts w:ascii="宋体" w:hAnsi="宋体" w:cs="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项目名称：</w:t>
      </w:r>
      <w:r>
        <w:rPr>
          <w:rFonts w:hint="eastAsia" w:ascii="宋体" w:hAnsi="宋体" w:cs="宋体"/>
          <w:b/>
          <w:sz w:val="28"/>
          <w:szCs w:val="28"/>
          <w:u w:val="single"/>
          <w:lang w:val="en-US" w:eastAsia="zh-CN"/>
        </w:rPr>
        <w:t xml:space="preserve">                                     </w:t>
      </w:r>
      <w:r>
        <w:rPr>
          <w:rFonts w:hint="eastAsia" w:ascii="宋体" w:hAnsi="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合同编号：</w:t>
      </w:r>
      <w:r>
        <w:rPr>
          <w:rFonts w:hint="eastAsia" w:ascii="宋体" w:hAnsi="宋体" w:cs="宋体"/>
          <w:b/>
          <w:sz w:val="28"/>
          <w:szCs w:val="28"/>
          <w:u w:val="single"/>
          <w:lang w:val="en-US" w:eastAsia="zh-CN"/>
        </w:rPr>
        <w:t xml:space="preserve">                                     </w:t>
      </w:r>
      <w:r>
        <w:rPr>
          <w:rFonts w:hint="eastAsia" w:ascii="宋体" w:hAnsi="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签订地点：</w:t>
      </w:r>
      <w:r>
        <w:rPr>
          <w:rFonts w:hint="eastAsia" w:ascii="宋体" w:hAnsi="宋体" w:cs="宋体"/>
          <w:b/>
          <w:sz w:val="28"/>
          <w:szCs w:val="28"/>
          <w:u w:val="single"/>
          <w:lang w:val="en-US" w:eastAsia="zh-CN"/>
        </w:rPr>
        <w:t xml:space="preserve">                                     </w:t>
      </w:r>
      <w:r>
        <w:rPr>
          <w:rFonts w:hint="eastAsia" w:ascii="宋体" w:hAnsi="宋体" w:cs="宋体"/>
          <w:b/>
          <w:sz w:val="28"/>
          <w:szCs w:val="28"/>
        </w:rPr>
        <w:t xml:space="preserve">                             </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rPr>
      </w:pPr>
      <w:r>
        <w:rPr>
          <w:rFonts w:hint="eastAsia" w:ascii="宋体" w:hAnsi="宋体" w:cs="宋体"/>
          <w:b/>
          <w:sz w:val="28"/>
          <w:szCs w:val="28"/>
        </w:rPr>
        <w:t>二</w:t>
      </w:r>
      <w:r>
        <w:rPr>
          <w:rFonts w:hint="eastAsia" w:ascii="宋体" w:hAnsi="宋体" w:cs="宋体"/>
          <w:b/>
          <w:sz w:val="28"/>
          <w:szCs w:val="28"/>
          <w:lang w:eastAsia="zh-CN"/>
        </w:rPr>
        <w:t>〇</w:t>
      </w:r>
      <w:r>
        <w:rPr>
          <w:rFonts w:hint="eastAsia" w:ascii="宋体" w:hAnsi="宋体" w:cs="宋体"/>
          <w:b/>
          <w:sz w:val="28"/>
          <w:szCs w:val="28"/>
        </w:rPr>
        <w:t xml:space="preserve">    年    月   日</w:t>
      </w:r>
    </w:p>
    <w:p>
      <w:pPr>
        <w:jc w:val="left"/>
        <w:rPr>
          <w:rFonts w:hint="default" w:ascii="宋体" w:hAnsi="宋体" w:eastAsia="宋体" w:cs="宋体"/>
          <w:b/>
          <w:sz w:val="28"/>
          <w:szCs w:val="28"/>
          <w:lang w:val="en-US" w:eastAsia="zh-CN"/>
        </w:rPr>
      </w:pPr>
    </w:p>
    <w:p>
      <w:pPr>
        <w:rPr>
          <w:rFonts w:ascii="宋体" w:hAnsi="宋体" w:cs="宋体"/>
          <w:b/>
          <w:sz w:val="28"/>
          <w:szCs w:val="28"/>
        </w:rPr>
      </w:pPr>
    </w:p>
    <w:p>
      <w:pPr>
        <w:pStyle w:val="3"/>
        <w:ind w:left="0" w:leftChars="0" w:firstLine="0" w:firstLineChars="0"/>
        <w:rPr>
          <w:rFonts w:ascii="宋体" w:hAnsi="宋体" w:eastAsia="宋体" w:cs="宋体"/>
          <w:b/>
          <w:szCs w:val="28"/>
        </w:rPr>
      </w:pPr>
    </w:p>
    <w:p>
      <w:pPr>
        <w:rPr>
          <w:rFonts w:ascii="宋体" w:hAnsi="宋体" w:cs="宋体"/>
          <w:b/>
          <w:szCs w:val="21"/>
        </w:rPr>
      </w:pPr>
      <w:r>
        <w:rPr>
          <w:rFonts w:hint="eastAsia" w:ascii="宋体" w:hAnsi="宋体" w:cs="宋体"/>
          <w:b/>
          <w:szCs w:val="21"/>
        </w:rPr>
        <w:t>注：本合同仅为合同草案文本，合同签订双方可根据项目的具体要求进行修订和细化。</w:t>
      </w:r>
    </w:p>
    <w:p>
      <w:pPr>
        <w:ind w:firstLine="5670" w:firstLineChars="2700"/>
        <w:rPr>
          <w:rFonts w:ascii="宋体" w:hAnsi="宋体" w:cs="宋体"/>
          <w:szCs w:val="21"/>
        </w:rPr>
      </w:pPr>
    </w:p>
    <w:p>
      <w:pPr>
        <w:rPr>
          <w:rFonts w:ascii="宋体" w:hAnsi="宋体" w:cs="宋体"/>
          <w:szCs w:val="21"/>
        </w:rPr>
      </w:pPr>
      <w:r>
        <w:rPr>
          <w:rFonts w:hint="eastAsia" w:ascii="宋体" w:hAnsi="宋体" w:cs="宋体"/>
          <w:szCs w:val="21"/>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甲方：</w:t>
      </w:r>
      <w:r>
        <w:rPr>
          <w:rFonts w:hint="eastAsia" w:ascii="宋体" w:hAnsi="宋体" w:eastAsia="宋体" w:cs="宋体"/>
          <w:sz w:val="21"/>
          <w:szCs w:val="21"/>
          <w:u w:val="none"/>
          <w:lang w:val="en-US" w:eastAsia="zh-CN"/>
        </w:rPr>
        <w:t xml:space="preserve">广东南方日报展示科技有限公司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法定代表人（负责人）：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办公</w:t>
      </w:r>
      <w:r>
        <w:rPr>
          <w:rFonts w:hint="eastAsia" w:ascii="宋体" w:hAnsi="宋体" w:eastAsia="宋体" w:cs="宋体"/>
          <w:sz w:val="21"/>
          <w:szCs w:val="21"/>
          <w:highlight w:val="none"/>
          <w:u w:val="none"/>
          <w:lang w:eastAsia="zh-CN"/>
        </w:rPr>
        <w:t>地址：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eastAsia="zh-CN"/>
        </w:rPr>
        <w:t>乙 方：</w:t>
      </w:r>
      <w:r>
        <w:rPr>
          <w:rFonts w:hint="eastAsia" w:ascii="宋体" w:hAnsi="宋体" w:eastAsia="宋体" w:cs="宋体"/>
          <w:sz w:val="21"/>
          <w:szCs w:val="21"/>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eastAsia="zh-CN"/>
        </w:rPr>
        <w:t xml:space="preserve">法定代表人（负责人）： </w:t>
      </w:r>
      <w:r>
        <w:rPr>
          <w:rFonts w:hint="eastAsia" w:ascii="宋体" w:hAnsi="宋体" w:eastAsia="宋体" w:cs="宋体"/>
          <w:sz w:val="21"/>
          <w:szCs w:val="21"/>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办公</w:t>
      </w:r>
      <w:r>
        <w:rPr>
          <w:rFonts w:hint="eastAsia" w:ascii="宋体" w:hAnsi="宋体" w:eastAsia="宋体" w:cs="宋体"/>
          <w:sz w:val="21"/>
          <w:szCs w:val="21"/>
          <w:highlight w:val="none"/>
          <w:u w:val="none"/>
          <w:lang w:eastAsia="zh-CN"/>
        </w:rPr>
        <w:t xml:space="preserve">地址： </w:t>
      </w:r>
      <w:r>
        <w:rPr>
          <w:rFonts w:hint="eastAsia" w:ascii="宋体" w:hAnsi="宋体" w:eastAsia="宋体" w:cs="宋体"/>
          <w:sz w:val="21"/>
          <w:szCs w:val="21"/>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 xml:space="preserve">联系方式： </w:t>
      </w:r>
      <w:r>
        <w:rPr>
          <w:rFonts w:hint="eastAsia" w:ascii="宋体" w:hAnsi="宋体" w:eastAsia="宋体" w:cs="宋体"/>
          <w:sz w:val="21"/>
          <w:szCs w:val="21"/>
          <w:highlight w:val="none"/>
          <w:u w:val="none"/>
          <w:lang w:val="en-US" w:eastAsia="zh-CN"/>
        </w:rPr>
        <w:t xml:space="preserve">                                    </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3"/>
          <w:rFonts w:hint="eastAsia" w:ascii="仿宋_GB2312" w:hAnsi="仿宋_GB2312" w:eastAsia="仿宋_GB2312" w:cs="仿宋_GB2312"/>
          <w:bCs/>
          <w:sz w:val="21"/>
          <w:szCs w:val="21"/>
        </w:rPr>
      </w:pP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3"/>
          <w:rFonts w:hint="eastAsia" w:ascii="宋体" w:hAnsi="宋体" w:eastAsia="宋体" w:cs="宋体"/>
          <w:bCs/>
          <w:sz w:val="21"/>
          <w:szCs w:val="21"/>
        </w:rPr>
      </w:pPr>
      <w:r>
        <w:rPr>
          <w:rStyle w:val="43"/>
          <w:rFonts w:hint="eastAsia" w:ascii="宋体" w:hAnsi="宋体" w:eastAsia="宋体" w:cs="宋体"/>
          <w:bCs/>
          <w:sz w:val="21"/>
          <w:szCs w:val="21"/>
        </w:rPr>
        <w:t>甲、乙双方经过</w:t>
      </w:r>
      <w:r>
        <w:rPr>
          <w:rStyle w:val="43"/>
          <w:rFonts w:hint="eastAsia" w:ascii="宋体" w:hAnsi="宋体" w:eastAsia="宋体" w:cs="宋体"/>
          <w:bCs/>
          <w:sz w:val="21"/>
          <w:szCs w:val="21"/>
          <w:lang w:eastAsia="zh-CN"/>
        </w:rPr>
        <w:t>平等</w:t>
      </w:r>
      <w:r>
        <w:rPr>
          <w:rStyle w:val="43"/>
          <w:rFonts w:hint="eastAsia" w:ascii="宋体" w:hAnsi="宋体" w:eastAsia="宋体" w:cs="宋体"/>
          <w:bCs/>
          <w:sz w:val="21"/>
          <w:szCs w:val="21"/>
        </w:rPr>
        <w:t>友好协商，依照《中华人民共和国民法典》等相关法律法规，现就</w:t>
      </w:r>
      <w:r>
        <w:rPr>
          <w:rStyle w:val="43"/>
          <w:rFonts w:hint="eastAsia" w:ascii="宋体" w:hAnsi="宋体" w:eastAsia="宋体" w:cs="宋体"/>
          <w:bCs/>
          <w:sz w:val="21"/>
          <w:szCs w:val="21"/>
          <w:lang w:val="en-US" w:eastAsia="zh-CN"/>
        </w:rPr>
        <w:t>甲方委托乙方进行布展服务</w:t>
      </w:r>
      <w:r>
        <w:rPr>
          <w:rStyle w:val="43"/>
          <w:rFonts w:hint="eastAsia" w:ascii="宋体" w:hAnsi="宋体" w:eastAsia="宋体" w:cs="宋体"/>
          <w:bCs/>
          <w:sz w:val="21"/>
          <w:szCs w:val="21"/>
        </w:rPr>
        <w:t>事宜达成如下协议，</w:t>
      </w:r>
      <w:r>
        <w:rPr>
          <w:rStyle w:val="43"/>
          <w:rFonts w:hint="eastAsia" w:ascii="宋体" w:hAnsi="宋体" w:eastAsia="宋体" w:cs="宋体"/>
          <w:bCs/>
          <w:sz w:val="21"/>
          <w:szCs w:val="21"/>
          <w:lang w:eastAsia="zh-CN"/>
        </w:rPr>
        <w:t>以资</w:t>
      </w:r>
      <w:r>
        <w:rPr>
          <w:rStyle w:val="43"/>
          <w:rFonts w:hint="eastAsia" w:ascii="宋体" w:hAnsi="宋体" w:eastAsia="宋体" w:cs="宋体"/>
          <w:bCs/>
          <w:sz w:val="21"/>
          <w:szCs w:val="21"/>
        </w:rPr>
        <w:t>共同遵守。</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Style w:val="42"/>
          <w:rFonts w:hint="eastAsia" w:ascii="宋体" w:hAnsi="宋体" w:eastAsia="宋体" w:cs="宋体"/>
          <w:sz w:val="28"/>
          <w:szCs w:val="28"/>
        </w:rPr>
      </w:pP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w:t>
      </w:r>
      <w:r>
        <w:rPr>
          <w:rStyle w:val="42"/>
          <w:rFonts w:hint="eastAsia" w:ascii="宋体" w:hAnsi="宋体" w:eastAsia="宋体" w:cs="宋体"/>
          <w:b/>
          <w:sz w:val="21"/>
          <w:szCs w:val="21"/>
        </w:rPr>
        <w:t>一</w:t>
      </w:r>
      <w:r>
        <w:rPr>
          <w:rStyle w:val="42"/>
          <w:rFonts w:hint="eastAsia" w:ascii="宋体" w:hAnsi="宋体" w:eastAsia="宋体" w:cs="宋体"/>
          <w:b/>
          <w:sz w:val="21"/>
          <w:szCs w:val="21"/>
          <w:lang w:eastAsia="zh-CN"/>
        </w:rPr>
        <w:t>条</w:t>
      </w: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rPr>
        <w:t>项目概况</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rPr>
      </w:pPr>
      <w:r>
        <w:rPr>
          <w:rStyle w:val="43"/>
          <w:rFonts w:hint="eastAsia" w:ascii="宋体" w:hAnsi="宋体" w:eastAsia="宋体" w:cs="宋体"/>
          <w:bCs/>
          <w:sz w:val="21"/>
          <w:szCs w:val="21"/>
          <w:lang w:eastAsia="zh-CN"/>
        </w:rPr>
        <w:t>（</w:t>
      </w:r>
      <w:r>
        <w:rPr>
          <w:rStyle w:val="43"/>
          <w:rFonts w:hint="eastAsia" w:ascii="宋体" w:hAnsi="宋体" w:eastAsia="宋体" w:cs="宋体"/>
          <w:bCs/>
          <w:sz w:val="21"/>
          <w:szCs w:val="21"/>
          <w:highlight w:val="none"/>
          <w:lang w:eastAsia="zh-CN"/>
        </w:rPr>
        <w:t>一）项目</w:t>
      </w:r>
      <w:r>
        <w:rPr>
          <w:rStyle w:val="43"/>
          <w:rFonts w:hint="eastAsia" w:ascii="宋体" w:hAnsi="宋体" w:eastAsia="宋体" w:cs="宋体"/>
          <w:bCs/>
          <w:sz w:val="21"/>
          <w:szCs w:val="21"/>
          <w:highlight w:val="none"/>
        </w:rPr>
        <w:t>名称：</w:t>
      </w:r>
      <w:r>
        <w:rPr>
          <w:rStyle w:val="42"/>
          <w:rFonts w:hint="eastAsia" w:ascii="宋体" w:hAnsi="宋体" w:eastAsia="宋体" w:cs="宋体"/>
          <w:sz w:val="21"/>
          <w:szCs w:val="21"/>
          <w:highlight w:val="none"/>
          <w:u w:val="single"/>
          <w:lang w:val="en-US" w:eastAsia="zh-CN"/>
        </w:rPr>
        <w:t xml:space="preserve">                                  </w:t>
      </w:r>
      <w:r>
        <w:rPr>
          <w:rStyle w:val="42"/>
          <w:rFonts w:hint="eastAsia" w:ascii="宋体" w:hAnsi="宋体" w:eastAsia="宋体" w:cs="宋体"/>
          <w:sz w:val="21"/>
          <w:szCs w:val="21"/>
          <w:highlight w:val="none"/>
        </w:rPr>
        <w:t>。</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lang w:eastAsia="zh-CN"/>
        </w:rPr>
      </w:pPr>
      <w:r>
        <w:rPr>
          <w:rStyle w:val="42"/>
          <w:rFonts w:hint="eastAsia" w:ascii="宋体" w:hAnsi="宋体" w:eastAsia="宋体" w:cs="宋体"/>
          <w:sz w:val="21"/>
          <w:szCs w:val="21"/>
          <w:highlight w:val="none"/>
          <w:lang w:eastAsia="zh-CN"/>
        </w:rPr>
        <w:t>（二）</w:t>
      </w:r>
      <w:r>
        <w:rPr>
          <w:rStyle w:val="43"/>
          <w:rFonts w:hint="eastAsia" w:ascii="宋体" w:hAnsi="宋体" w:eastAsia="宋体" w:cs="宋体"/>
          <w:bCs/>
          <w:sz w:val="21"/>
          <w:szCs w:val="21"/>
          <w:highlight w:val="none"/>
          <w:lang w:eastAsia="zh-CN"/>
        </w:rPr>
        <w:t>项目地点</w:t>
      </w:r>
      <w:r>
        <w:rPr>
          <w:rStyle w:val="43"/>
          <w:rFonts w:hint="eastAsia" w:ascii="宋体" w:hAnsi="宋体" w:eastAsia="宋体" w:cs="宋体"/>
          <w:bCs/>
          <w:sz w:val="21"/>
          <w:szCs w:val="21"/>
          <w:highlight w:val="none"/>
        </w:rPr>
        <w:t>：</w:t>
      </w:r>
      <w:r>
        <w:rPr>
          <w:rStyle w:val="42"/>
          <w:rFonts w:hint="eastAsia" w:ascii="宋体" w:hAnsi="宋体" w:eastAsia="宋体" w:cs="宋体"/>
          <w:sz w:val="21"/>
          <w:szCs w:val="21"/>
          <w:highlight w:val="none"/>
          <w:u w:val="single"/>
          <w:lang w:val="en-US" w:eastAsia="zh-CN"/>
        </w:rPr>
        <w:t xml:space="preserve">                                  </w:t>
      </w:r>
      <w:r>
        <w:rPr>
          <w:rStyle w:val="42"/>
          <w:rFonts w:hint="eastAsia" w:ascii="宋体" w:hAnsi="宋体" w:eastAsia="宋体" w:cs="宋体"/>
          <w:sz w:val="21"/>
          <w:szCs w:val="21"/>
          <w:highlight w:val="none"/>
        </w:rPr>
        <w:t>。</w:t>
      </w:r>
    </w:p>
    <w:p>
      <w:pPr>
        <w:pStyle w:val="41"/>
        <w:keepNext w:val="0"/>
        <w:keepLines w:val="0"/>
        <w:pageBreakBefore w:val="0"/>
        <w:shd w:val="clear"/>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rPr>
      </w:pPr>
      <w:r>
        <w:rPr>
          <w:rStyle w:val="42"/>
          <w:rFonts w:hint="eastAsia" w:ascii="宋体" w:hAnsi="宋体" w:eastAsia="宋体" w:cs="宋体"/>
          <w:sz w:val="21"/>
          <w:szCs w:val="21"/>
          <w:highlight w:val="none"/>
          <w:lang w:eastAsia="zh-CN"/>
        </w:rPr>
        <w:t>（三）</w:t>
      </w:r>
      <w:r>
        <w:rPr>
          <w:rStyle w:val="42"/>
          <w:rFonts w:hint="eastAsia" w:cs="宋体"/>
          <w:sz w:val="21"/>
          <w:szCs w:val="21"/>
          <w:highlight w:val="none"/>
          <w:lang w:val="en-US" w:eastAsia="zh-CN"/>
        </w:rPr>
        <w:t>服务要求：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期内，乙方根据甲方提供的具体项目采购需求，负责各类多媒体硬件的供货、配套安装调试、售后维保等相关服务，供应硬件包括但不限于：常用尺寸触摸一体机、常用尺寸会议一体机、多规格显示一体机、高清工程投影机及配套幕布/支架、多媒体工控电脑/终端机、常用小间距LED显示屏、中控主机及配套控制硬件与系统、音视频采集/传输/播放设备、展陈专用音响功放及周边配件、互动展项配套硬件、布线及辅材等；需按要求提供硬件产品合格证明、检测报告等相关资料；负责硬件产品质保期内的维修、更换、保养等维保服务，以及质保期外的技术支持和有偿维修服务。</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服务期限：自合同签订之日起一年。服务期满后，根据乙方履约评价结果，经甲方同意后可再续期一年，累计不超过2年。单个具体项目的服务期限根据甲方具体要求为准。本项目为招标入围，合同履约期间甲方根据每个具体项目实际产生费用据实结算。乙方在本次招标入围采购中的具体结算金额甲方不作承诺。</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（五）项目人员要求：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（1）管理人员：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须有详细项目管理组织机构，列出项目负责人、项目组主要人员以及项目组组成人员名单。</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（2）实施人员：单个具体项目的具体实施人员应根据具体实施项目安排。</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其他服务要求：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针对单个具体项目各指定合作负责人一名，负责双方日常事务联络、推动、跟踪、落实和检查具体合作活动开展、过程、信息交流等工作。</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（2）验收方式：</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根据单个具体项目的实际需求，组织项目服务人员在约定时间完成各项服务工作，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对实施服务开展日常工作监督检查，项目服务工作完成后，由</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根据单个项目约定的验收标准组织验收。</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（3）质量保障要求：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应在保证安全和服务质量的前提下开展服务工作，服务过程中的非招标单位造成的一切风险（包括安全责任事故）均由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负责承担。</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应承担相关所有配套设备的出厂前的试验、包装、运输、交货以及现场设备安装指导、调试试验指导及检查、试运行、消缺、投运、性能保证的考核验收、技术和售后服务、人员培训、提供质保期服务等工作。</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保证提供的设备为全新的、先进的、成熟的、完整的和安全可靠的，且设备的技术经济性能符合</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的要求。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每次供货时需提供详细供货清单，清单中依次说明型号、产地、生产厂家等内容。</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提供所有安装和检修所需专用工具和消耗材料等。</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Style w:val="42"/>
          <w:rFonts w:hint="eastAsia" w:ascii="宋体" w:hAnsi="宋体" w:cs="宋体"/>
          <w:b/>
          <w:szCs w:val="21"/>
        </w:rPr>
      </w:pPr>
      <w:r>
        <w:rPr>
          <w:rFonts w:hint="eastAsia" w:ascii="宋体" w:hAnsi="宋体" w:eastAsia="宋体" w:cs="宋体"/>
          <w:color w:val="auto"/>
          <w:sz w:val="21"/>
          <w:szCs w:val="21"/>
          <w:highlight w:val="none"/>
          <w:lang w:val="en-US" w:eastAsia="zh-CN"/>
        </w:rPr>
        <w:t>⑥</w:t>
      </w:r>
      <w:r>
        <w:rPr>
          <w:rFonts w:hint="eastAsia" w:ascii="宋体" w:hAnsi="宋体" w:cs="宋体"/>
          <w:color w:val="auto"/>
          <w:sz w:val="21"/>
          <w:szCs w:val="21"/>
          <w:highlight w:val="none"/>
          <w:lang w:val="en-US" w:eastAsia="zh-CN"/>
        </w:rPr>
        <w:t>乙方</w:t>
      </w:r>
      <w:r>
        <w:rPr>
          <w:rFonts w:hint="default"/>
          <w:lang w:val="en-US" w:eastAsia="zh-CN"/>
        </w:rPr>
        <w:t>负责所供设备质量保证期的保证责任，如：设备的维护、检修、更换（如需要）</w:t>
      </w:r>
      <w:r>
        <w:rPr>
          <w:rFonts w:hint="eastAsia"/>
          <w:lang w:val="en-US" w:eastAsia="zh-CN"/>
        </w:rPr>
        <w:t>。</w:t>
      </w:r>
    </w:p>
    <w:p>
      <w:pPr>
        <w:numPr>
          <w:ilvl w:val="-1"/>
          <w:numId w:val="0"/>
        </w:numPr>
        <w:spacing w:line="360" w:lineRule="auto"/>
        <w:ind w:firstLine="0" w:firstLineChars="0"/>
        <w:rPr>
          <w:rStyle w:val="42"/>
          <w:rFonts w:hint="eastAsia" w:ascii="宋体" w:hAnsi="宋体" w:eastAsia="宋体" w:cs="宋体"/>
          <w:sz w:val="21"/>
          <w:szCs w:val="21"/>
          <w:highlight w:val="none"/>
        </w:rPr>
      </w:pPr>
      <w:r>
        <w:rPr>
          <w:rStyle w:val="42"/>
          <w:rFonts w:hint="eastAsia" w:ascii="宋体" w:hAnsi="宋体" w:eastAsia="宋体" w:cs="宋体"/>
          <w:b/>
          <w:sz w:val="21"/>
          <w:szCs w:val="21"/>
          <w:lang w:eastAsia="zh-CN"/>
        </w:rPr>
        <w:t>第二</w:t>
      </w:r>
      <w:r>
        <w:rPr>
          <w:rStyle w:val="42"/>
          <w:rFonts w:hint="eastAsia" w:ascii="宋体" w:hAnsi="宋体" w:eastAsia="宋体" w:cs="宋体"/>
          <w:b/>
          <w:sz w:val="21"/>
          <w:szCs w:val="21"/>
          <w:highlight w:val="none"/>
          <w:lang w:eastAsia="zh-CN"/>
        </w:rPr>
        <w:t>条</w:t>
      </w:r>
      <w:r>
        <w:rPr>
          <w:rStyle w:val="42"/>
          <w:rFonts w:hint="eastAsia" w:ascii="宋体" w:hAnsi="宋体" w:eastAsia="宋体" w:cs="宋体"/>
          <w:b/>
          <w:sz w:val="21"/>
          <w:szCs w:val="21"/>
          <w:highlight w:val="none"/>
          <w:lang w:val="en-US" w:eastAsia="zh-CN"/>
        </w:rPr>
        <w:t xml:space="preserve">  </w:t>
      </w:r>
      <w:r>
        <w:rPr>
          <w:rStyle w:val="42"/>
          <w:rFonts w:hint="eastAsia" w:ascii="宋体" w:hAnsi="宋体" w:eastAsia="宋体" w:cs="宋体"/>
          <w:b/>
          <w:sz w:val="21"/>
          <w:szCs w:val="21"/>
          <w:lang w:val="en-US" w:eastAsia="zh-CN"/>
        </w:rPr>
        <w:t>合同签订及</w:t>
      </w:r>
      <w:r>
        <w:rPr>
          <w:rStyle w:val="42"/>
          <w:rFonts w:hint="eastAsia" w:ascii="宋体" w:hAnsi="宋体" w:eastAsia="宋体" w:cs="宋体"/>
          <w:b/>
          <w:sz w:val="21"/>
          <w:szCs w:val="21"/>
          <w:highlight w:val="none"/>
          <w:lang w:val="en-US" w:eastAsia="zh-CN"/>
        </w:rPr>
        <w:t>付款方式</w:t>
      </w:r>
    </w:p>
    <w:p>
      <w:pPr>
        <w:pStyle w:val="41"/>
        <w:keepNext w:val="0"/>
        <w:keepLines w:val="0"/>
        <w:pageBreakBefore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b w:val="0"/>
          <w:bCs w:val="0"/>
          <w:sz w:val="21"/>
          <w:szCs w:val="21"/>
        </w:rPr>
      </w:pPr>
      <w:r>
        <w:rPr>
          <w:rStyle w:val="42"/>
          <w:rFonts w:hint="eastAsia" w:ascii="宋体" w:hAnsi="宋体" w:eastAsia="宋体" w:cs="宋体"/>
          <w:sz w:val="21"/>
          <w:szCs w:val="21"/>
          <w:highlight w:val="none"/>
          <w:lang w:eastAsia="zh-CN"/>
        </w:rPr>
        <w:t>（一）</w:t>
      </w:r>
      <w:r>
        <w:rPr>
          <w:rFonts w:hint="eastAsia" w:ascii="宋体" w:hAnsi="宋体" w:eastAsia="宋体" w:cs="宋体"/>
          <w:b w:val="0"/>
          <w:bCs w:val="0"/>
          <w:sz w:val="21"/>
          <w:szCs w:val="21"/>
          <w:lang w:eastAsia="zh-CN"/>
        </w:rPr>
        <w:t>合同签订：本项目采用“框架入围协议+单项合同”方式。</w:t>
      </w:r>
      <w:r>
        <w:rPr>
          <w:rFonts w:hint="eastAsia" w:cs="宋体"/>
          <w:b w:val="0"/>
          <w:bCs w:val="0"/>
          <w:sz w:val="21"/>
          <w:szCs w:val="21"/>
          <w:lang w:val="en-US" w:eastAsia="zh-CN"/>
        </w:rPr>
        <w:t>甲方</w:t>
      </w:r>
      <w:r>
        <w:rPr>
          <w:rFonts w:hint="eastAsia" w:ascii="宋体" w:hAnsi="宋体" w:eastAsia="宋体" w:cs="宋体"/>
          <w:b w:val="0"/>
          <w:bCs w:val="0"/>
          <w:sz w:val="21"/>
          <w:szCs w:val="21"/>
          <w:lang w:eastAsia="zh-CN"/>
        </w:rPr>
        <w:t>与</w:t>
      </w:r>
      <w:r>
        <w:rPr>
          <w:rFonts w:hint="eastAsia" w:cs="宋体"/>
          <w:b w:val="0"/>
          <w:bCs w:val="0"/>
          <w:sz w:val="21"/>
          <w:szCs w:val="21"/>
          <w:lang w:val="en-US" w:eastAsia="zh-CN"/>
        </w:rPr>
        <w:t>乙方</w:t>
      </w:r>
      <w:r>
        <w:rPr>
          <w:rFonts w:hint="eastAsia" w:ascii="宋体" w:hAnsi="宋体" w:eastAsia="宋体" w:cs="宋体"/>
          <w:b w:val="0"/>
          <w:bCs w:val="0"/>
          <w:sz w:val="21"/>
          <w:szCs w:val="21"/>
          <w:lang w:eastAsia="zh-CN"/>
        </w:rPr>
        <w:t>签署框架入围协议后，根据</w:t>
      </w:r>
      <w:r>
        <w:rPr>
          <w:rFonts w:hint="eastAsia" w:cs="宋体"/>
          <w:b w:val="0"/>
          <w:bCs w:val="0"/>
          <w:sz w:val="21"/>
          <w:szCs w:val="21"/>
          <w:lang w:val="en-US" w:eastAsia="zh-CN"/>
        </w:rPr>
        <w:t>甲方</w:t>
      </w:r>
      <w:r>
        <w:rPr>
          <w:rFonts w:hint="eastAsia" w:ascii="宋体" w:hAnsi="宋体" w:eastAsia="宋体" w:cs="宋体"/>
          <w:b w:val="0"/>
          <w:bCs w:val="0"/>
          <w:sz w:val="21"/>
          <w:szCs w:val="21"/>
          <w:lang w:eastAsia="zh-CN"/>
        </w:rPr>
        <w:t>单个具体项目需求进行报价并签订单项合同</w:t>
      </w:r>
      <w:r>
        <w:rPr>
          <w:rFonts w:hint="eastAsia" w:ascii="宋体" w:hAnsi="宋体" w:eastAsia="宋体" w:cs="宋体"/>
          <w:b w:val="0"/>
          <w:bCs w:val="0"/>
          <w:sz w:val="21"/>
          <w:szCs w:val="21"/>
        </w:rPr>
        <w:t>。</w:t>
      </w:r>
    </w:p>
    <w:p>
      <w:pPr>
        <w:numPr>
          <w:ilvl w:val="0"/>
          <w:numId w:val="0"/>
        </w:numPr>
        <w:spacing w:line="360" w:lineRule="auto"/>
        <w:ind w:firstLine="420" w:firstLineChars="200"/>
        <w:rPr>
          <w:rFonts w:hint="eastAsia" w:ascii="宋体" w:hAnsi="宋体" w:eastAsia="宋体" w:cs="宋体"/>
          <w:b w:val="0"/>
          <w:bCs/>
          <w:sz w:val="21"/>
          <w:szCs w:val="21"/>
          <w:highlight w:val="none"/>
          <w:lang w:eastAsia="zh-CN"/>
        </w:rPr>
      </w:pPr>
      <w:r>
        <w:rPr>
          <w:rStyle w:val="42"/>
          <w:rFonts w:hint="eastAsia" w:ascii="宋体" w:hAnsi="宋体" w:eastAsia="宋体" w:cs="宋体"/>
          <w:sz w:val="21"/>
          <w:szCs w:val="21"/>
          <w:highlight w:val="none"/>
          <w:lang w:eastAsia="zh-CN"/>
        </w:rPr>
        <w:t>（</w:t>
      </w:r>
      <w:r>
        <w:rPr>
          <w:rStyle w:val="42"/>
          <w:rFonts w:hint="eastAsia" w:cs="宋体"/>
          <w:sz w:val="21"/>
          <w:szCs w:val="21"/>
          <w:highlight w:val="none"/>
          <w:lang w:val="en-US" w:eastAsia="zh-CN"/>
        </w:rPr>
        <w:t>二</w:t>
      </w:r>
      <w:r>
        <w:rPr>
          <w:rStyle w:val="42"/>
          <w:rFonts w:hint="eastAsia" w:ascii="宋体" w:hAnsi="宋体" w:eastAsia="宋体" w:cs="宋体"/>
          <w:sz w:val="21"/>
          <w:szCs w:val="21"/>
          <w:highlight w:val="none"/>
          <w:lang w:eastAsia="zh-CN"/>
        </w:rPr>
        <w:t>）</w:t>
      </w:r>
      <w:r>
        <w:rPr>
          <w:rStyle w:val="42"/>
          <w:rFonts w:hint="eastAsia" w:ascii="宋体" w:hAnsi="宋体" w:eastAsia="宋体" w:cs="宋体"/>
          <w:sz w:val="21"/>
          <w:szCs w:val="21"/>
          <w:highlight w:val="none"/>
          <w:lang w:val="en-US" w:eastAsia="zh-CN"/>
        </w:rPr>
        <w:t>单个项目的</w:t>
      </w:r>
      <w:r>
        <w:rPr>
          <w:rFonts w:hint="eastAsia" w:ascii="宋体" w:hAnsi="宋体" w:eastAsia="宋体" w:cs="宋体"/>
          <w:b w:val="0"/>
          <w:bCs/>
          <w:sz w:val="21"/>
          <w:szCs w:val="21"/>
          <w:highlight w:val="none"/>
          <w:lang w:eastAsia="zh-CN"/>
        </w:rPr>
        <w:t>合同总额包括乙方设计、安装、随机零配件、标配工具、运输保险、调试、培训、质保期服务、各项税费及合同实施过程当中不可预见费用等。以上数量以甲方实际需求为准，有权据实调整，但实际采购金额不超过合同总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shd w:val="clear" w:color="auto" w:fill="auto"/>
          <w:lang w:val="en-US" w:eastAsia="zh-CN" w:bidi="ar"/>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w:t>
      </w:r>
      <w:r>
        <w:rPr>
          <w:rFonts w:hint="eastAsia" w:ascii="宋体" w:hAnsi="宋体" w:cs="宋体"/>
          <w:color w:val="000000"/>
          <w:kern w:val="2"/>
          <w:sz w:val="21"/>
          <w:szCs w:val="21"/>
          <w:highlight w:val="none"/>
          <w:shd w:val="clear" w:color="auto" w:fill="auto"/>
          <w:lang w:val="en-US" w:eastAsia="zh-CN" w:bidi="ar"/>
        </w:rPr>
        <w:t>甲方</w:t>
      </w:r>
      <w:r>
        <w:rPr>
          <w:rFonts w:hint="eastAsia" w:ascii="宋体" w:hAnsi="宋体" w:eastAsia="宋体" w:cs="宋体"/>
          <w:color w:val="000000"/>
          <w:kern w:val="2"/>
          <w:sz w:val="21"/>
          <w:szCs w:val="21"/>
          <w:highlight w:val="none"/>
          <w:shd w:val="clear" w:color="auto" w:fill="auto"/>
          <w:lang w:val="en-US" w:eastAsia="zh-CN" w:bidi="ar"/>
        </w:rPr>
        <w:t>根据单项合同与</w:t>
      </w:r>
      <w:r>
        <w:rPr>
          <w:rFonts w:hint="eastAsia" w:ascii="宋体" w:hAnsi="宋体" w:cs="宋体"/>
          <w:color w:val="000000"/>
          <w:kern w:val="2"/>
          <w:sz w:val="21"/>
          <w:szCs w:val="21"/>
          <w:highlight w:val="none"/>
          <w:shd w:val="clear" w:color="auto" w:fill="auto"/>
          <w:lang w:val="en-US" w:eastAsia="zh-CN" w:bidi="ar"/>
        </w:rPr>
        <w:t>乙方</w:t>
      </w:r>
      <w:r>
        <w:rPr>
          <w:rFonts w:hint="eastAsia" w:ascii="宋体" w:hAnsi="宋体" w:eastAsia="宋体" w:cs="宋体"/>
          <w:color w:val="000000"/>
          <w:kern w:val="2"/>
          <w:sz w:val="21"/>
          <w:szCs w:val="21"/>
          <w:highlight w:val="none"/>
          <w:shd w:val="clear" w:color="auto" w:fill="auto"/>
          <w:lang w:val="en-US" w:eastAsia="zh-CN" w:bidi="ar"/>
        </w:rPr>
        <w:t>进行项目结算</w:t>
      </w:r>
      <w:r>
        <w:rPr>
          <w:rStyle w:val="42"/>
          <w:rFonts w:hint="eastAsia" w:ascii="宋体" w:hAnsi="宋体" w:cs="宋体"/>
          <w:color w:val="auto"/>
          <w:sz w:val="21"/>
          <w:szCs w:val="21"/>
          <w:highlight w:val="none"/>
          <w:lang w:val="en-US" w:eastAsia="zh-CN"/>
        </w:rPr>
        <w:t>。</w:t>
      </w:r>
    </w:p>
    <w:p>
      <w:pPr>
        <w:pStyle w:val="2"/>
        <w:wordWrap w:val="0"/>
        <w:adjustRightInd w:val="0"/>
        <w:snapToGrid w:val="0"/>
        <w:spacing w:after="0" w:line="36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四</w:t>
      </w:r>
      <w:r>
        <w:rPr>
          <w:rFonts w:hint="eastAsia" w:ascii="宋体" w:hAnsi="宋体" w:eastAsia="宋体" w:cs="宋体"/>
          <w:sz w:val="21"/>
          <w:szCs w:val="21"/>
          <w:highlight w:val="none"/>
          <w:lang w:val="en-US" w:eastAsia="zh-CN"/>
        </w:rPr>
        <w:t>）</w:t>
      </w:r>
      <w:r>
        <w:rPr>
          <w:rFonts w:hint="eastAsia" w:ascii="宋体" w:hAnsi="宋体" w:eastAsia="宋体" w:cs="宋体"/>
          <w:color w:val="auto"/>
          <w:sz w:val="21"/>
          <w:szCs w:val="21"/>
          <w:highlight w:val="none"/>
        </w:rPr>
        <w:t>乙方须</w:t>
      </w:r>
      <w:r>
        <w:rPr>
          <w:rFonts w:hint="eastAsia" w:ascii="宋体" w:hAnsi="宋体" w:eastAsia="宋体" w:cs="宋体"/>
          <w:color w:val="auto"/>
          <w:sz w:val="21"/>
          <w:szCs w:val="21"/>
          <w:highlight w:val="none"/>
          <w:lang w:eastAsia="zh-CN"/>
        </w:rPr>
        <w:t>在甲方每次付款前</w:t>
      </w:r>
      <w:r>
        <w:rPr>
          <w:rFonts w:hint="eastAsia" w:ascii="宋体" w:hAnsi="宋体" w:eastAsia="宋体" w:cs="宋体"/>
          <w:color w:val="auto"/>
          <w:sz w:val="21"/>
          <w:szCs w:val="21"/>
          <w:highlight w:val="none"/>
        </w:rPr>
        <w:t>按甲方要求及时开具足额正规</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增值税</w:t>
      </w:r>
      <w:r>
        <w:rPr>
          <w:rFonts w:hint="eastAsia" w:ascii="宋体" w:hAnsi="宋体" w:eastAsia="宋体" w:cs="宋体"/>
          <w:color w:val="auto"/>
          <w:sz w:val="21"/>
          <w:szCs w:val="21"/>
          <w:highlight w:val="none"/>
          <w:lang w:eastAsia="zh-CN"/>
        </w:rPr>
        <w:t>专用</w:t>
      </w:r>
      <w:r>
        <w:rPr>
          <w:rFonts w:hint="eastAsia" w:ascii="宋体" w:hAnsi="宋体" w:eastAsia="宋体" w:cs="宋体"/>
          <w:color w:val="auto"/>
          <w:sz w:val="21"/>
          <w:szCs w:val="21"/>
          <w:highlight w:val="none"/>
        </w:rPr>
        <w:t>发票</w:t>
      </w:r>
      <w:r>
        <w:rPr>
          <w:rFonts w:hint="eastAsia" w:ascii="宋体" w:hAnsi="宋体" w:cs="宋体"/>
          <w:color w:val="auto"/>
          <w:sz w:val="21"/>
          <w:szCs w:val="21"/>
          <w:lang w:eastAsia="zh-CN"/>
        </w:rPr>
        <w:t>□</w:t>
      </w:r>
      <w:r>
        <w:rPr>
          <w:rFonts w:hint="eastAsia" w:ascii="宋体" w:hAnsi="宋体" w:eastAsia="宋体" w:cs="宋体"/>
          <w:color w:val="auto"/>
          <w:sz w:val="21"/>
          <w:szCs w:val="21"/>
          <w:highlight w:val="none"/>
          <w:lang w:eastAsia="zh-CN"/>
        </w:rPr>
        <w:t>增值税普通发票</w:t>
      </w: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val="en-US" w:eastAsia="zh-CN" w:bidi="ar"/>
        </w:rPr>
        <w:t>如因乙方提供发票时间延迟则甲方有权顺延付款时间且不承担逾期付款违约责任。</w:t>
      </w:r>
    </w:p>
    <w:p>
      <w:pPr>
        <w:pStyle w:val="2"/>
        <w:wordWrap w:val="0"/>
        <w:adjustRightInd w:val="0"/>
        <w:snapToGrid w:val="0"/>
        <w:spacing w:after="0"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五</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sz w:val="21"/>
          <w:szCs w:val="21"/>
          <w:highlight w:val="none"/>
          <w:lang w:val="en-US" w:eastAsia="zh-CN"/>
        </w:rPr>
        <w:t>本合同有效期内，如一方需要改变结算账户及发票信息，应提前十五天以加盖合同专用章或公司章的书面文件通知对方。如一方未按本合同规定通知而遭受损失的自行承担，若使另外一方遭受损失的，应赔偿相应损失。</w:t>
      </w:r>
    </w:p>
    <w:p>
      <w:pPr>
        <w:numPr>
          <w:ilvl w:val="0"/>
          <w:numId w:val="0"/>
        </w:numPr>
        <w:spacing w:line="360" w:lineRule="auto"/>
        <w:ind w:firstLine="420" w:firstLineChars="200"/>
        <w:rPr>
          <w:rFonts w:hint="eastAsia" w:ascii="宋体" w:hAnsi="宋体" w:eastAsia="宋体" w:cs="宋体"/>
          <w:b/>
          <w:sz w:val="21"/>
          <w:szCs w:val="21"/>
          <w:lang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六</w:t>
      </w:r>
      <w:r>
        <w:rPr>
          <w:rFonts w:hint="eastAsia" w:ascii="宋体" w:hAnsi="宋体" w:eastAsia="宋体" w:cs="宋体"/>
          <w:sz w:val="21"/>
          <w:szCs w:val="21"/>
          <w:highlight w:val="none"/>
          <w:lang w:val="en-US" w:eastAsia="zh-CN"/>
        </w:rPr>
        <w:t>）双方结算账户及发票信息如下。</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甲方开票账户信息</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名称：广东南方日报展示科技有限公司</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纳税人识别号：91440101076547360U</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开户银行：中国农业银行股份有限公司广州五羊新城支行</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银行账号：44030401040002721</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w:t>
      </w:r>
      <w:r>
        <w:rPr>
          <w:rFonts w:hint="eastAsia" w:ascii="宋体" w:hAnsi="宋体" w:eastAsia="宋体" w:cs="宋体"/>
          <w:sz w:val="21"/>
          <w:szCs w:val="21"/>
        </w:rPr>
        <w:t>广州市黄埔区黄埔大道东888号22层自编02单元05室</w:t>
      </w:r>
      <w:r>
        <w:rPr>
          <w:rFonts w:hint="eastAsia" w:ascii="宋体" w:hAnsi="宋体" w:eastAsia="宋体" w:cs="宋体"/>
          <w:sz w:val="21"/>
          <w:szCs w:val="21"/>
          <w:lang w:val="en-US" w:eastAsia="zh-CN"/>
        </w:rPr>
        <w:t xml:space="preserve">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电话：020-87397888</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2、乙方银行账户信息</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纳税人识别号：</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地址：                          </w:t>
      </w:r>
    </w:p>
    <w:p>
      <w:pPr>
        <w:wordWrap/>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w:t>
      </w:r>
    </w:p>
    <w:p>
      <w:pPr>
        <w:numPr>
          <w:ilvl w:val="0"/>
          <w:numId w:val="14"/>
        </w:numPr>
        <w:spacing w:line="360" w:lineRule="auto"/>
        <w:rPr>
          <w:rStyle w:val="42"/>
          <w:rFonts w:hint="eastAsia" w:ascii="宋体" w:hAnsi="宋体" w:eastAsia="宋体" w:cs="宋体"/>
          <w:b/>
          <w:sz w:val="21"/>
          <w:szCs w:val="21"/>
          <w:lang w:eastAsia="zh-CN"/>
        </w:rPr>
      </w:pP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rPr>
        <w:t>双方的</w:t>
      </w:r>
      <w:r>
        <w:rPr>
          <w:rStyle w:val="42"/>
          <w:rFonts w:hint="eastAsia" w:ascii="宋体" w:hAnsi="宋体" w:eastAsia="宋体" w:cs="宋体"/>
          <w:b/>
          <w:sz w:val="21"/>
          <w:szCs w:val="21"/>
          <w:lang w:eastAsia="zh-CN"/>
        </w:rPr>
        <w:t>权利和义务</w:t>
      </w:r>
    </w:p>
    <w:p>
      <w:pPr>
        <w:numPr>
          <w:ilvl w:val="0"/>
          <w:numId w:val="0"/>
        </w:numPr>
        <w:spacing w:line="360" w:lineRule="auto"/>
        <w:rPr>
          <w:rFonts w:hint="eastAsia" w:ascii="宋体" w:hAnsi="宋体" w:eastAsia="宋体" w:cs="宋体"/>
          <w:b w:val="0"/>
          <w:bCs/>
          <w:sz w:val="21"/>
          <w:szCs w:val="21"/>
          <w:lang w:eastAsia="zh-CN"/>
        </w:rPr>
      </w:pPr>
      <w:r>
        <w:rPr>
          <w:rStyle w:val="42"/>
          <w:rFonts w:hint="eastAsia" w:ascii="宋体" w:hAnsi="宋体" w:eastAsia="宋体" w:cs="宋体"/>
          <w:b/>
          <w:sz w:val="21"/>
          <w:szCs w:val="21"/>
          <w:lang w:val="en-US" w:eastAsia="zh-CN"/>
        </w:rPr>
        <w:t xml:space="preserve">    </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rPr>
        <w:t>甲方的权利</w:t>
      </w:r>
      <w:r>
        <w:rPr>
          <w:rFonts w:hint="eastAsia" w:ascii="宋体" w:hAnsi="宋体" w:eastAsia="宋体" w:cs="宋体"/>
          <w:b w:val="0"/>
          <w:bCs/>
          <w:sz w:val="21"/>
          <w:szCs w:val="21"/>
          <w:lang w:eastAsia="zh-CN"/>
        </w:rPr>
        <w:t>和义务</w:t>
      </w:r>
    </w:p>
    <w:p>
      <w:pPr>
        <w:numPr>
          <w:ilvl w:val="0"/>
          <w:numId w:val="0"/>
        </w:numPr>
        <w:tabs>
          <w:tab w:val="left" w:pos="851"/>
          <w:tab w:val="left" w:pos="1418"/>
        </w:tabs>
        <w:spacing w:line="360" w:lineRule="auto"/>
        <w:ind w:left="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甲方有权对乙方服务质量和服务管理提出提升改进要求，促进乙方提升服务质量，改进服务管理方法。</w:t>
      </w:r>
    </w:p>
    <w:p>
      <w:pPr>
        <w:numPr>
          <w:ilvl w:val="0"/>
          <w:numId w:val="0"/>
        </w:numPr>
        <w:tabs>
          <w:tab w:val="left" w:pos="851"/>
          <w:tab w:val="left" w:pos="1418"/>
        </w:tabs>
        <w:spacing w:line="360" w:lineRule="auto"/>
        <w:ind w:left="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甲方有权根据甲方工作量的需要要求乙方对项目服务规模范围进行统筹安排或适度调整。</w:t>
      </w:r>
    </w:p>
    <w:p>
      <w:pPr>
        <w:numPr>
          <w:ilvl w:val="0"/>
          <w:numId w:val="0"/>
        </w:numPr>
        <w:tabs>
          <w:tab w:val="left" w:pos="851"/>
          <w:tab w:val="left" w:pos="1418"/>
        </w:tabs>
        <w:spacing w:line="360" w:lineRule="auto"/>
        <w:ind w:left="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甲方有权对乙方项目服务人员日常的服务行为</w:t>
      </w:r>
      <w:r>
        <w:rPr>
          <w:rFonts w:hint="eastAsia" w:ascii="宋体" w:hAnsi="宋体" w:eastAsia="宋体" w:cs="宋体"/>
          <w:b w:val="0"/>
          <w:bCs/>
          <w:sz w:val="21"/>
          <w:szCs w:val="21"/>
          <w:lang w:eastAsia="zh-CN"/>
        </w:rPr>
        <w:t>及成果</w:t>
      </w:r>
      <w:r>
        <w:rPr>
          <w:rFonts w:hint="eastAsia" w:ascii="宋体" w:hAnsi="宋体" w:eastAsia="宋体" w:cs="宋体"/>
          <w:b w:val="0"/>
          <w:bCs/>
          <w:sz w:val="21"/>
          <w:szCs w:val="21"/>
        </w:rPr>
        <w:t>进行监督、检查和</w:t>
      </w:r>
      <w:r>
        <w:rPr>
          <w:rFonts w:hint="eastAsia" w:ascii="宋体" w:hAnsi="宋体" w:eastAsia="宋体" w:cs="宋体"/>
          <w:b w:val="0"/>
          <w:bCs/>
          <w:sz w:val="21"/>
          <w:szCs w:val="21"/>
          <w:lang w:eastAsia="zh-CN"/>
        </w:rPr>
        <w:t>验收</w:t>
      </w:r>
      <w:r>
        <w:rPr>
          <w:rFonts w:hint="eastAsia" w:ascii="宋体" w:hAnsi="宋体" w:eastAsia="宋体" w:cs="宋体"/>
          <w:b w:val="0"/>
          <w:bCs/>
          <w:sz w:val="21"/>
          <w:szCs w:val="21"/>
        </w:rPr>
        <w:t>。</w:t>
      </w:r>
    </w:p>
    <w:p>
      <w:pPr>
        <w:numPr>
          <w:ilvl w:val="0"/>
          <w:numId w:val="0"/>
        </w:numPr>
        <w:tabs>
          <w:tab w:val="left" w:pos="851"/>
          <w:tab w:val="left" w:pos="1418"/>
        </w:tabs>
        <w:spacing w:line="360" w:lineRule="auto"/>
        <w:ind w:left="0" w:leftChars="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甲方应向乙方及时提供最新的项目服务内容、标准和要求。</w:t>
      </w:r>
    </w:p>
    <w:p>
      <w:pPr>
        <w:numPr>
          <w:ilvl w:val="0"/>
          <w:numId w:val="0"/>
        </w:numPr>
        <w:tabs>
          <w:tab w:val="left" w:pos="851"/>
          <w:tab w:val="left" w:pos="1418"/>
        </w:tabs>
        <w:spacing w:line="360" w:lineRule="auto"/>
        <w:ind w:left="0" w:leftChars="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甲方应为乙方</w:t>
      </w:r>
      <w:r>
        <w:rPr>
          <w:rFonts w:hint="eastAsia" w:ascii="宋体" w:hAnsi="宋体" w:eastAsia="宋体" w:cs="宋体"/>
          <w:b w:val="0"/>
          <w:bCs/>
          <w:sz w:val="21"/>
          <w:szCs w:val="21"/>
          <w:lang w:eastAsia="zh-CN"/>
        </w:rPr>
        <w:t>组织多媒体软硬件的进场、安装和调试</w:t>
      </w:r>
      <w:r>
        <w:rPr>
          <w:rFonts w:hint="eastAsia" w:ascii="宋体" w:hAnsi="宋体" w:eastAsia="宋体" w:cs="宋体"/>
          <w:b w:val="0"/>
          <w:bCs/>
          <w:sz w:val="21"/>
          <w:szCs w:val="21"/>
        </w:rPr>
        <w:t>提供</w:t>
      </w:r>
      <w:r>
        <w:rPr>
          <w:rFonts w:hint="eastAsia" w:ascii="宋体" w:hAnsi="宋体" w:eastAsia="宋体" w:cs="宋体"/>
          <w:b w:val="0"/>
          <w:bCs/>
          <w:sz w:val="21"/>
          <w:szCs w:val="21"/>
          <w:lang w:eastAsia="zh-CN"/>
        </w:rPr>
        <w:t>必要的实施</w:t>
      </w:r>
      <w:r>
        <w:rPr>
          <w:rFonts w:hint="eastAsia" w:ascii="宋体" w:hAnsi="宋体" w:eastAsia="宋体" w:cs="宋体"/>
          <w:b w:val="0"/>
          <w:bCs/>
          <w:sz w:val="21"/>
          <w:szCs w:val="21"/>
        </w:rPr>
        <w:t>条件。</w:t>
      </w:r>
    </w:p>
    <w:p>
      <w:pPr>
        <w:numPr>
          <w:ilvl w:val="0"/>
          <w:numId w:val="0"/>
        </w:numPr>
        <w:tabs>
          <w:tab w:val="left" w:pos="851"/>
          <w:tab w:val="left" w:pos="1418"/>
        </w:tabs>
        <w:spacing w:line="360" w:lineRule="auto"/>
        <w:ind w:left="0"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甲方指定</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1"/>
          <w:szCs w:val="21"/>
          <w:u w:val="none"/>
          <w:lang w:val="en-US" w:eastAsia="zh-CN"/>
        </w:rPr>
        <w:t>为项目负责人，</w:t>
      </w:r>
      <w:r>
        <w:rPr>
          <w:rFonts w:hint="eastAsia" w:ascii="宋体" w:hAnsi="宋体" w:eastAsia="宋体" w:cs="宋体"/>
          <w:b w:val="0"/>
          <w:bCs/>
          <w:sz w:val="21"/>
          <w:szCs w:val="21"/>
        </w:rPr>
        <w:t>对接乙方项目服务团队负责人，及时沟通、解决项目服务过程中出现的问题。</w:t>
      </w: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邮箱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numPr>
          <w:ilvl w:val="0"/>
          <w:numId w:val="0"/>
        </w:numPr>
        <w:tabs>
          <w:tab w:val="left" w:pos="851"/>
          <w:tab w:val="left" w:pos="1418"/>
        </w:tabs>
        <w:spacing w:line="360" w:lineRule="auto"/>
        <w:ind w:left="0" w:firstLine="6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rPr>
        <w:t>乙方的权利</w:t>
      </w:r>
      <w:r>
        <w:rPr>
          <w:rFonts w:hint="eastAsia" w:ascii="宋体" w:hAnsi="宋体" w:eastAsia="宋体" w:cs="宋体"/>
          <w:b w:val="0"/>
          <w:bCs/>
          <w:sz w:val="21"/>
          <w:szCs w:val="21"/>
          <w:lang w:eastAsia="zh-CN"/>
        </w:rPr>
        <w:t>和义务</w:t>
      </w:r>
    </w:p>
    <w:p>
      <w:pPr>
        <w:numPr>
          <w:ilvl w:val="0"/>
          <w:numId w:val="0"/>
        </w:numPr>
        <w:tabs>
          <w:tab w:val="left" w:pos="851"/>
          <w:tab w:val="left" w:pos="1418"/>
        </w:tabs>
        <w:spacing w:line="360" w:lineRule="auto"/>
        <w:ind w:left="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本合同生效后，乙方有权要求甲方协助乙方作好开展项目服务的准备工作。</w:t>
      </w:r>
    </w:p>
    <w:p>
      <w:pPr>
        <w:numPr>
          <w:ilvl w:val="0"/>
          <w:numId w:val="0"/>
        </w:numPr>
        <w:spacing w:line="360" w:lineRule="auto"/>
        <w:ind w:left="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2、乙方</w:t>
      </w:r>
      <w:r>
        <w:rPr>
          <w:rFonts w:hint="eastAsia" w:ascii="宋体" w:hAnsi="宋体" w:eastAsia="宋体" w:cs="宋体"/>
          <w:b w:val="0"/>
          <w:bCs/>
          <w:sz w:val="21"/>
          <w:szCs w:val="21"/>
        </w:rPr>
        <w:t>应当为</w:t>
      </w:r>
      <w:r>
        <w:rPr>
          <w:rFonts w:hint="eastAsia" w:ascii="宋体" w:hAnsi="宋体" w:eastAsia="宋体" w:cs="宋体"/>
          <w:b w:val="0"/>
          <w:bCs/>
          <w:sz w:val="21"/>
          <w:szCs w:val="21"/>
          <w:lang w:eastAsia="zh-CN"/>
        </w:rPr>
        <w:t>完成</w:t>
      </w:r>
      <w:r>
        <w:rPr>
          <w:rFonts w:hint="eastAsia" w:ascii="宋体" w:hAnsi="宋体" w:eastAsia="宋体" w:cs="宋体"/>
          <w:b w:val="0"/>
          <w:bCs/>
          <w:sz w:val="21"/>
          <w:szCs w:val="21"/>
        </w:rPr>
        <w:t>本合同约定项目配置专职项目服务团队</w:t>
      </w:r>
      <w:r>
        <w:rPr>
          <w:rFonts w:hint="eastAsia" w:ascii="宋体" w:hAnsi="宋体" w:eastAsia="宋体" w:cs="宋体"/>
          <w:b w:val="0"/>
          <w:bCs/>
          <w:sz w:val="21"/>
          <w:szCs w:val="21"/>
          <w:lang w:eastAsia="zh-CN"/>
        </w:rPr>
        <w:t>，并</w:t>
      </w:r>
      <w:r>
        <w:rPr>
          <w:rFonts w:hint="eastAsia" w:ascii="宋体" w:hAnsi="宋体" w:eastAsia="宋体" w:cs="宋体"/>
          <w:b w:val="0"/>
          <w:bCs/>
          <w:sz w:val="21"/>
          <w:szCs w:val="21"/>
        </w:rPr>
        <w:t>制定专门的管理办法，明确岗位职责、权限及内部控制要求，确保项目服务人员充分了解本合同项目内服务内容、标准和要求等相关事项。</w:t>
      </w:r>
    </w:p>
    <w:p>
      <w:pPr>
        <w:numPr>
          <w:ilvl w:val="0"/>
          <w:numId w:val="0"/>
        </w:numPr>
        <w:spacing w:line="360" w:lineRule="auto"/>
        <w:ind w:left="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对于甲方提出的服务质量、服务管理的提升改进要求，乙方应积极响应，切实提升服务质量，改进服务管理方法。</w:t>
      </w:r>
    </w:p>
    <w:p>
      <w:pPr>
        <w:numPr>
          <w:ilvl w:val="0"/>
          <w:numId w:val="0"/>
        </w:numPr>
        <w:tabs>
          <w:tab w:val="left" w:pos="851"/>
          <w:tab w:val="left" w:pos="1134"/>
        </w:tabs>
        <w:spacing w:line="360" w:lineRule="auto"/>
        <w:ind w:left="0"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乙方及乙方项目服务人员不得以甲方名义开展任何非本合同约定的活动</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乙方不得将本合同项目内项目服务工作分包、转包或变相转包</w:t>
      </w:r>
      <w:r>
        <w:rPr>
          <w:rFonts w:hint="eastAsia" w:ascii="宋体" w:hAnsi="宋体" w:eastAsia="宋体" w:cs="宋体"/>
          <w:b w:val="0"/>
          <w:bCs/>
          <w:sz w:val="21"/>
          <w:szCs w:val="21"/>
          <w:lang w:eastAsia="zh-CN"/>
        </w:rPr>
        <w:t>。</w:t>
      </w:r>
    </w:p>
    <w:p>
      <w:pPr>
        <w:numPr>
          <w:ilvl w:val="0"/>
          <w:numId w:val="0"/>
        </w:numPr>
        <w:tabs>
          <w:tab w:val="left" w:pos="851"/>
          <w:tab w:val="left" w:pos="1134"/>
        </w:tabs>
        <w:spacing w:line="360" w:lineRule="auto"/>
        <w:ind w:left="0"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乙方</w:t>
      </w:r>
      <w:r>
        <w:rPr>
          <w:rFonts w:hint="eastAsia" w:ascii="宋体" w:hAnsi="宋体" w:eastAsia="宋体" w:cs="宋体"/>
          <w:b w:val="0"/>
          <w:bCs/>
          <w:sz w:val="21"/>
          <w:szCs w:val="21"/>
          <w:lang w:eastAsia="zh-CN"/>
        </w:rPr>
        <w:t>应当保证所</w:t>
      </w:r>
      <w:r>
        <w:rPr>
          <w:rFonts w:hint="eastAsia" w:ascii="宋体" w:hAnsi="宋体" w:eastAsia="宋体" w:cs="宋体"/>
          <w:b w:val="0"/>
          <w:bCs/>
          <w:sz w:val="21"/>
          <w:szCs w:val="21"/>
        </w:rPr>
        <w:t>提供</w:t>
      </w:r>
      <w:r>
        <w:rPr>
          <w:rFonts w:hint="eastAsia" w:ascii="宋体" w:hAnsi="宋体" w:eastAsia="宋体" w:cs="宋体"/>
          <w:b w:val="0"/>
          <w:bCs/>
          <w:sz w:val="21"/>
          <w:szCs w:val="21"/>
          <w:lang w:eastAsia="zh-CN"/>
        </w:rPr>
        <w:t>的</w:t>
      </w:r>
      <w:r>
        <w:rPr>
          <w:rFonts w:hint="eastAsia" w:ascii="宋体" w:hAnsi="宋体" w:eastAsia="宋体" w:cs="宋体"/>
          <w:b w:val="0"/>
          <w:bCs/>
          <w:sz w:val="21"/>
          <w:szCs w:val="21"/>
        </w:rPr>
        <w:t>项目服务内容、标准和要求符合法律法规的规定</w:t>
      </w:r>
      <w:r>
        <w:rPr>
          <w:rFonts w:hint="eastAsia" w:ascii="宋体" w:hAnsi="宋体" w:eastAsia="宋体" w:cs="宋体"/>
          <w:b w:val="0"/>
          <w:bCs/>
          <w:sz w:val="21"/>
          <w:szCs w:val="21"/>
          <w:lang w:eastAsia="zh-CN"/>
        </w:rPr>
        <w:t>和甲方的要求</w:t>
      </w:r>
      <w:r>
        <w:rPr>
          <w:rFonts w:hint="eastAsia" w:ascii="宋体" w:hAnsi="宋体" w:eastAsia="宋体" w:cs="宋体"/>
          <w:b w:val="0"/>
          <w:bCs/>
          <w:sz w:val="21"/>
          <w:szCs w:val="21"/>
        </w:rPr>
        <w:t>。</w:t>
      </w:r>
    </w:p>
    <w:p>
      <w:pPr>
        <w:numPr>
          <w:ilvl w:val="0"/>
          <w:numId w:val="0"/>
        </w:numPr>
        <w:tabs>
          <w:tab w:val="left" w:pos="851"/>
          <w:tab w:val="left" w:pos="1134"/>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乙方</w:t>
      </w:r>
      <w:r>
        <w:rPr>
          <w:rFonts w:hint="eastAsia" w:ascii="宋体" w:hAnsi="宋体" w:eastAsia="宋体" w:cs="宋体"/>
          <w:b w:val="0"/>
          <w:bCs/>
          <w:sz w:val="21"/>
          <w:szCs w:val="21"/>
          <w:lang w:eastAsia="zh-CN"/>
        </w:rPr>
        <w:t>指定</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1"/>
          <w:szCs w:val="21"/>
          <w:lang w:val="en-US" w:eastAsia="zh-CN"/>
        </w:rPr>
        <w:t>为项目负责人，</w:t>
      </w:r>
      <w:r>
        <w:rPr>
          <w:rFonts w:hint="eastAsia" w:ascii="宋体" w:hAnsi="宋体" w:eastAsia="宋体" w:cs="宋体"/>
          <w:b w:val="0"/>
          <w:bCs/>
          <w:sz w:val="21"/>
          <w:szCs w:val="21"/>
        </w:rPr>
        <w:t>负责本合同项目内项目工作的管理、实施、监督和协调，保持与甲方的沟通交流。</w:t>
      </w: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邮箱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numPr>
          <w:ilvl w:val="0"/>
          <w:numId w:val="0"/>
        </w:numPr>
        <w:tabs>
          <w:tab w:val="left" w:pos="851"/>
          <w:tab w:val="left" w:pos="1134"/>
        </w:tabs>
        <w:spacing w:line="360" w:lineRule="auto"/>
        <w:ind w:firstLine="0" w:firstLineChars="0"/>
        <w:rPr>
          <w:rStyle w:val="42"/>
          <w:rFonts w:hint="eastAsia" w:ascii="宋体" w:hAnsi="宋体" w:eastAsia="宋体" w:cs="宋体"/>
          <w:b/>
          <w:sz w:val="21"/>
          <w:szCs w:val="21"/>
        </w:rPr>
      </w:pPr>
      <w:r>
        <w:rPr>
          <w:rFonts w:hint="eastAsia" w:ascii="宋体" w:hAnsi="宋体" w:eastAsia="宋体" w:cs="宋体"/>
          <w:b/>
          <w:bCs/>
          <w:color w:val="000000"/>
          <w:sz w:val="21"/>
          <w:szCs w:val="21"/>
          <w:lang w:eastAsia="zh-CN"/>
        </w:rPr>
        <w:t>第四条</w:t>
      </w:r>
      <w:r>
        <w:rPr>
          <w:rFonts w:hint="eastAsia" w:ascii="宋体" w:hAnsi="宋体" w:eastAsia="宋体" w:cs="宋体"/>
          <w:color w:val="000000"/>
          <w:sz w:val="21"/>
          <w:szCs w:val="21"/>
          <w:lang w:val="en-US" w:eastAsia="zh-CN"/>
        </w:rPr>
        <w:t xml:space="preserve"> </w:t>
      </w:r>
      <w:r>
        <w:rPr>
          <w:rStyle w:val="42"/>
          <w:rFonts w:hint="eastAsia" w:ascii="宋体" w:hAnsi="宋体" w:eastAsia="宋体" w:cs="宋体"/>
          <w:b/>
          <w:sz w:val="21"/>
          <w:szCs w:val="21"/>
          <w:lang w:val="en-US" w:eastAsia="zh-CN"/>
        </w:rPr>
        <w:t xml:space="preserve"> 项目</w:t>
      </w:r>
      <w:r>
        <w:rPr>
          <w:rStyle w:val="42"/>
          <w:rFonts w:hint="eastAsia" w:ascii="宋体" w:hAnsi="宋体" w:eastAsia="宋体" w:cs="宋体"/>
          <w:b/>
          <w:sz w:val="21"/>
          <w:szCs w:val="21"/>
        </w:rPr>
        <w:t>验收</w:t>
      </w:r>
    </w:p>
    <w:p>
      <w:pPr>
        <w:pStyle w:val="4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（一）</w:t>
      </w:r>
      <w:r>
        <w:rPr>
          <w:rStyle w:val="42"/>
          <w:rFonts w:hint="eastAsia" w:ascii="宋体" w:hAnsi="宋体" w:eastAsia="宋体" w:cs="宋体"/>
          <w:sz w:val="21"/>
          <w:szCs w:val="21"/>
        </w:rPr>
        <w:t>乙方完成</w:t>
      </w:r>
      <w:r>
        <w:rPr>
          <w:rStyle w:val="42"/>
          <w:rFonts w:hint="eastAsia" w:ascii="宋体" w:hAnsi="宋体" w:eastAsia="宋体" w:cs="宋体"/>
          <w:sz w:val="21"/>
          <w:szCs w:val="21"/>
          <w:lang w:eastAsia="zh-CN"/>
        </w:rPr>
        <w:t>项目实施</w:t>
      </w:r>
      <w:r>
        <w:rPr>
          <w:rStyle w:val="42"/>
          <w:rFonts w:hint="eastAsia" w:ascii="宋体" w:hAnsi="宋体" w:eastAsia="宋体" w:cs="宋体"/>
          <w:sz w:val="21"/>
          <w:szCs w:val="21"/>
        </w:rPr>
        <w:t>后，应以书面形式通知甲方进行验收。甲方在收到通知后</w:t>
      </w:r>
      <w:r>
        <w:rPr>
          <w:rStyle w:val="42"/>
          <w:rFonts w:hint="eastAsia" w:ascii="宋体" w:hAnsi="宋体" w:eastAsia="宋体" w:cs="宋体"/>
          <w:sz w:val="21"/>
          <w:szCs w:val="21"/>
          <w:u w:val="single"/>
        </w:rPr>
        <w:t xml:space="preserve">    </w:t>
      </w:r>
      <w:r>
        <w:rPr>
          <w:rStyle w:val="42"/>
          <w:rFonts w:hint="eastAsia" w:ascii="宋体" w:hAnsi="宋体" w:eastAsia="宋体" w:cs="宋体"/>
          <w:sz w:val="21"/>
          <w:szCs w:val="21"/>
          <w:lang w:eastAsia="zh-CN"/>
        </w:rPr>
        <w:t>个工作日</w:t>
      </w:r>
      <w:r>
        <w:rPr>
          <w:rStyle w:val="42"/>
          <w:rFonts w:hint="eastAsia" w:ascii="宋体" w:hAnsi="宋体" w:eastAsia="宋体" w:cs="宋体"/>
          <w:sz w:val="21"/>
          <w:szCs w:val="21"/>
        </w:rPr>
        <w:t>内组织验收。验收合格的，出具验收证明；验收不合格的，乙方应按甲方要求</w:t>
      </w:r>
      <w:r>
        <w:rPr>
          <w:rStyle w:val="42"/>
          <w:rFonts w:hint="eastAsia" w:ascii="宋体" w:hAnsi="宋体" w:eastAsia="宋体" w:cs="宋体"/>
          <w:sz w:val="21"/>
          <w:szCs w:val="21"/>
          <w:lang w:val="en-US" w:eastAsia="zh-CN"/>
        </w:rPr>
        <w:t>在指定期限内</w:t>
      </w:r>
      <w:r>
        <w:rPr>
          <w:rStyle w:val="42"/>
          <w:rFonts w:hint="eastAsia" w:ascii="宋体" w:hAnsi="宋体" w:eastAsia="宋体" w:cs="宋体"/>
          <w:sz w:val="21"/>
          <w:szCs w:val="21"/>
        </w:rPr>
        <w:t>进行整改</w:t>
      </w:r>
      <w:r>
        <w:rPr>
          <w:rStyle w:val="42"/>
          <w:rFonts w:hint="eastAsia" w:ascii="宋体" w:hAnsi="宋体" w:eastAsia="宋体" w:cs="宋体"/>
          <w:sz w:val="21"/>
          <w:szCs w:val="21"/>
          <w:lang w:eastAsia="zh-CN"/>
        </w:rPr>
        <w:t>或退换货</w:t>
      </w:r>
      <w:r>
        <w:rPr>
          <w:rStyle w:val="42"/>
          <w:rFonts w:hint="eastAsia" w:ascii="宋体" w:hAnsi="宋体" w:eastAsia="宋体" w:cs="宋体"/>
          <w:sz w:val="21"/>
          <w:szCs w:val="21"/>
        </w:rPr>
        <w:t>，</w:t>
      </w:r>
      <w:r>
        <w:rPr>
          <w:rStyle w:val="42"/>
          <w:rFonts w:hint="eastAsia" w:ascii="宋体" w:hAnsi="宋体" w:eastAsia="宋体" w:cs="宋体"/>
          <w:sz w:val="21"/>
          <w:szCs w:val="21"/>
          <w:lang w:eastAsia="zh-CN"/>
        </w:rPr>
        <w:t>并</w:t>
      </w:r>
      <w:r>
        <w:rPr>
          <w:rStyle w:val="42"/>
          <w:rFonts w:hint="eastAsia" w:ascii="宋体" w:hAnsi="宋体" w:eastAsia="宋体" w:cs="宋体"/>
          <w:sz w:val="21"/>
          <w:szCs w:val="21"/>
        </w:rPr>
        <w:t>自行承担由此</w:t>
      </w:r>
      <w:r>
        <w:rPr>
          <w:rStyle w:val="42"/>
          <w:rFonts w:hint="eastAsia" w:ascii="宋体" w:hAnsi="宋体" w:eastAsia="宋体" w:cs="宋体"/>
          <w:sz w:val="21"/>
          <w:szCs w:val="21"/>
          <w:lang w:eastAsia="zh-CN"/>
        </w:rPr>
        <w:t>产生的</w:t>
      </w:r>
      <w:r>
        <w:rPr>
          <w:rStyle w:val="42"/>
          <w:rFonts w:hint="eastAsia" w:ascii="宋体" w:hAnsi="宋体" w:eastAsia="宋体" w:cs="宋体"/>
          <w:sz w:val="21"/>
          <w:szCs w:val="21"/>
        </w:rPr>
        <w:t>费用</w:t>
      </w:r>
      <w:r>
        <w:rPr>
          <w:rStyle w:val="42"/>
          <w:rFonts w:hint="eastAsia" w:ascii="宋体" w:hAnsi="宋体" w:eastAsia="宋体" w:cs="宋体"/>
          <w:sz w:val="21"/>
          <w:szCs w:val="21"/>
          <w:lang w:eastAsia="zh-CN"/>
        </w:rPr>
        <w:t>或损失</w:t>
      </w:r>
      <w:r>
        <w:rPr>
          <w:rStyle w:val="42"/>
          <w:rFonts w:hint="eastAsia" w:ascii="宋体" w:hAnsi="宋体" w:eastAsia="宋体" w:cs="宋体"/>
          <w:sz w:val="21"/>
          <w:szCs w:val="21"/>
        </w:rPr>
        <w:t>。</w:t>
      </w:r>
    </w:p>
    <w:p>
      <w:p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u w:val="none"/>
          <w:lang w:val="en-US" w:eastAsia="zh-CN" w:bidi="en-US"/>
        </w:rPr>
        <w:t xml:space="preserve">    （二）</w:t>
      </w:r>
      <w:r>
        <w:rPr>
          <w:rFonts w:hint="eastAsia" w:ascii="宋体" w:hAnsi="宋体" w:eastAsia="宋体" w:cs="宋体"/>
          <w:b w:val="0"/>
          <w:bCs/>
          <w:sz w:val="21"/>
          <w:szCs w:val="21"/>
          <w:lang w:val="en-US" w:eastAsia="zh-CN"/>
        </w:rPr>
        <w:t>交付验收标准依次对照适用标准为：符合中华人民共和国</w:t>
      </w:r>
      <w:r>
        <w:rPr>
          <w:rFonts w:hint="eastAsia" w:ascii="宋体" w:hAnsi="宋体" w:eastAsia="宋体" w:cs="宋体"/>
          <w:b w:val="0"/>
          <w:bCs/>
          <w:color w:val="auto"/>
          <w:sz w:val="21"/>
          <w:szCs w:val="21"/>
          <w:lang w:val="en-US" w:eastAsia="zh-CN"/>
        </w:rPr>
        <w:t>国家安全质量标准、环保标准或行业标准；符合甲方认可的合理最佳配置、参数及各项要求。</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u w:val="none"/>
          <w:lang w:val="en-US" w:eastAsia="zh-CN" w:bidi="en-US"/>
        </w:rPr>
        <w:t>（三）验收对象包含设备、材料等货物的，</w:t>
      </w:r>
      <w:r>
        <w:rPr>
          <w:rFonts w:hint="eastAsia" w:ascii="宋体" w:hAnsi="宋体" w:eastAsia="宋体" w:cs="宋体"/>
          <w:b w:val="0"/>
          <w:bCs/>
          <w:color w:val="auto"/>
          <w:sz w:val="21"/>
          <w:szCs w:val="21"/>
          <w:lang w:val="en-US" w:eastAsia="zh-CN"/>
        </w:rPr>
        <w:t xml:space="preserve">货物应为原厂商未启封全新包装，具备出厂合格证，序列号、包装箱号与出厂批号一致，并可追溯查阅。随设备发出的所有附件必须齐全。 </w:t>
      </w:r>
    </w:p>
    <w:p>
      <w:pPr>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u w:val="none"/>
          <w:lang w:val="en-US" w:eastAsia="zh-CN" w:bidi="en-US"/>
        </w:rPr>
        <w:t xml:space="preserve">    （四）</w:t>
      </w:r>
      <w:r>
        <w:rPr>
          <w:rFonts w:hint="eastAsia" w:ascii="宋体" w:hAnsi="宋体" w:eastAsia="宋体" w:cs="宋体"/>
          <w:b w:val="0"/>
          <w:bCs/>
          <w:color w:val="auto"/>
          <w:sz w:val="21"/>
          <w:szCs w:val="21"/>
          <w:lang w:val="en-US" w:eastAsia="zh-CN"/>
        </w:rPr>
        <w:t>乙方应将关键主机设备的用户手册、保修手册、有关单证资料及配备件、随机工具等交付给甲方，使用操作及安全须知等重要资料应附有中文说明。</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u w:val="none"/>
          <w:lang w:val="en-US" w:eastAsia="zh-CN" w:bidi="en-US"/>
        </w:rPr>
        <w:t>（五）</w:t>
      </w:r>
      <w:r>
        <w:rPr>
          <w:rFonts w:hint="eastAsia" w:ascii="宋体" w:hAnsi="宋体" w:eastAsia="宋体" w:cs="宋体"/>
          <w:b w:val="0"/>
          <w:bCs/>
          <w:color w:val="auto"/>
          <w:sz w:val="21"/>
          <w:szCs w:val="21"/>
          <w:lang w:val="en-US" w:eastAsia="zh-CN"/>
        </w:rPr>
        <w:t>甲方组成验收小组按有关规定进行验收，必要时邀请相关的专业人员或机构参与验收。因质量问题发生争议时，提交本地质量技术监督部门或其认定的第三方机构进行鉴定。经鉴定符合质量技术标准的，鉴定费由甲方承担；否则鉴定费由乙方承担。</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六）乙方应完成相关多媒体软件所有功能和特性的开发，符合双方确定的技术规格和功能需求，并通过内部测试和安全测试。甲方对软件进行评估和测试，并详细记录发现的缺陷或问题，乙方在接到甲方反馈后，需完成修复并重新提交软件。此过程将重复至甲方确认软件符合验收标准。甲方在确认多媒体软件负责验收标准后，双方签署正式的验收文件，确认软件交付。</w:t>
      </w:r>
    </w:p>
    <w:p>
      <w:pPr>
        <w:pStyle w:val="41"/>
        <w:keepNext w:val="0"/>
        <w:keepLines w:val="0"/>
        <w:pageBreakBefore w:val="0"/>
        <w:numPr>
          <w:ilvl w:val="0"/>
          <w:numId w:val="0"/>
        </w:numPr>
        <w:kinsoku/>
        <w:wordWrap w:val="0"/>
        <w:overflowPunct/>
        <w:topLinePunct w:val="0"/>
        <w:autoSpaceDE/>
        <w:autoSpaceDN/>
        <w:bidi w:val="0"/>
        <w:adjustRightInd w:val="0"/>
        <w:snapToGrid w:val="0"/>
        <w:spacing w:before="0" w:beforeAutospacing="0" w:after="0" w:afterAutospacing="0" w:line="360" w:lineRule="auto"/>
        <w:ind w:firstLine="0" w:firstLineChars="0"/>
        <w:textAlignment w:val="auto"/>
        <w:rPr>
          <w:rStyle w:val="42"/>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第五条</w:t>
      </w:r>
      <w:r>
        <w:rPr>
          <w:rFonts w:hint="eastAsia" w:ascii="宋体" w:hAnsi="宋体" w:eastAsia="宋体" w:cs="宋体"/>
          <w:color w:val="auto"/>
          <w:sz w:val="21"/>
          <w:szCs w:val="21"/>
          <w:lang w:val="en-US" w:eastAsia="zh-CN"/>
        </w:rPr>
        <w:t xml:space="preserve"> </w:t>
      </w:r>
      <w:r>
        <w:rPr>
          <w:rStyle w:val="42"/>
          <w:rFonts w:hint="eastAsia" w:ascii="宋体" w:hAnsi="宋体" w:eastAsia="宋体" w:cs="宋体"/>
          <w:b/>
          <w:color w:val="auto"/>
          <w:sz w:val="21"/>
          <w:szCs w:val="21"/>
          <w:lang w:val="en-US" w:eastAsia="zh-CN"/>
        </w:rPr>
        <w:t xml:space="preserve"> 质保期及售后服务</w:t>
      </w:r>
    </w:p>
    <w:p>
      <w:pPr>
        <w:pStyle w:val="41"/>
        <w:keepNext w:val="0"/>
        <w:keepLines w:val="0"/>
        <w:pageBreakBefore w:val="0"/>
        <w:numPr>
          <w:ilvl w:val="0"/>
          <w:numId w:val="0"/>
        </w:numPr>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color w:val="auto"/>
          <w:sz w:val="21"/>
          <w:szCs w:val="21"/>
        </w:rPr>
      </w:pPr>
      <w:r>
        <w:rPr>
          <w:rStyle w:val="42"/>
          <w:rFonts w:hint="eastAsia" w:ascii="宋体" w:hAnsi="宋体" w:eastAsia="宋体" w:cs="宋体"/>
          <w:color w:val="auto"/>
          <w:sz w:val="21"/>
          <w:szCs w:val="21"/>
          <w:highlight w:val="none"/>
          <w:lang w:eastAsia="zh-CN"/>
        </w:rPr>
        <w:t>（一）项目质量</w:t>
      </w:r>
      <w:r>
        <w:rPr>
          <w:rStyle w:val="42"/>
          <w:rFonts w:hint="eastAsia" w:ascii="宋体" w:hAnsi="宋体" w:eastAsia="宋体" w:cs="宋体"/>
          <w:color w:val="auto"/>
          <w:sz w:val="21"/>
          <w:szCs w:val="21"/>
          <w:highlight w:val="none"/>
        </w:rPr>
        <w:t>保修期为</w:t>
      </w:r>
      <w:r>
        <w:rPr>
          <w:rStyle w:val="42"/>
          <w:rFonts w:hint="eastAsia" w:ascii="宋体" w:hAnsi="宋体" w:eastAsia="宋体" w:cs="宋体"/>
          <w:color w:val="auto"/>
          <w:sz w:val="21"/>
          <w:szCs w:val="21"/>
          <w:highlight w:val="none"/>
          <w:u w:val="single"/>
        </w:rPr>
        <w:t xml:space="preserve"> </w:t>
      </w:r>
      <w:r>
        <w:rPr>
          <w:rStyle w:val="42"/>
          <w:rFonts w:hint="eastAsia" w:ascii="宋体" w:hAnsi="宋体" w:eastAsia="宋体" w:cs="宋体"/>
          <w:color w:val="auto"/>
          <w:sz w:val="21"/>
          <w:szCs w:val="21"/>
          <w:highlight w:val="none"/>
          <w:u w:val="single"/>
          <w:lang w:val="en-US" w:eastAsia="zh-CN"/>
        </w:rPr>
        <w:t xml:space="preserve">  </w:t>
      </w:r>
      <w:r>
        <w:rPr>
          <w:rStyle w:val="42"/>
          <w:rFonts w:hint="eastAsia" w:ascii="宋体" w:hAnsi="宋体" w:eastAsia="宋体" w:cs="宋体"/>
          <w:color w:val="auto"/>
          <w:sz w:val="21"/>
          <w:szCs w:val="21"/>
          <w:highlight w:val="none"/>
          <w:u w:val="single"/>
        </w:rPr>
        <w:t xml:space="preserve"> </w:t>
      </w:r>
      <w:r>
        <w:rPr>
          <w:rStyle w:val="42"/>
          <w:rFonts w:hint="eastAsia" w:ascii="宋体" w:hAnsi="宋体" w:eastAsia="宋体" w:cs="宋体"/>
          <w:color w:val="auto"/>
          <w:sz w:val="21"/>
          <w:szCs w:val="21"/>
          <w:highlight w:val="none"/>
        </w:rPr>
        <w:t>年</w:t>
      </w:r>
      <w:r>
        <w:rPr>
          <w:rStyle w:val="42"/>
          <w:rFonts w:hint="eastAsia" w:ascii="宋体" w:hAnsi="宋体" w:eastAsia="宋体" w:cs="宋体"/>
          <w:color w:val="auto"/>
          <w:sz w:val="21"/>
          <w:szCs w:val="21"/>
        </w:rPr>
        <w:t>，自甲方出具</w:t>
      </w:r>
      <w:r>
        <w:rPr>
          <w:rStyle w:val="42"/>
          <w:rFonts w:hint="eastAsia" w:ascii="宋体" w:hAnsi="宋体" w:eastAsia="宋体" w:cs="宋体"/>
          <w:color w:val="auto"/>
          <w:sz w:val="21"/>
          <w:szCs w:val="21"/>
          <w:lang w:eastAsia="zh-CN"/>
        </w:rPr>
        <w:t>项目</w:t>
      </w:r>
      <w:r>
        <w:rPr>
          <w:rStyle w:val="42"/>
          <w:rFonts w:hint="eastAsia" w:ascii="宋体" w:hAnsi="宋体" w:eastAsia="宋体" w:cs="宋体"/>
          <w:color w:val="auto"/>
          <w:sz w:val="21"/>
          <w:szCs w:val="21"/>
        </w:rPr>
        <w:t>验收证明之日起算。</w:t>
      </w:r>
    </w:p>
    <w:p>
      <w:pPr>
        <w:pStyle w:val="41"/>
        <w:keepNext w:val="0"/>
        <w:keepLines w:val="0"/>
        <w:pageBreakBefore w:val="0"/>
        <w:numPr>
          <w:ilvl w:val="0"/>
          <w:numId w:val="0"/>
        </w:numPr>
        <w:kinsoku/>
        <w:wordWrap w:val="0"/>
        <w:overflowPunct/>
        <w:topLinePunct w:val="0"/>
        <w:autoSpaceDE/>
        <w:autoSpaceDN/>
        <w:bidi w:val="0"/>
        <w:adjustRightInd w:val="0"/>
        <w:snapToGrid w:val="0"/>
        <w:spacing w:before="0" w:beforeAutospacing="0" w:after="0" w:afterAutospacing="0" w:line="360" w:lineRule="auto"/>
        <w:ind w:firstLine="0" w:firstLineChars="0"/>
        <w:textAlignment w:val="auto"/>
        <w:rPr>
          <w:rStyle w:val="42"/>
          <w:rFonts w:hint="eastAsia" w:ascii="宋体" w:hAnsi="宋体" w:eastAsia="宋体" w:cs="宋体"/>
          <w:color w:val="auto"/>
          <w:sz w:val="21"/>
          <w:szCs w:val="21"/>
        </w:rPr>
      </w:pPr>
      <w:r>
        <w:rPr>
          <w:rFonts w:hint="eastAsia" w:ascii="宋体" w:hAnsi="宋体" w:eastAsia="宋体" w:cs="宋体"/>
          <w:b w:val="0"/>
          <w:bCs/>
          <w:color w:val="auto"/>
          <w:sz w:val="21"/>
          <w:szCs w:val="21"/>
          <w:lang w:eastAsia="zh-CN"/>
        </w:rPr>
        <w:t>（注：应与我方跟</w:t>
      </w:r>
      <w:r>
        <w:rPr>
          <w:rFonts w:hint="eastAsia" w:ascii="宋体" w:hAnsi="宋体" w:eastAsia="宋体" w:cs="宋体"/>
          <w:b w:val="0"/>
          <w:bCs/>
          <w:color w:val="auto"/>
          <w:sz w:val="21"/>
          <w:szCs w:val="21"/>
          <w:lang w:val="en-US" w:eastAsia="zh-CN"/>
        </w:rPr>
        <w:t>客户签订的合同</w:t>
      </w:r>
      <w:r>
        <w:rPr>
          <w:rFonts w:hint="eastAsia" w:ascii="宋体" w:hAnsi="宋体" w:eastAsia="宋体" w:cs="宋体"/>
          <w:b w:val="0"/>
          <w:bCs/>
          <w:color w:val="auto"/>
          <w:sz w:val="21"/>
          <w:szCs w:val="21"/>
          <w:lang w:eastAsia="zh-CN"/>
        </w:rPr>
        <w:t>质保期</w:t>
      </w:r>
      <w:r>
        <w:rPr>
          <w:rFonts w:hint="eastAsia" w:ascii="宋体" w:hAnsi="宋体" w:eastAsia="宋体" w:cs="宋体"/>
          <w:b w:val="0"/>
          <w:bCs/>
          <w:color w:val="auto"/>
          <w:sz w:val="21"/>
          <w:szCs w:val="21"/>
          <w:lang w:val="en-US" w:eastAsia="zh-CN"/>
        </w:rPr>
        <w:t>相同</w:t>
      </w:r>
      <w:r>
        <w:rPr>
          <w:rFonts w:hint="eastAsia" w:ascii="宋体" w:hAnsi="宋体" w:eastAsia="宋体" w:cs="宋体"/>
          <w:b w:val="0"/>
          <w:bCs/>
          <w:color w:val="auto"/>
          <w:sz w:val="21"/>
          <w:szCs w:val="21"/>
          <w:lang w:eastAsia="zh-CN"/>
        </w:rPr>
        <w:t>）</w:t>
      </w:r>
    </w:p>
    <w:p>
      <w:pPr>
        <w:pStyle w:val="41"/>
        <w:keepNext w:val="0"/>
        <w:keepLines w:val="0"/>
        <w:pageBreakBefore w:val="0"/>
        <w:numPr>
          <w:ilvl w:val="0"/>
          <w:numId w:val="0"/>
        </w:numPr>
        <w:kinsoku/>
        <w:wordWrap w:val="0"/>
        <w:overflowPunct/>
        <w:topLinePunct w:val="0"/>
        <w:autoSpaceDE/>
        <w:autoSpaceDN/>
        <w:bidi w:val="0"/>
        <w:adjustRightInd w:val="0"/>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eastAsia="zh-CN"/>
        </w:rPr>
        <w:t>（二）质量</w:t>
      </w:r>
      <w:r>
        <w:rPr>
          <w:rStyle w:val="42"/>
          <w:rFonts w:hint="eastAsia" w:ascii="宋体" w:hAnsi="宋体" w:eastAsia="宋体" w:cs="宋体"/>
          <w:sz w:val="21"/>
          <w:szCs w:val="21"/>
        </w:rPr>
        <w:t>保修期内由于乙方责任造成的质量问题，乙方</w:t>
      </w:r>
      <w:r>
        <w:rPr>
          <w:rStyle w:val="42"/>
          <w:rFonts w:hint="eastAsia" w:ascii="宋体" w:hAnsi="宋体" w:eastAsia="宋体" w:cs="宋体"/>
          <w:sz w:val="21"/>
          <w:szCs w:val="21"/>
          <w:lang w:eastAsia="zh-CN"/>
        </w:rPr>
        <w:t>应</w:t>
      </w:r>
      <w:r>
        <w:rPr>
          <w:rStyle w:val="42"/>
          <w:rFonts w:hint="eastAsia" w:ascii="宋体" w:hAnsi="宋体" w:eastAsia="宋体" w:cs="宋体"/>
          <w:sz w:val="21"/>
          <w:szCs w:val="21"/>
        </w:rPr>
        <w:t>无条件在</w:t>
      </w:r>
      <w:r>
        <w:rPr>
          <w:rStyle w:val="42"/>
          <w:rFonts w:hint="eastAsia" w:ascii="宋体" w:hAnsi="宋体" w:eastAsia="宋体" w:cs="宋体"/>
          <w:sz w:val="21"/>
          <w:szCs w:val="21"/>
          <w:u w:val="single"/>
          <w:lang w:val="en-US" w:eastAsia="zh-CN"/>
        </w:rPr>
        <w:t>3</w:t>
      </w:r>
      <w:r>
        <w:rPr>
          <w:rStyle w:val="42"/>
          <w:rFonts w:hint="eastAsia" w:ascii="宋体" w:hAnsi="宋体" w:eastAsia="宋体" w:cs="宋体"/>
          <w:sz w:val="21"/>
          <w:szCs w:val="21"/>
        </w:rPr>
        <w:t>日内按原貌进行维修</w:t>
      </w:r>
      <w:r>
        <w:rPr>
          <w:rStyle w:val="42"/>
          <w:rFonts w:hint="eastAsia" w:ascii="宋体" w:hAnsi="宋体" w:eastAsia="宋体" w:cs="宋体"/>
          <w:sz w:val="21"/>
          <w:szCs w:val="21"/>
          <w:lang w:eastAsia="zh-CN"/>
        </w:rPr>
        <w:t>或更换，</w:t>
      </w:r>
      <w:r>
        <w:rPr>
          <w:rStyle w:val="42"/>
          <w:rFonts w:hint="eastAsia" w:ascii="宋体" w:hAnsi="宋体" w:eastAsia="宋体" w:cs="宋体"/>
          <w:sz w:val="21"/>
          <w:szCs w:val="21"/>
          <w:lang w:val="en-US" w:eastAsia="zh-CN"/>
        </w:rPr>
        <w:t>不另行收取费用</w:t>
      </w:r>
      <w:r>
        <w:rPr>
          <w:rStyle w:val="42"/>
          <w:rFonts w:hint="eastAsia" w:ascii="宋体" w:hAnsi="宋体" w:eastAsia="宋体" w:cs="宋体"/>
          <w:sz w:val="21"/>
          <w:szCs w:val="21"/>
          <w:lang w:eastAsia="zh-CN"/>
        </w:rPr>
        <w:t>。</w:t>
      </w:r>
    </w:p>
    <w:p>
      <w:pPr>
        <w:numPr>
          <w:ilvl w:val="0"/>
          <w:numId w:val="0"/>
        </w:numPr>
        <w:spacing w:line="360" w:lineRule="auto"/>
        <w:ind w:firstLine="420" w:firstLineChars="200"/>
        <w:rPr>
          <w:rStyle w:val="42"/>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eastAsia="zh-CN"/>
        </w:rPr>
        <w:t>在质量保修期内，乙方须常设售后服务电话热线，提供远程及现场技术支持和维修服务。对于甲方的服务通知，乙方在接报后应及时响应，不能远程解决的，应在接到通知后24小时内到达现场，48小时内解决。故障不能在48小时内修复的，必须提供备用设备直至故障修复。</w:t>
      </w:r>
    </w:p>
    <w:p>
      <w:pPr>
        <w:spacing w:line="360" w:lineRule="auto"/>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（四）若国家或生产商对本项目所涉及货物的质量保证期的规定高于本项目的要求，应按国家或生产商的规定执行。</w:t>
      </w:r>
    </w:p>
    <w:p>
      <w:pPr>
        <w:spacing w:line="360" w:lineRule="auto"/>
        <w:ind w:firstLine="420" w:firstLineChars="200"/>
        <w:rPr>
          <w:rFonts w:hint="eastAsia" w:ascii="宋体" w:hAnsi="宋体" w:eastAsia="宋体" w:cs="宋体"/>
          <w:b w:val="0"/>
          <w:bCs/>
          <w:sz w:val="21"/>
          <w:szCs w:val="21"/>
          <w:lang w:eastAsia="zh-CN"/>
        </w:rPr>
      </w:pPr>
      <w:r>
        <w:rPr>
          <w:rStyle w:val="42"/>
          <w:rFonts w:hint="eastAsia" w:ascii="宋体" w:hAnsi="宋体" w:eastAsia="宋体" w:cs="宋体"/>
          <w:sz w:val="21"/>
          <w:szCs w:val="21"/>
          <w:lang w:val="en-US" w:eastAsia="zh-CN"/>
        </w:rPr>
        <w:t>（五）设备安装完毕或项目完成后，</w:t>
      </w:r>
      <w:r>
        <w:rPr>
          <w:rFonts w:hint="eastAsia" w:ascii="宋体" w:hAnsi="宋体" w:eastAsia="宋体" w:cs="宋体"/>
          <w:b w:val="0"/>
          <w:bCs/>
          <w:sz w:val="21"/>
          <w:szCs w:val="21"/>
          <w:lang w:eastAsia="zh-CN"/>
        </w:rPr>
        <w:t>乙方应派出技术人员指导培训甲方指定的人员熟练操作使用项目所涉的各种软硬件。</w:t>
      </w:r>
    </w:p>
    <w:p>
      <w:pPr>
        <w:pStyle w:val="12"/>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lang w:eastAsia="zh-CN"/>
        </w:rPr>
        <w:t>质量保修期</w:t>
      </w:r>
      <w:r>
        <w:rPr>
          <w:rFonts w:hint="eastAsia" w:ascii="宋体" w:hAnsi="宋体" w:eastAsia="宋体" w:cs="宋体"/>
          <w:b w:val="0"/>
          <w:bCs/>
          <w:sz w:val="21"/>
          <w:szCs w:val="21"/>
          <w:lang w:val="en-US" w:eastAsia="zh-CN"/>
        </w:rPr>
        <w:t>后，非因乙方责任产品出现较为复杂的故障，甲方要求乙方派技术人员到现场安装调试的，所产生的费用由甲方承担；乙方提供的所有配件应不高于市场成本价。多媒体软件部分，乙方应提供终身免费使用和重装指导服务；如甲方选择乙方继续提供软件内容的更新服务，乙方的报价应不高于市场成本价。</w:t>
      </w:r>
    </w:p>
    <w:p>
      <w:pPr>
        <w:pStyle w:val="2"/>
        <w:numPr>
          <w:ilvl w:val="0"/>
          <w:numId w:val="0"/>
        </w:numPr>
        <w:spacing w:line="360" w:lineRule="auto"/>
        <w:ind w:left="0" w:leftChars="0" w:firstLine="0" w:firstLineChars="0"/>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第六条  合同的变更与终止</w:t>
      </w:r>
    </w:p>
    <w:p>
      <w:pPr>
        <w:numPr>
          <w:ilvl w:val="0"/>
          <w:numId w:val="0"/>
        </w:numPr>
        <w:spacing w:line="360" w:lineRule="auto"/>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 xml:space="preserve">    （一）</w:t>
      </w:r>
      <w:r>
        <w:rPr>
          <w:rFonts w:hint="eastAsia" w:ascii="宋体" w:hAnsi="宋体" w:eastAsia="宋体" w:cs="宋体"/>
          <w:b w:val="0"/>
          <w:bCs/>
          <w:sz w:val="21"/>
          <w:szCs w:val="21"/>
        </w:rPr>
        <w:t>本合同有效期内，任何一方当事人如需对本合同约定事项进行变更，或对未尽事宜进行补充约定的，需经甲、乙双方协商一致并由双方另行签署补充合同。补充合同与本合同具有同等法律效力。</w:t>
      </w:r>
    </w:p>
    <w:p>
      <w:pPr>
        <w:numPr>
          <w:ilvl w:val="0"/>
          <w:numId w:val="0"/>
        </w:num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kern w:val="2"/>
          <w:sz w:val="21"/>
          <w:szCs w:val="21"/>
          <w:lang w:val="en-US" w:eastAsia="zh-CN" w:bidi="ar-SA"/>
        </w:rPr>
        <w:t>（二）</w:t>
      </w:r>
      <w:r>
        <w:rPr>
          <w:rFonts w:hint="eastAsia" w:ascii="宋体" w:hAnsi="宋体" w:eastAsia="宋体" w:cs="宋体"/>
          <w:b w:val="0"/>
          <w:bCs/>
          <w:sz w:val="21"/>
          <w:szCs w:val="21"/>
        </w:rPr>
        <w:t>如因相关法律、法规、规章、规范性文件的规定发生变化，致使本合同部分或全部条款的履行成为不必要或不可能时，经双方协商后，甲乙双方有权终止本合同部分或全部约定。甲乙双方应以平等、公平、等价、有偿原则重新协商修改本合同相关条款。</w:t>
      </w:r>
    </w:p>
    <w:p>
      <w:pPr>
        <w:numPr>
          <w:ilvl w:val="0"/>
          <w:numId w:val="0"/>
        </w:numPr>
        <w:spacing w:line="360" w:lineRule="auto"/>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kern w:val="2"/>
          <w:sz w:val="21"/>
          <w:szCs w:val="21"/>
          <w:lang w:val="en-US" w:eastAsia="zh-CN" w:bidi="ar-SA"/>
        </w:rPr>
        <w:t>（三）</w:t>
      </w:r>
      <w:r>
        <w:rPr>
          <w:rFonts w:hint="eastAsia" w:ascii="宋体" w:hAnsi="宋体" w:eastAsia="宋体" w:cs="宋体"/>
          <w:b w:val="0"/>
          <w:bCs/>
          <w:sz w:val="21"/>
          <w:szCs w:val="21"/>
        </w:rPr>
        <w:t>本合同的终止不得损害第三方的利益，双方应为此做出合理安排。</w:t>
      </w:r>
    </w:p>
    <w:p>
      <w:pPr>
        <w:numPr>
          <w:ilvl w:val="0"/>
          <w:numId w:val="0"/>
        </w:numPr>
        <w:spacing w:line="360" w:lineRule="auto"/>
        <w:ind w:firstLine="0" w:firstLineChars="0"/>
        <w:rPr>
          <w:rStyle w:val="42"/>
          <w:rFonts w:hint="eastAsia" w:ascii="宋体" w:hAnsi="宋体" w:eastAsia="宋体" w:cs="宋体"/>
          <w:b/>
          <w:sz w:val="21"/>
          <w:szCs w:val="21"/>
        </w:rPr>
      </w:pPr>
      <w:r>
        <w:rPr>
          <w:rStyle w:val="42"/>
          <w:rFonts w:hint="eastAsia" w:ascii="宋体" w:hAnsi="宋体" w:eastAsia="宋体" w:cs="宋体"/>
          <w:b/>
          <w:sz w:val="21"/>
          <w:szCs w:val="21"/>
          <w:lang w:val="en-US" w:eastAsia="zh-CN"/>
        </w:rPr>
        <w:t xml:space="preserve">第七条  </w:t>
      </w:r>
      <w:r>
        <w:rPr>
          <w:rStyle w:val="42"/>
          <w:rFonts w:hint="eastAsia" w:ascii="宋体" w:hAnsi="宋体" w:eastAsia="宋体" w:cs="宋体"/>
          <w:b/>
          <w:sz w:val="21"/>
          <w:szCs w:val="21"/>
        </w:rPr>
        <w:t>违约责任</w:t>
      </w:r>
    </w:p>
    <w:p>
      <w:pPr>
        <w:numPr>
          <w:ilvl w:val="0"/>
          <w:numId w:val="0"/>
        </w:numPr>
        <w:spacing w:line="360" w:lineRule="auto"/>
        <w:ind w:firstLine="420" w:firstLineChars="200"/>
        <w:rPr>
          <w:rStyle w:val="42"/>
          <w:rFonts w:hint="eastAsia" w:ascii="宋体" w:hAnsi="宋体" w:eastAsia="宋体" w:cs="宋体"/>
          <w:sz w:val="21"/>
          <w:szCs w:val="21"/>
        </w:rPr>
      </w:pPr>
      <w:r>
        <w:rPr>
          <w:rFonts w:hint="eastAsia" w:ascii="宋体" w:hAnsi="宋体" w:eastAsia="宋体" w:cs="宋体"/>
          <w:b w:val="0"/>
          <w:bCs/>
          <w:sz w:val="21"/>
          <w:szCs w:val="21"/>
          <w:lang w:eastAsia="zh-CN"/>
        </w:rPr>
        <w:t>（一）</w:t>
      </w:r>
      <w:r>
        <w:rPr>
          <w:rStyle w:val="42"/>
          <w:rFonts w:hint="eastAsia" w:ascii="宋体" w:hAnsi="宋体" w:eastAsia="宋体" w:cs="宋体"/>
          <w:sz w:val="21"/>
          <w:szCs w:val="21"/>
        </w:rPr>
        <w:t>因一方原因，合同无法继续履行时，经与对方协商同意后办理合同终止手续，</w:t>
      </w:r>
      <w:r>
        <w:rPr>
          <w:rFonts w:hint="eastAsia" w:ascii="宋体" w:hAnsi="宋体" w:eastAsia="宋体" w:cs="宋体"/>
          <w:b w:val="0"/>
          <w:bCs/>
          <w:sz w:val="21"/>
          <w:szCs w:val="21"/>
        </w:rPr>
        <w:t>提出解除合同的一方应承担违约责任，</w:t>
      </w:r>
      <w:r>
        <w:rPr>
          <w:rFonts w:hint="eastAsia" w:ascii="宋体" w:hAnsi="宋体" w:eastAsia="宋体" w:cs="宋体"/>
          <w:b w:val="0"/>
          <w:bCs/>
          <w:sz w:val="21"/>
          <w:szCs w:val="21"/>
          <w:lang w:eastAsia="zh-CN"/>
        </w:rPr>
        <w:t>按合同金额的</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向对方支付违约金。</w:t>
      </w:r>
      <w:r>
        <w:rPr>
          <w:rFonts w:hint="eastAsia" w:ascii="宋体" w:hAnsi="宋体" w:eastAsia="宋体" w:cs="宋体"/>
          <w:b w:val="0"/>
          <w:bCs/>
          <w:sz w:val="21"/>
          <w:szCs w:val="21"/>
          <w:lang w:eastAsia="zh-CN"/>
        </w:rPr>
        <w:t>同时，</w:t>
      </w:r>
      <w:r>
        <w:rPr>
          <w:rStyle w:val="42"/>
          <w:rFonts w:hint="eastAsia" w:ascii="宋体" w:hAnsi="宋体" w:eastAsia="宋体" w:cs="宋体"/>
          <w:sz w:val="21"/>
          <w:szCs w:val="21"/>
        </w:rPr>
        <w:t>责任方</w:t>
      </w:r>
      <w:r>
        <w:rPr>
          <w:rStyle w:val="42"/>
          <w:rFonts w:hint="eastAsia" w:ascii="宋体" w:hAnsi="宋体" w:eastAsia="宋体" w:cs="宋体"/>
          <w:sz w:val="21"/>
          <w:szCs w:val="21"/>
          <w:lang w:eastAsia="zh-CN"/>
        </w:rPr>
        <w:t>还应</w:t>
      </w:r>
      <w:r>
        <w:rPr>
          <w:rStyle w:val="42"/>
          <w:rFonts w:hint="eastAsia" w:ascii="宋体" w:hAnsi="宋体" w:eastAsia="宋体" w:cs="宋体"/>
          <w:sz w:val="21"/>
          <w:szCs w:val="21"/>
        </w:rPr>
        <w:t>赔偿对方由</w:t>
      </w:r>
      <w:r>
        <w:rPr>
          <w:rStyle w:val="42"/>
          <w:rFonts w:hint="eastAsia" w:ascii="宋体" w:hAnsi="宋体" w:eastAsia="宋体" w:cs="宋体"/>
          <w:sz w:val="21"/>
          <w:szCs w:val="21"/>
          <w:lang w:eastAsia="zh-CN"/>
        </w:rPr>
        <w:t>于合同解除而</w:t>
      </w:r>
      <w:r>
        <w:rPr>
          <w:rStyle w:val="42"/>
          <w:rFonts w:hint="eastAsia" w:ascii="宋体" w:hAnsi="宋体" w:eastAsia="宋体" w:cs="宋体"/>
          <w:sz w:val="21"/>
          <w:szCs w:val="21"/>
        </w:rPr>
        <w:t>造成的经济损失。</w:t>
      </w:r>
    </w:p>
    <w:p>
      <w:pPr>
        <w:numPr>
          <w:ilvl w:val="0"/>
          <w:numId w:val="0"/>
        </w:numPr>
        <w:spacing w:line="360" w:lineRule="auto"/>
        <w:ind w:firstLine="420" w:firstLineChars="200"/>
        <w:rPr>
          <w:rFonts w:hint="eastAsia" w:ascii="宋体" w:hAnsi="宋体" w:eastAsia="宋体" w:cs="宋体"/>
          <w:bCs/>
          <w:sz w:val="21"/>
          <w:szCs w:val="21"/>
        </w:rPr>
      </w:pPr>
      <w:r>
        <w:rPr>
          <w:rFonts w:hint="eastAsia" w:ascii="宋体" w:hAnsi="宋体" w:eastAsia="宋体" w:cs="宋体"/>
          <w:b w:val="0"/>
          <w:bCs/>
          <w:kern w:val="2"/>
          <w:sz w:val="21"/>
          <w:szCs w:val="21"/>
          <w:lang w:val="en-US" w:eastAsia="zh-CN" w:bidi="ar-SA"/>
        </w:rPr>
        <w:t>（二）</w:t>
      </w:r>
      <w:r>
        <w:rPr>
          <w:rFonts w:hint="eastAsia" w:ascii="宋体" w:hAnsi="宋体" w:eastAsia="宋体" w:cs="宋体"/>
          <w:b w:val="0"/>
          <w:bCs/>
          <w:sz w:val="21"/>
          <w:szCs w:val="21"/>
        </w:rPr>
        <w:t>在合同履行过程中，因一方的过错导致本合同无法实际履行，则自实际履行终止之日起视为本合同解除。过错方应承担违约责任，并</w:t>
      </w:r>
      <w:r>
        <w:rPr>
          <w:rFonts w:hint="eastAsia" w:ascii="宋体" w:hAnsi="宋体" w:eastAsia="宋体" w:cs="宋体"/>
          <w:b w:val="0"/>
          <w:bCs/>
          <w:sz w:val="21"/>
          <w:szCs w:val="21"/>
          <w:lang w:eastAsia="zh-CN"/>
        </w:rPr>
        <w:t>按合同金额的</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向对方支付违约金。</w:t>
      </w:r>
    </w:p>
    <w:p>
      <w:pPr>
        <w:numPr>
          <w:ilvl w:val="0"/>
          <w:numId w:val="0"/>
        </w:numPr>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 w:val="0"/>
          <w:bCs/>
          <w:spacing w:val="0"/>
          <w:w w:val="100"/>
          <w:position w:val="0"/>
          <w:sz w:val="21"/>
          <w:szCs w:val="21"/>
          <w:lang w:val="en-US" w:eastAsia="zh-CN"/>
        </w:rPr>
        <w:t>（三）</w:t>
      </w:r>
      <w:r>
        <w:rPr>
          <w:rFonts w:hint="eastAsia" w:ascii="宋体" w:hAnsi="宋体" w:eastAsia="宋体" w:cs="宋体"/>
          <w:b w:val="0"/>
          <w:bCs/>
          <w:sz w:val="21"/>
          <w:szCs w:val="21"/>
          <w:lang w:val="en-US" w:eastAsia="zh-CN"/>
        </w:rPr>
        <w:t>若因乙方原因出现逾期交付情况，每逾期1天，扣减合同总价千分之零点一（0.01%）的款项。</w:t>
      </w:r>
      <w:r>
        <w:rPr>
          <w:rFonts w:hint="eastAsia" w:ascii="宋体" w:hAnsi="宋体" w:eastAsia="宋体" w:cs="宋体"/>
          <w:bCs/>
          <w:sz w:val="21"/>
          <w:szCs w:val="21"/>
          <w:lang w:val="en-US" w:eastAsia="zh-CN"/>
        </w:rPr>
        <w:t>因乙方原因逾期不能完成项目的，甲方有权安排其他单位完成项目，所产生的费用按实际发生额从合同款项中予以扣除。情节严重的，甲方有权单方终止合同，</w:t>
      </w:r>
      <w:r>
        <w:rPr>
          <w:rFonts w:hint="eastAsia" w:ascii="宋体" w:hAnsi="宋体" w:eastAsia="宋体" w:cs="宋体"/>
          <w:bCs/>
          <w:sz w:val="21"/>
          <w:szCs w:val="21"/>
        </w:rPr>
        <w:t>乙方应</w:t>
      </w:r>
      <w:r>
        <w:rPr>
          <w:rFonts w:hint="eastAsia" w:ascii="宋体" w:hAnsi="宋体" w:eastAsia="宋体" w:cs="宋体"/>
          <w:bCs/>
          <w:sz w:val="21"/>
          <w:szCs w:val="21"/>
          <w:lang w:eastAsia="zh-CN"/>
        </w:rPr>
        <w:t>自合同终止之日起</w:t>
      </w:r>
      <w:r>
        <w:rPr>
          <w:rFonts w:hint="eastAsia" w:ascii="宋体" w:hAnsi="宋体" w:eastAsia="宋体" w:cs="宋体"/>
          <w:bCs/>
          <w:sz w:val="21"/>
          <w:szCs w:val="21"/>
          <w:u w:val="none"/>
          <w:lang w:val="en-US" w:eastAsia="zh-CN"/>
        </w:rPr>
        <w:t xml:space="preserve">     日内</w:t>
      </w:r>
      <w:r>
        <w:rPr>
          <w:rFonts w:hint="eastAsia" w:ascii="宋体" w:hAnsi="宋体" w:eastAsia="宋体" w:cs="宋体"/>
          <w:bCs/>
          <w:sz w:val="21"/>
          <w:szCs w:val="21"/>
        </w:rPr>
        <w:t>返还甲方已支付的所有合同费用</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并由乙方承担相应责任。</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pacing w:val="0"/>
          <w:w w:val="100"/>
          <w:position w:val="0"/>
          <w:sz w:val="21"/>
          <w:szCs w:val="21"/>
          <w:lang w:val="en-US" w:eastAsia="zh-CN"/>
        </w:rPr>
        <w:t>（四）</w:t>
      </w:r>
      <w:r>
        <w:rPr>
          <w:rFonts w:hint="eastAsia" w:ascii="宋体" w:hAnsi="宋体" w:eastAsia="宋体" w:cs="宋体"/>
          <w:b w:val="0"/>
          <w:bCs/>
          <w:sz w:val="21"/>
          <w:szCs w:val="21"/>
          <w:lang w:val="en-US" w:eastAsia="zh-CN"/>
        </w:rPr>
        <w:t>乙方采用不合格产品的、不按照制作及安装工艺实施、不按照甲方最终认可的设计文件进行制作及安装、有以次充好行为的，应当立即更换、重做或由甲方安排其他单位进行更换、重做，所产生的费用由乙方承担，情节严重的甲方有权单方终止合同，</w:t>
      </w:r>
      <w:r>
        <w:rPr>
          <w:rFonts w:hint="eastAsia" w:ascii="宋体" w:hAnsi="宋体" w:eastAsia="宋体" w:cs="宋体"/>
          <w:bCs/>
          <w:sz w:val="21"/>
          <w:szCs w:val="21"/>
        </w:rPr>
        <w:t>乙方应</w:t>
      </w:r>
      <w:r>
        <w:rPr>
          <w:rFonts w:hint="eastAsia" w:ascii="宋体" w:hAnsi="宋体" w:eastAsia="宋体" w:cs="宋体"/>
          <w:bCs/>
          <w:sz w:val="21"/>
          <w:szCs w:val="21"/>
          <w:lang w:eastAsia="zh-CN"/>
        </w:rPr>
        <w:t>自合同终止之日起</w:t>
      </w:r>
      <w:r>
        <w:rPr>
          <w:rFonts w:hint="eastAsia" w:ascii="宋体" w:hAnsi="宋体" w:eastAsia="宋体" w:cs="宋体"/>
          <w:bCs/>
          <w:sz w:val="21"/>
          <w:szCs w:val="21"/>
          <w:u w:val="none"/>
          <w:lang w:val="en-US" w:eastAsia="zh-CN"/>
        </w:rPr>
        <w:t xml:space="preserve">     日内</w:t>
      </w:r>
      <w:r>
        <w:rPr>
          <w:rFonts w:hint="eastAsia" w:ascii="宋体" w:hAnsi="宋体" w:eastAsia="宋体" w:cs="宋体"/>
          <w:bCs/>
          <w:sz w:val="21"/>
          <w:szCs w:val="21"/>
        </w:rPr>
        <w:t>返还甲方已支付的所有合同费用</w:t>
      </w:r>
      <w:r>
        <w:rPr>
          <w:rFonts w:hint="eastAsia" w:ascii="宋体" w:hAnsi="宋体" w:eastAsia="宋体" w:cs="宋体"/>
          <w:bCs/>
          <w:sz w:val="21"/>
          <w:szCs w:val="21"/>
          <w:lang w:eastAsia="zh-CN"/>
        </w:rPr>
        <w:t>，</w:t>
      </w:r>
      <w:r>
        <w:rPr>
          <w:rFonts w:hint="eastAsia" w:ascii="宋体" w:hAnsi="宋体" w:eastAsia="宋体" w:cs="宋体"/>
          <w:b w:val="0"/>
          <w:bCs/>
          <w:sz w:val="21"/>
          <w:szCs w:val="21"/>
          <w:lang w:val="en-US" w:eastAsia="zh-CN"/>
        </w:rPr>
        <w:t>并由乙方承担相应的责任。</w:t>
      </w:r>
    </w:p>
    <w:p>
      <w:pPr>
        <w:numPr>
          <w:ilvl w:val="0"/>
          <w:numId w:val="0"/>
        </w:num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五）乙方须保证其产品或服务不得侵犯第三方知识产权等合法权益，如因乙方提供的产品侵犯第三方知识产权等合法权益，或任何第三方向甲方提出的侵权诉讼或索赔，或因乙方提供的产品或服务导致甲方遭受政府相关部门的处罚的，概由乙方承担一切处理、应诉和赔偿等法律责任。由此给甲方造成损失的，甲方有权向乙方追究责任并要求赔偿，且甲方有权单方面解除合同并要求</w:t>
      </w:r>
      <w:r>
        <w:rPr>
          <w:rFonts w:hint="eastAsia" w:ascii="宋体" w:hAnsi="宋体" w:eastAsia="宋体" w:cs="宋体"/>
          <w:color w:val="auto"/>
          <w:sz w:val="21"/>
          <w:szCs w:val="21"/>
        </w:rPr>
        <w:t>乙方应</w:t>
      </w:r>
      <w:r>
        <w:rPr>
          <w:rFonts w:hint="eastAsia" w:ascii="宋体" w:hAnsi="宋体" w:eastAsia="宋体" w:cs="宋体"/>
          <w:color w:val="auto"/>
          <w:sz w:val="21"/>
          <w:szCs w:val="21"/>
          <w:lang w:eastAsia="zh-CN"/>
        </w:rPr>
        <w:t>自合同终止之日起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日内</w:t>
      </w:r>
      <w:r>
        <w:rPr>
          <w:rFonts w:hint="eastAsia" w:ascii="宋体" w:hAnsi="宋体" w:eastAsia="宋体" w:cs="宋体"/>
          <w:color w:val="auto"/>
          <w:sz w:val="21"/>
          <w:szCs w:val="21"/>
        </w:rPr>
        <w:t>返还甲方已支付的所有合同费用</w:t>
      </w:r>
      <w:r>
        <w:rPr>
          <w:rFonts w:hint="eastAsia" w:ascii="宋体" w:hAnsi="宋体" w:eastAsia="宋体" w:cs="宋体"/>
          <w:b w:val="0"/>
          <w:bCs/>
          <w:sz w:val="21"/>
          <w:szCs w:val="21"/>
          <w:lang w:val="en-US" w:eastAsia="zh-CN"/>
        </w:rPr>
        <w:t>。</w:t>
      </w:r>
    </w:p>
    <w:p>
      <w:pPr>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color w:val="000000"/>
          <w:spacing w:val="0"/>
          <w:w w:val="100"/>
          <w:position w:val="0"/>
          <w:sz w:val="21"/>
          <w:szCs w:val="21"/>
          <w:lang w:val="en-US" w:eastAsia="zh-CN"/>
        </w:rPr>
        <w:t xml:space="preserve">    （六）</w:t>
      </w:r>
      <w:r>
        <w:rPr>
          <w:rFonts w:hint="eastAsia" w:ascii="宋体" w:hAnsi="宋体" w:eastAsia="宋体" w:cs="宋体"/>
          <w:b w:val="0"/>
          <w:bCs/>
          <w:sz w:val="21"/>
          <w:szCs w:val="21"/>
          <w:lang w:val="en-US" w:eastAsia="zh-CN"/>
        </w:rPr>
        <w:t>乙方拒绝或拖延履行售后服务义务的，由乙方承担相关违约责任，甲方有权拒付合同余款，合同余款不足以弥补甲方实际损失的，乙方仍应承担赔偿责任。</w:t>
      </w:r>
    </w:p>
    <w:p>
      <w:pPr>
        <w:pStyle w:val="2"/>
        <w:spacing w:line="360" w:lineRule="auto"/>
        <w:ind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color w:val="000000"/>
          <w:spacing w:val="0"/>
          <w:w w:val="100"/>
          <w:position w:val="0"/>
          <w:sz w:val="21"/>
          <w:szCs w:val="21"/>
          <w:lang w:val="en-US" w:eastAsia="zh-CN"/>
        </w:rPr>
        <w:t xml:space="preserve">    （七）</w:t>
      </w:r>
      <w:r>
        <w:rPr>
          <w:rStyle w:val="42"/>
          <w:rFonts w:hint="eastAsia" w:ascii="宋体" w:hAnsi="宋体" w:eastAsia="宋体" w:cs="宋体"/>
          <w:sz w:val="21"/>
          <w:szCs w:val="21"/>
          <w:lang w:eastAsia="zh-CN"/>
        </w:rPr>
        <w:t>项目质保期内，如乙方未及时履行本合同约定的保修义务的，甲方有权自行或聘请第三方提供保修服务，所产生的费用由乙方承担，</w:t>
      </w:r>
      <w:r>
        <w:rPr>
          <w:rStyle w:val="42"/>
          <w:rFonts w:hint="eastAsia" w:ascii="宋体" w:hAnsi="宋体" w:eastAsia="宋体" w:cs="宋体"/>
          <w:sz w:val="21"/>
          <w:szCs w:val="21"/>
          <w:lang w:val="en-US" w:eastAsia="zh-CN"/>
        </w:rPr>
        <w:t>甲方有权从质保金中扣除。质保金不足以弥补甲方支付的费用的，甲方有权向乙方追偿</w:t>
      </w:r>
      <w:r>
        <w:rPr>
          <w:rStyle w:val="42"/>
          <w:rFonts w:hint="eastAsia" w:ascii="宋体" w:hAnsi="宋体" w:eastAsia="宋体" w:cs="宋体"/>
          <w:sz w:val="21"/>
          <w:szCs w:val="21"/>
          <w:lang w:eastAsia="zh-CN"/>
        </w:rPr>
        <w:t>。</w:t>
      </w:r>
      <w:r>
        <w:rPr>
          <w:rFonts w:hint="eastAsia" w:ascii="宋体" w:hAnsi="宋体" w:eastAsia="宋体" w:cs="宋体"/>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第八条  知识产权与商业秘密</w:t>
      </w:r>
    </w:p>
    <w:p>
      <w:pPr>
        <w:widowControl/>
        <w:numPr>
          <w:ilvl w:val="0"/>
          <w:numId w:val="15"/>
        </w:numPr>
        <w:spacing w:line="360" w:lineRule="auto"/>
        <w:ind w:firstLine="420" w:firstLineChars="200"/>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除甲方提供的项目资料外，乙方应保证本项目的技术、服务或其任何一部分</w:t>
      </w:r>
      <w:r>
        <w:rPr>
          <w:rFonts w:hint="eastAsia" w:ascii="宋体" w:hAnsi="宋体" w:eastAsia="宋体" w:cs="宋体"/>
          <w:color w:val="000000"/>
          <w:kern w:val="0"/>
          <w:sz w:val="21"/>
          <w:szCs w:val="21"/>
          <w:highlight w:val="none"/>
          <w:lang w:val="en-US" w:eastAsia="zh-CN" w:bidi="ar"/>
        </w:rPr>
        <w:t>不造成违反或侵犯任何第三方知识产权的情况，</w:t>
      </w:r>
      <w:r>
        <w:rPr>
          <w:rFonts w:hint="eastAsia" w:ascii="宋体" w:hAnsi="宋体" w:eastAsia="宋体" w:cs="宋体"/>
          <w:b w:val="0"/>
          <w:bCs/>
          <w:sz w:val="21"/>
          <w:szCs w:val="21"/>
          <w:highlight w:val="none"/>
        </w:rPr>
        <w:t>不会产生因第三方提出侵犯其专利权、商标权或其他知识产权而引起的法律和经济纠纷</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如因第三方提出其专利权、商标权或其他知识产权的侵权之诉，则一切法律责任由乙方承担。</w:t>
      </w:r>
    </w:p>
    <w:p>
      <w:pPr>
        <w:widowControl/>
        <w:numPr>
          <w:ilvl w:val="0"/>
          <w:numId w:val="16"/>
        </w:numPr>
        <w:spacing w:line="360" w:lineRule="auto"/>
        <w:ind w:firstLine="420" w:firstLineChars="200"/>
        <w:jc w:val="left"/>
        <w:rPr>
          <w:rFonts w:hint="eastAsia" w:ascii="宋体" w:hAnsi="宋体" w:eastAsia="宋体" w:cs="宋体"/>
          <w:b w:val="0"/>
          <w:bCs/>
          <w:color w:val="000000"/>
          <w:spacing w:val="0"/>
          <w:w w:val="100"/>
          <w:position w:val="0"/>
          <w:sz w:val="21"/>
          <w:szCs w:val="21"/>
          <w:highlight w:val="none"/>
          <w:lang w:val="en-US" w:eastAsia="zh-CN"/>
        </w:rPr>
      </w:pPr>
      <w:r>
        <w:rPr>
          <w:rFonts w:hint="eastAsia" w:ascii="宋体" w:hAnsi="宋体" w:eastAsia="宋体" w:cs="宋体"/>
          <w:b w:val="0"/>
          <w:bCs/>
          <w:color w:val="000000"/>
          <w:spacing w:val="0"/>
          <w:w w:val="100"/>
          <w:position w:val="0"/>
          <w:sz w:val="21"/>
          <w:szCs w:val="21"/>
          <w:highlight w:val="none"/>
          <w:lang w:val="en-US" w:eastAsia="zh-CN"/>
        </w:rPr>
        <w:t>未经甲方事先书面同意，乙方不得将由甲方为本合同提供的</w:t>
      </w:r>
      <w:r>
        <w:rPr>
          <w:rFonts w:hint="eastAsia" w:ascii="宋体" w:hAnsi="宋体" w:eastAsia="宋体" w:cs="宋体"/>
          <w:i w:val="0"/>
          <w:iCs w:val="0"/>
          <w:caps w:val="0"/>
          <w:color w:val="0D0D0D"/>
          <w:spacing w:val="0"/>
          <w:sz w:val="21"/>
          <w:szCs w:val="21"/>
          <w:highlight w:val="none"/>
          <w:shd w:val="clear" w:color="auto" w:fill="auto"/>
          <w:lang w:val="en-US" w:eastAsia="zh-CN" w:bidi="ar-SA"/>
        </w:rPr>
        <w:t>文字、图片、图纸、视频、模型、样品</w:t>
      </w:r>
      <w:r>
        <w:rPr>
          <w:rFonts w:hint="eastAsia" w:ascii="宋体" w:hAnsi="宋体" w:eastAsia="宋体" w:cs="宋体"/>
          <w:b w:val="0"/>
          <w:bCs/>
          <w:color w:val="000000"/>
          <w:spacing w:val="0"/>
          <w:w w:val="100"/>
          <w:position w:val="0"/>
          <w:sz w:val="21"/>
          <w:szCs w:val="21"/>
          <w:highlight w:val="none"/>
          <w:lang w:val="en-US" w:eastAsia="zh-CN"/>
        </w:rPr>
        <w:t>等资料提供给与本合同无关的任何第三方，不得将其用于履行本合同之外的其它用途</w:t>
      </w:r>
      <w:r>
        <w:rPr>
          <w:rFonts w:hint="eastAsia" w:ascii="宋体" w:hAnsi="宋体" w:eastAsia="宋体" w:cs="宋体"/>
          <w:bCs w:val="0"/>
          <w:sz w:val="21"/>
          <w:szCs w:val="21"/>
          <w:highlight w:val="none"/>
        </w:rPr>
        <w:t>，</w:t>
      </w:r>
      <w:r>
        <w:rPr>
          <w:rFonts w:hint="eastAsia" w:ascii="宋体" w:hAnsi="宋体" w:eastAsia="宋体" w:cs="宋体"/>
          <w:i w:val="0"/>
          <w:iCs w:val="0"/>
          <w:caps w:val="0"/>
          <w:color w:val="0D0D0D"/>
          <w:spacing w:val="0"/>
          <w:sz w:val="21"/>
          <w:szCs w:val="21"/>
          <w:highlight w:val="none"/>
          <w:shd w:val="clear" w:color="auto" w:fill="auto"/>
          <w:lang w:val="en-US" w:eastAsia="zh-CN" w:bidi="ar-SA"/>
        </w:rPr>
        <w:t>不得将其用于任何形式的营销、宣传或推广活动，</w:t>
      </w:r>
      <w:r>
        <w:rPr>
          <w:rFonts w:hint="eastAsia" w:ascii="宋体" w:hAnsi="宋体" w:eastAsia="宋体" w:cs="宋体"/>
          <w:bCs w:val="0"/>
          <w:sz w:val="21"/>
          <w:szCs w:val="21"/>
          <w:highlight w:val="none"/>
        </w:rPr>
        <w:t>否则乙方应另行承担侵权责任</w:t>
      </w:r>
      <w:r>
        <w:rPr>
          <w:rFonts w:hint="eastAsia" w:ascii="宋体" w:hAnsi="宋体" w:eastAsia="宋体" w:cs="宋体"/>
          <w:b w:val="0"/>
          <w:bCs/>
          <w:color w:val="000000"/>
          <w:spacing w:val="0"/>
          <w:w w:val="100"/>
          <w:position w:val="0"/>
          <w:sz w:val="21"/>
          <w:szCs w:val="21"/>
          <w:highlight w:val="none"/>
          <w:lang w:val="en-US" w:eastAsia="zh-CN"/>
        </w:rPr>
        <w:t>。即使向与履行本合同有关的人员提供，也应注意保密并限于履行合同所必需的范围。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color w:val="000000"/>
          <w:spacing w:val="0"/>
          <w:w w:val="100"/>
          <w:position w:val="0"/>
          <w:sz w:val="21"/>
          <w:szCs w:val="21"/>
          <w:highlight w:val="none"/>
          <w:lang w:val="en-US" w:eastAsia="zh-CN"/>
        </w:rPr>
        <w:t xml:space="preserve">   （三）</w:t>
      </w:r>
      <w:r>
        <w:rPr>
          <w:rFonts w:hint="eastAsia" w:ascii="宋体" w:hAnsi="宋体" w:eastAsia="宋体" w:cs="宋体"/>
          <w:b w:val="0"/>
          <w:bCs w:val="0"/>
          <w:sz w:val="21"/>
          <w:szCs w:val="21"/>
          <w:highlight w:val="none"/>
          <w:lang w:val="en-US" w:eastAsia="zh-CN"/>
        </w:rPr>
        <w:t>乙方在签订和履行本合同中知悉的</w:t>
      </w:r>
      <w:r>
        <w:rPr>
          <w:rFonts w:hint="eastAsia" w:ascii="宋体" w:hAnsi="宋体" w:eastAsia="宋体" w:cs="宋体"/>
          <w:bCs w:val="0"/>
          <w:sz w:val="21"/>
          <w:szCs w:val="21"/>
          <w:highlight w:val="none"/>
        </w:rPr>
        <w:t>甲方</w:t>
      </w:r>
      <w:r>
        <w:rPr>
          <w:rFonts w:hint="eastAsia" w:ascii="宋体" w:hAnsi="宋体" w:eastAsia="宋体" w:cs="宋体"/>
          <w:b w:val="0"/>
          <w:bCs w:val="0"/>
          <w:sz w:val="21"/>
          <w:szCs w:val="21"/>
          <w:highlight w:val="none"/>
          <w:lang w:val="en-US" w:eastAsia="zh-CN"/>
        </w:rPr>
        <w:t>的全部信息（包括技术信息和经营信息等）均为</w:t>
      </w:r>
      <w:r>
        <w:rPr>
          <w:rFonts w:hint="eastAsia" w:ascii="宋体" w:hAnsi="宋体" w:eastAsia="宋体" w:cs="宋体"/>
          <w:bCs w:val="0"/>
          <w:sz w:val="21"/>
          <w:szCs w:val="21"/>
          <w:highlight w:val="none"/>
        </w:rPr>
        <w:t>甲方</w:t>
      </w:r>
      <w:r>
        <w:rPr>
          <w:rFonts w:hint="eastAsia" w:ascii="宋体" w:hAnsi="宋体" w:eastAsia="宋体" w:cs="宋体"/>
          <w:b w:val="0"/>
          <w:bCs w:val="0"/>
          <w:sz w:val="21"/>
          <w:szCs w:val="21"/>
          <w:highlight w:val="none"/>
          <w:lang w:val="en-US" w:eastAsia="zh-CN"/>
        </w:rPr>
        <w:t>的商业秘密。除本合同规定之工作所需外，未经</w:t>
      </w:r>
      <w:r>
        <w:rPr>
          <w:rFonts w:hint="eastAsia" w:ascii="宋体" w:hAnsi="宋体" w:eastAsia="宋体" w:cs="宋体"/>
          <w:bCs w:val="0"/>
          <w:sz w:val="21"/>
          <w:szCs w:val="21"/>
          <w:highlight w:val="none"/>
        </w:rPr>
        <w:t>甲方</w:t>
      </w:r>
      <w:r>
        <w:rPr>
          <w:rFonts w:hint="eastAsia" w:ascii="宋体" w:hAnsi="宋体" w:eastAsia="宋体" w:cs="宋体"/>
          <w:b w:val="0"/>
          <w:bCs w:val="0"/>
          <w:sz w:val="21"/>
          <w:szCs w:val="21"/>
          <w:highlight w:val="none"/>
          <w:lang w:val="en-US" w:eastAsia="zh-CN"/>
        </w:rPr>
        <w:t>事先书面同意，乙方不得使用、披露甲方的商业秘密，不得擅自使用、复制甲方的商标、标志、商业信息、技术及其他资料。乙方及</w:t>
      </w:r>
      <w:r>
        <w:rPr>
          <w:rFonts w:hint="eastAsia" w:ascii="宋体" w:hAnsi="宋体" w:eastAsia="宋体" w:cs="宋体"/>
          <w:color w:val="000000"/>
          <w:kern w:val="0"/>
          <w:sz w:val="21"/>
          <w:szCs w:val="21"/>
          <w:highlight w:val="none"/>
          <w:lang w:val="en-US" w:eastAsia="zh-CN" w:bidi="ar"/>
        </w:rPr>
        <w:t>其全体雇用人员或其他执行本合同的相关人员，均应遵守此项保密义务，如有违约情形，乙方承担由此造成的损失，且不因人员的流动而免责。</w:t>
      </w:r>
    </w:p>
    <w:p>
      <w:pPr>
        <w:widowControl/>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b w:val="0"/>
          <w:bCs/>
          <w:color w:val="000000"/>
          <w:spacing w:val="0"/>
          <w:w w:val="100"/>
          <w:position w:val="0"/>
          <w:sz w:val="21"/>
          <w:szCs w:val="21"/>
          <w:highlight w:val="none"/>
          <w:lang w:val="en-US" w:eastAsia="zh-CN"/>
        </w:rPr>
        <w:t>（四）</w:t>
      </w:r>
      <w:r>
        <w:rPr>
          <w:rFonts w:hint="eastAsia" w:ascii="宋体" w:hAnsi="宋体" w:eastAsia="宋体" w:cs="宋体"/>
          <w:color w:val="000000"/>
          <w:kern w:val="0"/>
          <w:sz w:val="21"/>
          <w:szCs w:val="21"/>
          <w:highlight w:val="none"/>
          <w:lang w:val="en-US" w:eastAsia="zh-CN" w:bidi="ar"/>
        </w:rPr>
        <w:t>因履行本合同所形成的成果及其相关知识产权归甲方所有，甲方有权确定所有著作权、专利、成果的使用、转让或许可范围，乙方未经甲方书面同意不得使用或处分工作成果。甲方需就成果进行专利申请、著作权备案、参与评奖等用途的，乙方应予以协助。</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第九条  不可抗力及免责</w:t>
      </w:r>
    </w:p>
    <w:p>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highlight w:val="none"/>
          <w:lang w:eastAsia="zh-CN"/>
        </w:rPr>
        <w:t>（一）“不可抗力”是指本合同双方不能合理控制、不可预见或即使预见亦无法避免的事件，该事件妨碍、影响或延误任何一方根据本合同履行其全部或部分义务。不可抗力包括但不限于：自然原因的不可抗力，例如：地震、火灾、洪水、严重的传染性疾病等；国家机关原因的不可抗力，例如：法律、政策、行政指令、政府行为和国家政策发生根本性改变；其它不可抗力：战争、武装冲突、动乱等其他突发事件等。</w:t>
      </w:r>
    </w:p>
    <w:p>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hint="eastAsia" w:ascii="宋体" w:hAnsi="宋体" w:eastAsia="宋体" w:cs="宋体"/>
          <w:bCs w:val="0"/>
          <w:sz w:val="21"/>
          <w:szCs w:val="21"/>
          <w:highlight w:val="none"/>
          <w:lang w:eastAsia="zh-CN"/>
        </w:rPr>
      </w:pPr>
      <w:r>
        <w:rPr>
          <w:rFonts w:hint="eastAsia" w:ascii="宋体" w:hAnsi="宋体" w:eastAsia="宋体" w:cs="宋体"/>
          <w:bCs w:val="0"/>
          <w:sz w:val="21"/>
          <w:szCs w:val="21"/>
          <w:highlight w:val="none"/>
          <w:lang w:eastAsia="zh-CN"/>
        </w:rPr>
        <w:t>（二）任何一方由于不可抗力原因不能履行合同时，应在不可抗力事件结束后</w:t>
      </w:r>
      <w:r>
        <w:rPr>
          <w:rFonts w:hint="eastAsia" w:ascii="宋体" w:hAnsi="宋体" w:eastAsia="宋体" w:cs="宋体"/>
          <w:bCs w:val="0"/>
          <w:sz w:val="21"/>
          <w:szCs w:val="21"/>
          <w:highlight w:val="none"/>
          <w:lang w:val="en-US" w:eastAsia="zh-CN"/>
        </w:rPr>
        <w:t>3</w:t>
      </w:r>
      <w:r>
        <w:rPr>
          <w:rFonts w:hint="eastAsia" w:ascii="宋体" w:hAnsi="宋体" w:eastAsia="宋体" w:cs="宋体"/>
          <w:bCs w:val="0"/>
          <w:sz w:val="21"/>
          <w:szCs w:val="21"/>
          <w:highlight w:val="none"/>
          <w:lang w:eastAsia="zh-CN"/>
        </w:rPr>
        <w:t>日内向对方通报，以减轻可能给对方造成的损失。在取得有关机构的不可抗力证明或双方谅解确认后，双方可根据不可抗力事件对合同履行的影响程度协商决定延期履行、变更合同或解除合同，并免于承担违约责任。</w:t>
      </w:r>
    </w:p>
    <w:p>
      <w:pPr>
        <w:wordWrap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val="0"/>
          <w:sz w:val="21"/>
          <w:szCs w:val="21"/>
          <w:highlight w:val="none"/>
          <w:lang w:eastAsia="zh-CN"/>
        </w:rPr>
        <w:t>（三）</w:t>
      </w:r>
      <w:r>
        <w:rPr>
          <w:rFonts w:hint="eastAsia" w:ascii="宋体" w:hAnsi="宋体" w:eastAsia="宋体" w:cs="宋体"/>
          <w:bCs w:val="0"/>
          <w:sz w:val="21"/>
          <w:szCs w:val="21"/>
          <w:highlight w:val="none"/>
        </w:rPr>
        <w:t>遭受不可抗力的一方未履行上述义务或不可抗力发生在一方违约前或违约后的，不能免除其违约责任。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bCs/>
          <w:sz w:val="21"/>
          <w:szCs w:val="21"/>
          <w:highlight w:val="none"/>
          <w:lang w:val="en-US" w:eastAsia="zh-CN"/>
        </w:rPr>
      </w:pPr>
      <w:r>
        <w:rPr>
          <w:rStyle w:val="42"/>
          <w:rFonts w:hint="eastAsia" w:ascii="宋体" w:hAnsi="宋体" w:eastAsia="宋体" w:cs="宋体"/>
          <w:b/>
          <w:sz w:val="21"/>
          <w:szCs w:val="21"/>
          <w:lang w:eastAsia="zh-CN"/>
        </w:rPr>
        <w:t>第</w:t>
      </w:r>
      <w:r>
        <w:rPr>
          <w:rStyle w:val="42"/>
          <w:rFonts w:hint="eastAsia" w:ascii="宋体" w:hAnsi="宋体" w:eastAsia="宋体" w:cs="宋体"/>
          <w:b/>
          <w:sz w:val="21"/>
          <w:szCs w:val="21"/>
        </w:rPr>
        <w:t>十</w:t>
      </w:r>
      <w:r>
        <w:rPr>
          <w:rStyle w:val="42"/>
          <w:rFonts w:hint="eastAsia" w:ascii="宋体" w:hAnsi="宋体" w:eastAsia="宋体" w:cs="宋体"/>
          <w:b/>
          <w:sz w:val="21"/>
          <w:szCs w:val="21"/>
          <w:lang w:eastAsia="zh-CN"/>
        </w:rPr>
        <w:t>条</w:t>
      </w:r>
      <w:r>
        <w:rPr>
          <w:rStyle w:val="42"/>
          <w:rFonts w:hint="eastAsia" w:ascii="宋体" w:hAnsi="宋体" w:eastAsia="宋体" w:cs="宋体"/>
          <w:b/>
          <w:sz w:val="21"/>
          <w:szCs w:val="21"/>
          <w:lang w:val="en-US" w:eastAsia="zh-CN"/>
        </w:rPr>
        <w:t xml:space="preserve">  </w:t>
      </w:r>
      <w:r>
        <w:rPr>
          <w:rFonts w:hint="eastAsia" w:ascii="宋体" w:hAnsi="宋体" w:eastAsia="宋体" w:cs="宋体"/>
          <w:b/>
          <w:bCs/>
          <w:sz w:val="21"/>
          <w:szCs w:val="21"/>
          <w:highlight w:val="none"/>
          <w:lang w:val="en-US" w:eastAsia="zh-CN"/>
        </w:rPr>
        <w:t>法律适用及争议解决</w:t>
      </w:r>
    </w:p>
    <w:p>
      <w:pPr>
        <w:rPr>
          <w:rStyle w:val="42"/>
          <w:rFonts w:hint="eastAsia" w:ascii="宋体" w:hAnsi="宋体" w:eastAsia="宋体" w:cs="宋体"/>
          <w:kern w:val="0"/>
          <w:sz w:val="21"/>
          <w:szCs w:val="21"/>
          <w:lang w:val="en-US" w:eastAsia="zh-CN" w:bidi="ar-SA"/>
        </w:rPr>
      </w:pPr>
      <w:r>
        <w:rPr>
          <w:rStyle w:val="42"/>
          <w:rFonts w:hint="eastAsia" w:ascii="宋体" w:hAnsi="宋体" w:eastAsia="宋体" w:cs="宋体"/>
          <w:kern w:val="0"/>
          <w:sz w:val="21"/>
          <w:szCs w:val="21"/>
          <w:lang w:val="en-US" w:eastAsia="zh-CN" w:bidi="ar-SA"/>
        </w:rPr>
        <w:t>（一）本合同受中华人民共和国法律解释和管辖，并不考虑法律冲突。</w:t>
      </w:r>
    </w:p>
    <w:p>
      <w:pPr>
        <w:pStyle w:val="44"/>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42"/>
          <w:rFonts w:hint="eastAsia" w:ascii="宋体" w:hAnsi="宋体" w:eastAsia="宋体" w:cs="宋体"/>
          <w:kern w:val="0"/>
          <w:sz w:val="21"/>
          <w:szCs w:val="21"/>
          <w:lang w:val="en-US" w:eastAsia="zh-CN" w:bidi="ar-SA"/>
        </w:rPr>
      </w:pPr>
      <w:r>
        <w:rPr>
          <w:rStyle w:val="42"/>
          <w:rFonts w:hint="eastAsia" w:ascii="宋体" w:hAnsi="宋体" w:eastAsia="宋体" w:cs="宋体"/>
          <w:kern w:val="0"/>
          <w:sz w:val="21"/>
          <w:szCs w:val="21"/>
          <w:lang w:val="en-US" w:eastAsia="zh-CN" w:bidi="ar-SA"/>
        </w:rPr>
        <w:t>（二）双方约定，合同签订地为广州市越秀区。有关本合同的任何争议应由双方秉承善意友好协商解决。</w:t>
      </w:r>
      <w:r>
        <w:rPr>
          <w:rFonts w:hint="eastAsia" w:ascii="宋体" w:hAnsi="宋体" w:eastAsia="宋体" w:cs="宋体"/>
          <w:b w:val="0"/>
          <w:bCs w:val="0"/>
          <w:sz w:val="21"/>
          <w:szCs w:val="21"/>
        </w:rPr>
        <w:t>若</w:t>
      </w:r>
      <w:r>
        <w:rPr>
          <w:rFonts w:hint="eastAsia" w:ascii="宋体" w:hAnsi="宋体" w:eastAsia="宋体" w:cs="宋体"/>
          <w:b w:val="0"/>
          <w:bCs w:val="0"/>
          <w:sz w:val="21"/>
          <w:szCs w:val="21"/>
          <w:lang w:eastAsia="zh-CN"/>
        </w:rPr>
        <w:t>双方</w:t>
      </w:r>
      <w:r>
        <w:rPr>
          <w:rFonts w:hint="eastAsia" w:ascii="宋体" w:hAnsi="宋体" w:eastAsia="宋体" w:cs="宋体"/>
          <w:b w:val="0"/>
          <w:bCs w:val="0"/>
          <w:sz w:val="21"/>
          <w:szCs w:val="21"/>
        </w:rPr>
        <w:t>协商不成，</w:t>
      </w:r>
      <w:r>
        <w:rPr>
          <w:rFonts w:hint="eastAsia" w:ascii="宋体" w:hAnsi="宋体" w:eastAsia="宋体" w:cs="宋体"/>
          <w:b w:val="0"/>
          <w:bCs w:val="0"/>
          <w:sz w:val="21"/>
          <w:szCs w:val="21"/>
          <w:lang w:eastAsia="zh-CN"/>
        </w:rPr>
        <w:t>一方可</w:t>
      </w:r>
      <w:r>
        <w:rPr>
          <w:rStyle w:val="42"/>
          <w:rFonts w:hint="eastAsia" w:ascii="宋体" w:hAnsi="宋体" w:eastAsia="宋体" w:cs="宋体"/>
          <w:kern w:val="0"/>
          <w:sz w:val="21"/>
          <w:szCs w:val="21"/>
          <w:lang w:val="en-US" w:eastAsia="zh-CN" w:bidi="ar-SA"/>
        </w:rPr>
        <w:t>将争议提交合同签订地有管辖权的法院诉讼解决。</w:t>
      </w:r>
    </w:p>
    <w:p>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第十一条  通知与送达</w:t>
      </w:r>
    </w:p>
    <w:p>
      <w:pPr>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本合同有关的通知、文件等均须采用书面形式发出，并通过快递或专人送至本合同首页载明的通讯地址。快递寄出第三日（无论对方签收与否）与对方签收日中较早的日期视为已送达日期。一方的地址如发生变更，应于变更后七天内通知对方，未通知或延迟通知的，由其承担法律后果。</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b/>
          <w:sz w:val="21"/>
          <w:szCs w:val="21"/>
        </w:rPr>
      </w:pPr>
      <w:r>
        <w:rPr>
          <w:rStyle w:val="42"/>
          <w:rFonts w:hint="eastAsia" w:ascii="宋体" w:hAnsi="宋体" w:eastAsia="宋体" w:cs="宋体"/>
          <w:b/>
          <w:sz w:val="21"/>
          <w:szCs w:val="21"/>
          <w:lang w:eastAsia="zh-CN"/>
        </w:rPr>
        <w:t>第</w:t>
      </w:r>
      <w:r>
        <w:rPr>
          <w:rStyle w:val="42"/>
          <w:rFonts w:hint="eastAsia" w:ascii="宋体" w:hAnsi="宋体" w:eastAsia="宋体" w:cs="宋体"/>
          <w:b/>
          <w:sz w:val="21"/>
          <w:szCs w:val="21"/>
        </w:rPr>
        <w:t>十</w:t>
      </w:r>
      <w:r>
        <w:rPr>
          <w:rStyle w:val="42"/>
          <w:rFonts w:hint="eastAsia" w:ascii="宋体" w:hAnsi="宋体" w:eastAsia="宋体" w:cs="宋体"/>
          <w:b/>
          <w:sz w:val="21"/>
          <w:szCs w:val="21"/>
          <w:lang w:eastAsia="zh-CN"/>
        </w:rPr>
        <w:t>二条</w:t>
      </w:r>
      <w:r>
        <w:rPr>
          <w:rStyle w:val="42"/>
          <w:rFonts w:hint="eastAsia" w:ascii="宋体" w:hAnsi="宋体" w:eastAsia="宋体" w:cs="宋体"/>
          <w:b/>
          <w:sz w:val="21"/>
          <w:szCs w:val="21"/>
          <w:lang w:val="en-US" w:eastAsia="zh-CN"/>
        </w:rPr>
        <w:t xml:space="preserve">  </w:t>
      </w:r>
      <w:r>
        <w:rPr>
          <w:rStyle w:val="42"/>
          <w:rFonts w:hint="eastAsia" w:ascii="宋体" w:hAnsi="宋体" w:eastAsia="宋体" w:cs="宋体"/>
          <w:b/>
          <w:sz w:val="21"/>
          <w:szCs w:val="21"/>
        </w:rPr>
        <w:t>其他</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（一）</w:t>
      </w:r>
      <w:r>
        <w:rPr>
          <w:rFonts w:hint="eastAsia" w:ascii="宋体" w:hAnsi="宋体" w:eastAsia="宋体" w:cs="宋体"/>
          <w:sz w:val="21"/>
          <w:szCs w:val="21"/>
          <w:lang w:eastAsia="zh-CN"/>
        </w:rPr>
        <w:t>本合同经双方</w:t>
      </w:r>
      <w:r>
        <w:rPr>
          <w:rFonts w:hint="eastAsia" w:cs="宋体"/>
          <w:sz w:val="21"/>
          <w:szCs w:val="21"/>
          <w:lang w:eastAsia="zh-CN"/>
        </w:rPr>
        <w:t>法定代表人/负责人</w:t>
      </w:r>
      <w:r>
        <w:rPr>
          <w:rFonts w:hint="eastAsia" w:ascii="宋体" w:hAnsi="宋体" w:eastAsia="宋体" w:cs="宋体"/>
          <w:sz w:val="21"/>
          <w:szCs w:val="21"/>
          <w:lang w:eastAsia="zh-CN"/>
        </w:rPr>
        <w:t>或授权代理人签字并盖章之日起生效</w:t>
      </w:r>
      <w:r>
        <w:rPr>
          <w:rStyle w:val="42"/>
          <w:rFonts w:hint="eastAsia" w:ascii="宋体" w:hAnsi="宋体" w:eastAsia="宋体" w:cs="宋体"/>
          <w:sz w:val="21"/>
          <w:szCs w:val="21"/>
        </w:rPr>
        <w:t>。</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（二）</w:t>
      </w:r>
      <w:r>
        <w:rPr>
          <w:rFonts w:hint="eastAsia" w:ascii="宋体" w:hAnsi="宋体" w:eastAsia="宋体" w:cs="宋体"/>
          <w:sz w:val="21"/>
          <w:szCs w:val="21"/>
          <w:lang w:eastAsia="zh-CN"/>
        </w:rPr>
        <w:t>本合同共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肆</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贰</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份，具有同等法律效力</w:t>
      </w:r>
      <w:r>
        <w:rPr>
          <w:rStyle w:val="42"/>
          <w:rFonts w:hint="eastAsia" w:ascii="宋体" w:hAnsi="宋体" w:eastAsia="宋体" w:cs="宋体"/>
          <w:sz w:val="21"/>
          <w:szCs w:val="21"/>
        </w:rPr>
        <w:t>。</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rPr>
      </w:pPr>
      <w:r>
        <w:rPr>
          <w:rStyle w:val="42"/>
          <w:rFonts w:hint="eastAsia" w:ascii="宋体" w:hAnsi="宋体" w:eastAsia="宋体" w:cs="宋体"/>
          <w:sz w:val="21"/>
          <w:szCs w:val="21"/>
          <w:lang w:eastAsia="zh-CN"/>
        </w:rPr>
        <w:t>（三）在执行本合同的过程中，所有经双方签署确认的文件（包括会议纪要、补充协议、往来信函）即成为本合同的有效组成部分。本合同未尽事宜或任何一方就本合同的任何条款要求修改，须由双方签订书面补充协议。补充协议是本合同的组成部分，与本合同具有同等法律效力，不一致之处以补充协议为准。</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eastAsia="zh-CN"/>
        </w:rPr>
        <w:t>（四）</w:t>
      </w:r>
      <w:r>
        <w:rPr>
          <w:rStyle w:val="42"/>
          <w:rFonts w:hint="eastAsia" w:ascii="宋体" w:hAnsi="宋体" w:eastAsia="宋体" w:cs="宋体"/>
          <w:sz w:val="21"/>
          <w:szCs w:val="21"/>
        </w:rPr>
        <w:t>以下附件均为本合同组成部分，与本合同具有同等法律效力。</w:t>
      </w:r>
      <w:r>
        <w:rPr>
          <w:rStyle w:val="42"/>
          <w:rFonts w:hint="eastAsia" w:ascii="宋体" w:hAnsi="宋体" w:eastAsia="宋体" w:cs="宋体"/>
          <w:sz w:val="21"/>
          <w:szCs w:val="21"/>
          <w:lang w:eastAsia="zh-CN"/>
        </w:rPr>
        <w:t>附件有：</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default" w:ascii="宋体" w:hAnsi="宋体" w:eastAsia="宋体" w:cs="宋体"/>
          <w:sz w:val="21"/>
          <w:szCs w:val="21"/>
          <w:highlight w:val="none"/>
          <w:lang w:val="en-US" w:eastAsia="zh-CN"/>
        </w:rPr>
      </w:pPr>
      <w:r>
        <w:rPr>
          <w:rStyle w:val="42"/>
          <w:rFonts w:hint="eastAsia" w:ascii="宋体" w:hAnsi="宋体" w:eastAsia="宋体" w:cs="宋体"/>
          <w:sz w:val="21"/>
          <w:szCs w:val="21"/>
          <w:highlight w:val="none"/>
          <w:lang w:val="en-US" w:eastAsia="zh-CN"/>
        </w:rPr>
        <w:t>1、附件一：</w:t>
      </w:r>
      <w:r>
        <w:rPr>
          <w:rStyle w:val="42"/>
          <w:rFonts w:hint="eastAsia" w:cs="宋体"/>
          <w:sz w:val="21"/>
          <w:szCs w:val="21"/>
          <w:highlight w:val="none"/>
          <w:lang w:val="en-US" w:eastAsia="zh-CN"/>
        </w:rPr>
        <w:t>年度供应商的使用及管理原则</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highlight w:val="none"/>
          <w:lang w:val="en-US" w:eastAsia="zh-CN"/>
        </w:rPr>
      </w:pPr>
      <w:r>
        <w:rPr>
          <w:rStyle w:val="42"/>
          <w:rFonts w:hint="eastAsia" w:cs="宋体"/>
          <w:sz w:val="21"/>
          <w:szCs w:val="21"/>
          <w:highlight w:val="none"/>
          <w:lang w:val="en-US" w:eastAsia="zh-CN"/>
        </w:rPr>
        <w:t>2</w:t>
      </w:r>
      <w:r>
        <w:rPr>
          <w:rStyle w:val="42"/>
          <w:rFonts w:hint="eastAsia" w:ascii="宋体" w:hAnsi="宋体" w:eastAsia="宋体" w:cs="宋体"/>
          <w:sz w:val="21"/>
          <w:szCs w:val="21"/>
          <w:highlight w:val="none"/>
          <w:lang w:val="en-US" w:eastAsia="zh-CN"/>
        </w:rPr>
        <w:t>、附件</w:t>
      </w:r>
      <w:r>
        <w:rPr>
          <w:rStyle w:val="42"/>
          <w:rFonts w:hint="eastAsia" w:cs="宋体"/>
          <w:sz w:val="21"/>
          <w:szCs w:val="21"/>
          <w:highlight w:val="none"/>
          <w:lang w:val="en-US" w:eastAsia="zh-CN"/>
        </w:rPr>
        <w:t>二</w:t>
      </w:r>
      <w:r>
        <w:rPr>
          <w:rStyle w:val="42"/>
          <w:rFonts w:hint="eastAsia" w:ascii="宋体" w:hAnsi="宋体" w:eastAsia="宋体" w:cs="宋体"/>
          <w:sz w:val="21"/>
          <w:szCs w:val="21"/>
          <w:highlight w:val="none"/>
          <w:lang w:val="en-US" w:eastAsia="zh-CN"/>
        </w:rPr>
        <w:t>：项目履约考核评分表</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default" w:ascii="宋体" w:hAnsi="宋体" w:eastAsia="宋体" w:cs="宋体"/>
          <w:sz w:val="21"/>
          <w:szCs w:val="21"/>
          <w:highlight w:val="none"/>
          <w:lang w:val="en-US" w:eastAsia="zh-CN"/>
        </w:rPr>
      </w:pPr>
      <w:r>
        <w:rPr>
          <w:rStyle w:val="42"/>
          <w:rFonts w:hint="eastAsia" w:cs="宋体"/>
          <w:sz w:val="21"/>
          <w:szCs w:val="21"/>
          <w:highlight w:val="none"/>
          <w:lang w:val="en-US" w:eastAsia="zh-CN"/>
        </w:rPr>
        <w:t>3、</w:t>
      </w:r>
      <w:r>
        <w:rPr>
          <w:rStyle w:val="42"/>
          <w:rFonts w:hint="eastAsia" w:ascii="宋体" w:hAnsi="宋体" w:eastAsia="宋体" w:cs="宋体"/>
          <w:sz w:val="21"/>
          <w:szCs w:val="21"/>
          <w:highlight w:val="none"/>
          <w:lang w:val="en-US" w:eastAsia="zh-CN"/>
        </w:rPr>
        <w:t>附件</w:t>
      </w:r>
      <w:r>
        <w:rPr>
          <w:rStyle w:val="42"/>
          <w:rFonts w:hint="eastAsia" w:cs="宋体"/>
          <w:sz w:val="21"/>
          <w:szCs w:val="21"/>
          <w:highlight w:val="none"/>
          <w:lang w:val="en-US" w:eastAsia="zh-CN"/>
        </w:rPr>
        <w:t>三</w:t>
      </w:r>
      <w:r>
        <w:rPr>
          <w:rStyle w:val="42"/>
          <w:rFonts w:hint="eastAsia" w:ascii="宋体" w:hAnsi="宋体" w:eastAsia="宋体" w:cs="宋体"/>
          <w:sz w:val="21"/>
          <w:szCs w:val="21"/>
          <w:highlight w:val="none"/>
          <w:lang w:val="en-US" w:eastAsia="zh-CN"/>
        </w:rPr>
        <w:t>：</w:t>
      </w:r>
      <w:r>
        <w:rPr>
          <w:rStyle w:val="42"/>
          <w:rFonts w:hint="eastAsia" w:cs="宋体"/>
          <w:sz w:val="21"/>
          <w:szCs w:val="21"/>
          <w:highlight w:val="none"/>
          <w:lang w:val="en-US" w:eastAsia="zh-CN"/>
        </w:rPr>
        <w:t>廉政责任书</w:t>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【以下无正文】</w:t>
      </w:r>
    </w:p>
    <w:p>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sz w:val="21"/>
          <w:szCs w:val="21"/>
          <w:shd w:val="clear" w:color="auto" w:fill="FFFFFF"/>
        </w:rPr>
      </w:pPr>
    </w:p>
    <w:p>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sz w:val="21"/>
          <w:szCs w:val="21"/>
          <w:shd w:val="clear" w:color="auto" w:fill="FFFFFF"/>
        </w:rPr>
      </w:pPr>
    </w:p>
    <w:p>
      <w:pPr>
        <w:snapToGrid w:val="0"/>
        <w:spacing w:line="360" w:lineRule="auto"/>
        <w:ind w:firstLine="0" w:firstLineChars="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甲方（盖章）：</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乙方（盖章）：</w:t>
      </w:r>
    </w:p>
    <w:p>
      <w:pPr>
        <w:pStyle w:val="2"/>
        <w:rPr>
          <w:rFonts w:hint="eastAsia" w:ascii="宋体" w:hAnsi="宋体" w:eastAsia="宋体" w:cs="宋体"/>
          <w:szCs w:val="21"/>
        </w:rPr>
      </w:pPr>
    </w:p>
    <w:p>
      <w:pPr>
        <w:snapToGrid w:val="0"/>
        <w:spacing w:line="360" w:lineRule="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法人（授权）代表签字：    </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xml:space="preserve">  法人（授权）代表签字：     </w:t>
      </w:r>
    </w:p>
    <w:p>
      <w:pPr>
        <w:snapToGrid w:val="0"/>
        <w:spacing w:line="360" w:lineRule="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p>
    <w:p>
      <w:pPr>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日</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rPr>
        <w:t xml:space="preserve">    </w:t>
      </w:r>
      <w:r>
        <w:rPr>
          <w:rFonts w:hint="eastAsia" w:ascii="宋体" w:hAnsi="宋体" w:eastAsia="宋体" w:cs="宋体"/>
          <w:sz w:val="21"/>
          <w:szCs w:val="21"/>
          <w:shd w:val="clear" w:color="auto" w:fill="FFFFFF"/>
        </w:rPr>
        <w:t>日</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p>
    <w:p>
      <w:pPr>
        <w:rPr>
          <w:rFonts w:hint="eastAsia"/>
          <w:b/>
          <w:bCs/>
          <w:sz w:val="21"/>
          <w:szCs w:val="21"/>
          <w:lang w:val="en-US" w:eastAsia="zh-CN"/>
        </w:rPr>
      </w:pPr>
      <w:r>
        <w:rPr>
          <w:rFonts w:hint="eastAsia"/>
          <w:b/>
          <w:bCs/>
          <w:sz w:val="21"/>
          <w:szCs w:val="21"/>
          <w:lang w:val="en-US" w:eastAsia="zh-CN"/>
        </w:rPr>
        <w:br w:type="page"/>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eastAsia"/>
          <w:b/>
          <w:bCs/>
          <w:sz w:val="21"/>
          <w:szCs w:val="21"/>
          <w:lang w:val="en-US" w:eastAsia="zh-CN"/>
        </w:rPr>
      </w:pPr>
      <w:r>
        <w:rPr>
          <w:rFonts w:hint="eastAsia"/>
          <w:b/>
          <w:bCs/>
          <w:sz w:val="21"/>
          <w:szCs w:val="21"/>
          <w:lang w:val="en-US" w:eastAsia="zh-CN"/>
        </w:rPr>
        <w:t>附件一：年度供应商的使用及管理原则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2" w:firstLineChars="200"/>
        <w:jc w:val="center"/>
        <w:textAlignment w:val="auto"/>
        <w:rPr>
          <w:rStyle w:val="42"/>
          <w:rFonts w:hint="eastAsia" w:ascii="宋体" w:hAnsi="宋体" w:eastAsia="宋体" w:cs="宋体"/>
          <w:sz w:val="21"/>
          <w:szCs w:val="21"/>
          <w:lang w:eastAsia="zh-CN"/>
        </w:rPr>
      </w:pPr>
      <w:r>
        <w:rPr>
          <w:rStyle w:val="42"/>
          <w:rFonts w:hint="eastAsia" w:ascii="宋体" w:hAnsi="宋体" w:eastAsia="宋体" w:cs="宋体"/>
          <w:b/>
          <w:bCs/>
          <w:sz w:val="28"/>
          <w:szCs w:val="28"/>
          <w:lang w:eastAsia="zh-CN"/>
        </w:rPr>
        <w:t>年度供应商的使用及管理原则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val="en-US" w:eastAsia="zh-CN"/>
        </w:rPr>
        <w:t>（一）使用原则</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每个具体项目实施前，</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将明确所需设备的参数要求及数量，通知全部</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，并以书面形式向全部</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发送项目需求。</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需在规定时间内提供报价（含设备价格、安装调试费、税费等），报价不得高于</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设定的最高限价。</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可提供同等或更优配置的</w:t>
      </w:r>
      <w:r>
        <w:rPr>
          <w:rStyle w:val="42"/>
          <w:rFonts w:hint="eastAsia" w:cs="宋体"/>
          <w:sz w:val="21"/>
          <w:szCs w:val="21"/>
          <w:lang w:val="en-US" w:eastAsia="zh-CN"/>
        </w:rPr>
        <w:t>设备参数</w:t>
      </w:r>
      <w:r>
        <w:rPr>
          <w:rStyle w:val="42"/>
          <w:rFonts w:hint="eastAsia" w:ascii="宋体" w:hAnsi="宋体" w:eastAsia="宋体" w:cs="宋体"/>
          <w:sz w:val="21"/>
          <w:szCs w:val="21"/>
          <w:lang w:val="en-US" w:eastAsia="zh-CN"/>
        </w:rPr>
        <w:t>，但须在报价时附详细技术对比说明，经</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确认后方可视为有效报价。</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依照南方报业传媒集团</w:t>
      </w:r>
      <w:r>
        <w:rPr>
          <w:rFonts w:hint="eastAsia" w:cs="宋体"/>
          <w:color w:val="auto"/>
          <w:sz w:val="21"/>
          <w:szCs w:val="21"/>
          <w:highlight w:val="none"/>
          <w:lang w:val="en-US" w:eastAsia="zh-CN"/>
        </w:rPr>
        <w:t>（南方日报社）</w:t>
      </w:r>
      <w:r>
        <w:rPr>
          <w:rStyle w:val="42"/>
          <w:rFonts w:hint="eastAsia" w:ascii="宋体" w:hAnsi="宋体" w:eastAsia="宋体" w:cs="宋体"/>
          <w:sz w:val="21"/>
          <w:szCs w:val="21"/>
          <w:lang w:val="en-US" w:eastAsia="zh-CN"/>
        </w:rPr>
        <w:t>和广东南方日报经营有限公司有关管理规定，根据单个具体项目情况及供应商的报价，以最低报价确定该项目的实施单位，并签订项目合同。不满三家供应商响应报价的，</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在对项目材料作相应调整后，重新向全部</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发送项目需求，</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在规定时间内重新进行报价。若存在两次不满三家供应商响应报价的情况，</w:t>
      </w:r>
      <w:r>
        <w:rPr>
          <w:rStyle w:val="42"/>
          <w:rFonts w:hint="eastAsia" w:cs="宋体"/>
          <w:sz w:val="21"/>
          <w:szCs w:val="21"/>
          <w:lang w:val="en-US" w:eastAsia="zh-CN"/>
        </w:rPr>
        <w:t>甲方</w:t>
      </w:r>
      <w:r>
        <w:rPr>
          <w:rStyle w:val="42"/>
          <w:rFonts w:hint="eastAsia" w:ascii="宋体" w:hAnsi="宋体" w:eastAsia="宋体" w:cs="宋体"/>
          <w:sz w:val="21"/>
          <w:szCs w:val="21"/>
          <w:lang w:val="en-US" w:eastAsia="zh-CN"/>
        </w:rPr>
        <w:t>可针对单个实施项目采用其他方式进行采购。</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val="en-US" w:eastAsia="zh-CN"/>
        </w:rPr>
      </w:pPr>
      <w:r>
        <w:rPr>
          <w:rStyle w:val="42"/>
          <w:rFonts w:hint="eastAsia" w:ascii="宋体" w:hAnsi="宋体" w:eastAsia="宋体" w:cs="宋体"/>
          <w:sz w:val="21"/>
          <w:szCs w:val="21"/>
          <w:lang w:val="en-US" w:eastAsia="zh-CN"/>
        </w:rPr>
        <w:t>若遇展陈项目存在特殊需求，或项目需求超出多媒体硬件</w:t>
      </w:r>
      <w:r>
        <w:rPr>
          <w:rStyle w:val="42"/>
          <w:rFonts w:hint="eastAsia" w:cs="宋体"/>
          <w:sz w:val="21"/>
          <w:szCs w:val="21"/>
          <w:lang w:val="en-US" w:eastAsia="zh-CN"/>
        </w:rPr>
        <w:t>供应商</w:t>
      </w:r>
      <w:r>
        <w:rPr>
          <w:rStyle w:val="42"/>
          <w:rFonts w:hint="eastAsia" w:ascii="宋体" w:hAnsi="宋体" w:eastAsia="宋体" w:cs="宋体"/>
          <w:sz w:val="21"/>
          <w:szCs w:val="21"/>
          <w:lang w:val="en-US" w:eastAsia="zh-CN"/>
        </w:rPr>
        <w:t>的服务或供货范围，则拟单独立项获批后另行采购符合条件的供应商。</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Style w:val="42"/>
          <w:rFonts w:hint="eastAsia" w:ascii="宋体" w:hAnsi="宋体" w:eastAsia="宋体" w:cs="宋体"/>
          <w:sz w:val="21"/>
          <w:szCs w:val="21"/>
          <w:lang w:eastAsia="zh-CN"/>
        </w:rPr>
      </w:pPr>
      <w:r>
        <w:rPr>
          <w:rStyle w:val="42"/>
          <w:rFonts w:hint="eastAsia" w:ascii="宋体" w:hAnsi="宋体" w:eastAsia="宋体" w:cs="宋体"/>
          <w:sz w:val="21"/>
          <w:szCs w:val="21"/>
          <w:lang w:val="en-US" w:eastAsia="zh-CN"/>
        </w:rPr>
        <w:t>（二）管理原则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年度供应商合作期自合同签订之日起一年。服务期满后，根据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履约评价结果，经</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同意后可再续期一年，累计不超过2年。合作期内，</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将根据实际情况对年度供应商进行评价考核和动态管理。部分细则如下：</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1、每个具体项目实施前，</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以书面形式向可参与报价的全部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发送项目需求。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的具体项目需求，在规定时间内以书面形式进行响应报价，如不响应则记一次“不参与项目”。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发出的项目采购需求原则上均设定项目最高限价，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的报价不得超过</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设定的最高限价，否则视为无效报价。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提供无效报价的，记为一次“不参与项目”。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累计 3 次“不参与项目”，则直接解除合作，取消其年度供应商资格。被取消资格的年度供应商2年内不得参与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 xml:space="preserve">的同类项目投标。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4、为加强</w:t>
      </w:r>
      <w:r>
        <w:rPr>
          <w:rFonts w:hint="eastAsia" w:ascii="宋体" w:hAnsi="宋体" w:cs="宋体"/>
          <w:szCs w:val="24"/>
          <w:lang w:val="en-US" w:eastAsia="zh-CN"/>
        </w:rPr>
        <w:t>展陈多媒体硬件</w:t>
      </w:r>
      <w:r>
        <w:rPr>
          <w:rFonts w:hint="eastAsia" w:ascii="宋体" w:hAnsi="宋体" w:eastAsia="宋体" w:cs="宋体"/>
          <w:color w:val="auto"/>
          <w:sz w:val="21"/>
          <w:szCs w:val="21"/>
          <w:highlight w:val="none"/>
          <w:lang w:val="en-US" w:eastAsia="zh-CN"/>
        </w:rPr>
        <w:t>年度</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的管理，</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将拟定</w:t>
      </w:r>
      <w:r>
        <w:rPr>
          <w:rFonts w:hint="eastAsia" w:ascii="宋体" w:hAnsi="宋体" w:cs="宋体"/>
          <w:szCs w:val="24"/>
          <w:lang w:val="en-US" w:eastAsia="zh-CN"/>
        </w:rPr>
        <w:t>展陈多媒体硬件</w:t>
      </w:r>
      <w:r>
        <w:rPr>
          <w:rFonts w:hint="eastAsia" w:ascii="宋体" w:hAnsi="宋体" w:eastAsia="宋体" w:cs="宋体"/>
          <w:color w:val="auto"/>
          <w:sz w:val="21"/>
          <w:szCs w:val="21"/>
          <w:highlight w:val="none"/>
          <w:lang w:val="en-US" w:eastAsia="zh-CN"/>
        </w:rPr>
        <w:t>年度</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管理规定。在具体项目完成后，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将对照供应商管理规定，对具体项目实施供应商重点考核设备到货及时性、</w:t>
      </w:r>
      <w:r>
        <w:rPr>
          <w:rFonts w:hint="eastAsia" w:ascii="宋体" w:hAnsi="宋体" w:cs="宋体"/>
          <w:color w:val="auto"/>
          <w:sz w:val="21"/>
          <w:szCs w:val="21"/>
          <w:highlight w:val="none"/>
          <w:lang w:val="en-US" w:eastAsia="zh-CN"/>
        </w:rPr>
        <w:t>服务人员专业性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进度管理情况</w:t>
      </w:r>
      <w:r>
        <w:rPr>
          <w:rFonts w:hint="eastAsia" w:ascii="宋体" w:hAnsi="宋体" w:eastAsia="宋体" w:cs="宋体"/>
          <w:color w:val="auto"/>
          <w:sz w:val="21"/>
          <w:szCs w:val="21"/>
          <w:highlight w:val="none"/>
          <w:lang w:val="en-US" w:eastAsia="zh-CN"/>
        </w:rPr>
        <w:t>及</w:t>
      </w:r>
      <w:r>
        <w:rPr>
          <w:rFonts w:hint="eastAsia"/>
          <w:sz w:val="21"/>
          <w:szCs w:val="21"/>
          <w:vertAlign w:val="baseline"/>
          <w:lang w:val="en-US" w:eastAsia="zh-CN"/>
        </w:rPr>
        <w:t>响应速度与配合度</w:t>
      </w:r>
      <w:r>
        <w:rPr>
          <w:rFonts w:hint="eastAsia" w:ascii="宋体" w:hAnsi="宋体" w:eastAsia="宋体" w:cs="宋体"/>
          <w:color w:val="auto"/>
          <w:sz w:val="21"/>
          <w:szCs w:val="21"/>
          <w:highlight w:val="none"/>
          <w:lang w:val="en-US" w:eastAsia="zh-CN"/>
        </w:rPr>
        <w:t>等方面的履约情况进行相应履约评价。评价考核得分低于</w:t>
      </w:r>
      <w:r>
        <w:rPr>
          <w:rFonts w:hint="eastAsia" w:ascii="宋体" w:hAnsi="宋体" w:cs="宋体"/>
          <w:color w:val="auto"/>
          <w:sz w:val="21"/>
          <w:szCs w:val="21"/>
          <w:highlight w:val="none"/>
          <w:lang w:val="en-US" w:eastAsia="zh-CN"/>
        </w:rPr>
        <w:t>80分的，暂停参与一次项目的报价资格，评价考核低于</w:t>
      </w:r>
      <w:r>
        <w:rPr>
          <w:rFonts w:hint="eastAsia" w:ascii="宋体" w:hAnsi="宋体" w:eastAsia="宋体" w:cs="宋体"/>
          <w:color w:val="auto"/>
          <w:sz w:val="21"/>
          <w:szCs w:val="21"/>
          <w:highlight w:val="none"/>
          <w:lang w:val="en-US" w:eastAsia="zh-CN"/>
        </w:rPr>
        <w:t>60分的，取消其后续具体项目的参与资格。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5、当服务期内可参与报价的年度供应商数量少于3家时，</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将重新启动招标增补供应商或采取其他方式开展工作。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default" w:eastAsia="宋体"/>
          <w:b/>
          <w:bCs/>
          <w:sz w:val="21"/>
          <w:szCs w:val="21"/>
          <w:lang w:val="en-US" w:eastAsia="zh-CN"/>
        </w:rPr>
      </w:pPr>
      <w:r>
        <w:rPr>
          <w:rFonts w:hint="eastAsia"/>
          <w:b/>
          <w:bCs/>
          <w:sz w:val="21"/>
          <w:szCs w:val="21"/>
          <w:lang w:val="en-US" w:eastAsia="zh-CN"/>
        </w:rPr>
        <w:t>附件二：项目履约考核评分表</w:t>
      </w:r>
    </w:p>
    <w:p>
      <w:pPr>
        <w:jc w:val="center"/>
        <w:rPr>
          <w:rFonts w:hint="eastAsia"/>
          <w:b/>
          <w:bCs/>
          <w:sz w:val="28"/>
          <w:szCs w:val="28"/>
        </w:rPr>
      </w:pPr>
      <w:r>
        <w:rPr>
          <w:rFonts w:hint="eastAsia"/>
          <w:b/>
          <w:bCs/>
          <w:sz w:val="28"/>
          <w:szCs w:val="28"/>
          <w:lang w:val="en-US" w:eastAsia="zh-CN"/>
        </w:rPr>
        <w:t>多媒体</w:t>
      </w:r>
      <w:r>
        <w:rPr>
          <w:rFonts w:hint="eastAsia"/>
          <w:b/>
          <w:bCs/>
          <w:sz w:val="28"/>
          <w:szCs w:val="28"/>
        </w:rPr>
        <w:t>项目履约考核评分表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186"/>
        <w:gridCol w:w="2053"/>
        <w:gridCol w:w="1374"/>
        <w:gridCol w:w="1294"/>
        <w:gridCol w:w="1033"/>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8414" w:type="dxa"/>
            <w:gridSpan w:val="6"/>
            <w:vAlign w:val="center"/>
          </w:tcPr>
          <w:p>
            <w:pPr>
              <w:jc w:val="left"/>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0"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供应商</w:t>
            </w:r>
          </w:p>
        </w:tc>
        <w:tc>
          <w:tcPr>
            <w:tcW w:w="8414" w:type="dxa"/>
            <w:gridSpan w:val="6"/>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0"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开工时间</w:t>
            </w:r>
          </w:p>
        </w:tc>
        <w:tc>
          <w:tcPr>
            <w:tcW w:w="3461" w:type="dxa"/>
            <w:gridSpan w:val="2"/>
            <w:vAlign w:val="center"/>
          </w:tcPr>
          <w:p>
            <w:pPr>
              <w:wordWrap w:val="0"/>
              <w:jc w:val="left"/>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 xml:space="preserve">年  月  日  </w:t>
            </w:r>
          </w:p>
        </w:tc>
        <w:tc>
          <w:tcPr>
            <w:tcW w:w="1443" w:type="dxa"/>
            <w:vAlign w:val="center"/>
          </w:tcPr>
          <w:p>
            <w:pPr>
              <w:jc w:val="left"/>
              <w:rPr>
                <w:rFonts w:hint="eastAsia"/>
                <w:sz w:val="21"/>
                <w:szCs w:val="21"/>
                <w:vertAlign w:val="baseline"/>
                <w:lang w:val="en-US" w:eastAsia="zh-CN"/>
              </w:rPr>
            </w:pPr>
            <w:r>
              <w:rPr>
                <w:rFonts w:hint="eastAsia"/>
                <w:b/>
                <w:bCs/>
                <w:sz w:val="21"/>
                <w:szCs w:val="21"/>
                <w:vertAlign w:val="baseline"/>
                <w:lang w:val="en-US" w:eastAsia="zh-CN"/>
              </w:rPr>
              <w:t>完工时间</w:t>
            </w:r>
          </w:p>
        </w:tc>
        <w:tc>
          <w:tcPr>
            <w:tcW w:w="3510" w:type="dxa"/>
            <w:gridSpan w:val="3"/>
            <w:vAlign w:val="center"/>
          </w:tcPr>
          <w:p>
            <w:pPr>
              <w:wordWrap w:val="0"/>
              <w:jc w:val="left"/>
              <w:rPr>
                <w:rFonts w:hint="default"/>
                <w:sz w:val="21"/>
                <w:szCs w:val="21"/>
                <w:vertAlign w:val="baseline"/>
                <w:lang w:val="en-US" w:eastAsia="zh-CN"/>
              </w:rPr>
            </w:pPr>
            <w:r>
              <w:rPr>
                <w:rFonts w:hint="eastAsia"/>
                <w:sz w:val="21"/>
                <w:szCs w:val="21"/>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4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评价内容</w:t>
            </w:r>
          </w:p>
        </w:tc>
        <w:tc>
          <w:tcPr>
            <w:tcW w:w="1246"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分值</w:t>
            </w:r>
          </w:p>
        </w:tc>
        <w:tc>
          <w:tcPr>
            <w:tcW w:w="5054" w:type="dxa"/>
            <w:gridSpan w:val="3"/>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评分标准</w:t>
            </w:r>
          </w:p>
        </w:tc>
        <w:tc>
          <w:tcPr>
            <w:tcW w:w="1085"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得分</w:t>
            </w:r>
          </w:p>
        </w:tc>
        <w:tc>
          <w:tcPr>
            <w:tcW w:w="1029"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pStyle w:val="8"/>
              <w:keepNext w:val="0"/>
              <w:keepLines w:val="0"/>
              <w:widowControl/>
              <w:suppressLineNumbers w:val="0"/>
              <w:shd w:val="clear" w:fill="FFFFFF"/>
              <w:spacing w:before="240" w:beforeAutospacing="0" w:after="240" w:afterAutospacing="0" w:line="420" w:lineRule="atLeast"/>
              <w:ind w:left="0" w:right="0" w:firstLine="0"/>
              <w:rPr>
                <w:rFonts w:hint="default"/>
                <w:sz w:val="21"/>
                <w:szCs w:val="21"/>
                <w:vertAlign w:val="baseline"/>
                <w:lang w:val="en-US" w:eastAsia="zh-CN"/>
              </w:rPr>
            </w:pPr>
            <w:r>
              <w:rPr>
                <w:rFonts w:hint="default" w:ascii="Times New Roman" w:hAnsi="Times New Roman" w:eastAsia="宋体" w:cs="Times New Roman"/>
                <w:b w:val="0"/>
                <w:bCs w:val="0"/>
                <w:kern w:val="2"/>
                <w:sz w:val="21"/>
                <w:szCs w:val="21"/>
                <w:vertAlign w:val="baseline"/>
                <w:lang w:val="en-US" w:eastAsia="zh-CN" w:bidi="ar-SA"/>
              </w:rPr>
              <w:t> 设备到货及时性</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5054" w:type="dxa"/>
            <w:gridSpan w:val="3"/>
            <w:vAlign w:val="center"/>
          </w:tcPr>
          <w:p>
            <w:pPr>
              <w:jc w:val="both"/>
              <w:rPr>
                <w:rFonts w:hint="default"/>
                <w:sz w:val="21"/>
                <w:szCs w:val="21"/>
                <w:vertAlign w:val="baseline"/>
                <w:lang w:val="en-US" w:eastAsia="zh-CN"/>
              </w:rPr>
            </w:pPr>
            <w:r>
              <w:rPr>
                <w:rFonts w:hint="eastAsia"/>
                <w:sz w:val="21"/>
                <w:szCs w:val="21"/>
                <w:vertAlign w:val="baseline"/>
                <w:lang w:val="en-US" w:eastAsia="zh-CN"/>
              </w:rPr>
              <w:t>优（＞24分），良（＞18分），中（＞12分），差（＞6分），很差（≥0分）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pStyle w:val="8"/>
              <w:keepNext w:val="0"/>
              <w:keepLines w:val="0"/>
              <w:widowControl/>
              <w:suppressLineNumbers w:val="0"/>
              <w:shd w:val="clear" w:fill="FFFFFF"/>
              <w:spacing w:before="240" w:beforeAutospacing="0" w:after="240" w:afterAutospacing="0" w:line="420" w:lineRule="atLeast"/>
              <w:ind w:left="0" w:right="0" w:firstLine="0"/>
              <w:jc w:val="left"/>
              <w:rPr>
                <w:rFonts w:hint="default"/>
                <w:sz w:val="21"/>
                <w:szCs w:val="21"/>
                <w:vertAlign w:val="baseline"/>
                <w:lang w:val="en-US" w:eastAsia="zh-CN"/>
              </w:rPr>
            </w:pPr>
            <w:r>
              <w:rPr>
                <w:rFonts w:hint="default" w:ascii="Times New Roman" w:hAnsi="Times New Roman" w:eastAsia="宋体" w:cs="Times New Roman"/>
                <w:b w:val="0"/>
                <w:bCs w:val="0"/>
                <w:kern w:val="2"/>
                <w:sz w:val="21"/>
                <w:szCs w:val="21"/>
                <w:vertAlign w:val="baseline"/>
                <w:lang w:val="en-US" w:eastAsia="zh-CN" w:bidi="ar-SA"/>
              </w:rPr>
              <w:t>服务人员专业性</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30</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优（＞24分），良（＞18分），中（＞12分），差（＞6分），很差（≥0分）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进度管理</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优（＞16分），良（＞12分），中（＞8分），差（＞4分），很差（≥0分）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0" w:type="dxa"/>
            <w:vAlign w:val="center"/>
          </w:tcPr>
          <w:p>
            <w:pPr>
              <w:pStyle w:val="8"/>
              <w:keepNext w:val="0"/>
              <w:keepLines w:val="0"/>
              <w:widowControl/>
              <w:suppressLineNumbers w:val="0"/>
              <w:shd w:val="clear" w:fill="FFFFFF"/>
              <w:spacing w:before="240" w:beforeAutospacing="0" w:after="240" w:afterAutospacing="0" w:line="420" w:lineRule="atLeast"/>
              <w:ind w:left="0" w:right="0" w:firstLine="0"/>
              <w:jc w:val="left"/>
              <w:rPr>
                <w:rFonts w:hint="default"/>
                <w:sz w:val="21"/>
                <w:szCs w:val="21"/>
                <w:vertAlign w:val="baseline"/>
                <w:lang w:val="en-US" w:eastAsia="zh-CN"/>
              </w:rPr>
            </w:pPr>
            <w:r>
              <w:rPr>
                <w:rFonts w:hint="default" w:ascii="Times New Roman" w:hAnsi="Times New Roman" w:eastAsia="宋体" w:cs="Times New Roman"/>
                <w:b w:val="0"/>
                <w:bCs w:val="0"/>
                <w:kern w:val="2"/>
                <w:sz w:val="21"/>
                <w:szCs w:val="21"/>
                <w:vertAlign w:val="baseline"/>
                <w:lang w:val="en-US" w:eastAsia="zh-CN" w:bidi="ar-SA"/>
              </w:rPr>
              <w:t>响应速度与配合度</w:t>
            </w:r>
          </w:p>
        </w:tc>
        <w:tc>
          <w:tcPr>
            <w:tcW w:w="124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20</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优（＞16分），良（＞12分），中（＞8分），差（＞4分），很差（≥0分）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减分项</w:t>
            </w:r>
          </w:p>
        </w:tc>
        <w:tc>
          <w:tcPr>
            <w:tcW w:w="124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－5/次</w:t>
            </w:r>
          </w:p>
        </w:tc>
        <w:tc>
          <w:tcPr>
            <w:tcW w:w="5054" w:type="dxa"/>
            <w:gridSpan w:val="3"/>
            <w:vAlign w:val="center"/>
          </w:tcPr>
          <w:p>
            <w:pPr>
              <w:jc w:val="both"/>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项目执行过程中，如若收到项目业主方、监理方的书面投诉，一次扣减5分。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重大失误</w:t>
            </w:r>
          </w:p>
        </w:tc>
        <w:tc>
          <w:tcPr>
            <w:tcW w:w="124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－10≤－30/次</w:t>
            </w:r>
          </w:p>
        </w:tc>
        <w:tc>
          <w:tcPr>
            <w:tcW w:w="5054" w:type="dxa"/>
            <w:gridSpan w:val="3"/>
            <w:vAlign w:val="center"/>
          </w:tcPr>
          <w:p>
            <w:pPr>
              <w:jc w:val="both"/>
              <w:rPr>
                <w:rFonts w:hint="eastAsia"/>
                <w:sz w:val="21"/>
                <w:szCs w:val="21"/>
                <w:vertAlign w:val="baseline"/>
                <w:lang w:val="en-US" w:eastAsia="zh-CN"/>
              </w:rPr>
            </w:pPr>
            <w:r>
              <w:rPr>
                <w:rFonts w:hint="eastAsia"/>
                <w:sz w:val="21"/>
                <w:szCs w:val="21"/>
                <w:vertAlign w:val="baseline"/>
                <w:lang w:val="en-US" w:eastAsia="zh-CN"/>
              </w:rPr>
              <w:t>因乙方失误，导致项目无法按时按质完成，并对甲方造成实际损失的，视损失大小，每次扣减10-30 分。</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一票否决</w:t>
            </w:r>
          </w:p>
        </w:tc>
        <w:tc>
          <w:tcPr>
            <w:tcW w:w="6300" w:type="dxa"/>
            <w:gridSpan w:val="4"/>
            <w:vAlign w:val="center"/>
          </w:tcPr>
          <w:p>
            <w:pPr>
              <w:jc w:val="center"/>
              <w:rPr>
                <w:rFonts w:hint="eastAsia"/>
                <w:sz w:val="21"/>
                <w:szCs w:val="21"/>
                <w:vertAlign w:val="baseline"/>
                <w:lang w:val="en-US" w:eastAsia="zh-CN"/>
              </w:rPr>
            </w:pPr>
            <w:r>
              <w:rPr>
                <w:rFonts w:hint="eastAsia"/>
                <w:sz w:val="21"/>
                <w:szCs w:val="21"/>
                <w:vertAlign w:val="baseline"/>
                <w:lang w:val="en-US" w:eastAsia="zh-CN"/>
              </w:rPr>
              <w:t>如乙方出现违反国家法律法规、廉政廉洁规定的情况，计0分，取消其年度供应商资格。</w:t>
            </w:r>
          </w:p>
        </w:tc>
        <w:tc>
          <w:tcPr>
            <w:tcW w:w="1085" w:type="dxa"/>
            <w:vAlign w:val="center"/>
          </w:tcPr>
          <w:p>
            <w:pPr>
              <w:jc w:val="left"/>
              <w:rPr>
                <w:rFonts w:hint="eastAsia"/>
                <w:sz w:val="21"/>
                <w:szCs w:val="21"/>
                <w:vertAlign w:val="baseline"/>
                <w:lang w:val="en-US" w:eastAsia="zh-CN"/>
              </w:rPr>
            </w:pPr>
          </w:p>
        </w:tc>
        <w:tc>
          <w:tcPr>
            <w:tcW w:w="1029" w:type="dxa"/>
            <w:vAlign w:val="center"/>
          </w:tcPr>
          <w:p>
            <w:pPr>
              <w:jc w:val="left"/>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740" w:type="dxa"/>
            <w:gridSpan w:val="5"/>
            <w:vAlign w:val="center"/>
          </w:tcPr>
          <w:p>
            <w:pPr>
              <w:jc w:val="center"/>
              <w:rPr>
                <w:rFonts w:hint="eastAsia"/>
                <w:sz w:val="21"/>
                <w:szCs w:val="21"/>
                <w:vertAlign w:val="baseline"/>
                <w:lang w:val="en-US" w:eastAsia="zh-CN"/>
              </w:rPr>
            </w:pPr>
            <w:r>
              <w:rPr>
                <w:rFonts w:hint="eastAsia"/>
                <w:b/>
                <w:bCs/>
                <w:sz w:val="21"/>
                <w:szCs w:val="21"/>
                <w:vertAlign w:val="baseline"/>
                <w:lang w:val="en-US" w:eastAsia="zh-CN"/>
              </w:rPr>
              <w:t>总分</w:t>
            </w:r>
          </w:p>
        </w:tc>
        <w:tc>
          <w:tcPr>
            <w:tcW w:w="1085" w:type="dxa"/>
            <w:vAlign w:val="center"/>
          </w:tcPr>
          <w:p>
            <w:pPr>
              <w:jc w:val="center"/>
              <w:rPr>
                <w:rFonts w:hint="eastAsia"/>
                <w:sz w:val="21"/>
                <w:szCs w:val="21"/>
                <w:vertAlign w:val="baseline"/>
                <w:lang w:val="en-US" w:eastAsia="zh-CN"/>
              </w:rPr>
            </w:pPr>
          </w:p>
        </w:tc>
        <w:tc>
          <w:tcPr>
            <w:tcW w:w="1029" w:type="dxa"/>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54" w:type="dxa"/>
            <w:gridSpan w:val="7"/>
            <w:vAlign w:val="center"/>
          </w:tcPr>
          <w:p>
            <w:pPr>
              <w:jc w:val="both"/>
              <w:rPr>
                <w:rFonts w:hint="eastAsia"/>
                <w:sz w:val="21"/>
                <w:szCs w:val="21"/>
                <w:vertAlign w:val="baseline"/>
                <w:lang w:val="en-US" w:eastAsia="zh-CN"/>
              </w:rPr>
            </w:pPr>
            <w:r>
              <w:rPr>
                <w:rFonts w:hint="eastAsia"/>
                <w:b/>
                <w:bCs/>
                <w:sz w:val="21"/>
                <w:szCs w:val="21"/>
                <w:vertAlign w:val="baseline"/>
                <w:lang w:val="en-US" w:eastAsia="zh-CN"/>
              </w:rPr>
              <w:t>评价人签名：</w:t>
            </w:r>
          </w:p>
        </w:tc>
      </w:tr>
    </w:tbl>
    <w:p/>
    <w:p>
      <w:pPr>
        <w:pStyle w:val="2"/>
        <w:rPr>
          <w:rFonts w:hint="eastAsia" w:ascii="宋体" w:hAnsi="宋体" w:eastAsia="宋体" w:cs="宋体"/>
          <w:sz w:val="21"/>
          <w:szCs w:val="21"/>
        </w:rPr>
      </w:pPr>
    </w:p>
    <w:bookmarkEnd w:id="70"/>
    <w:bookmarkEnd w:id="71"/>
    <w:p>
      <w:pPr>
        <w:rPr>
          <w:rFonts w:hint="eastAsia"/>
        </w:rPr>
      </w:pPr>
      <w:bookmarkStart w:id="185" w:name="_Toc203530308"/>
      <w:bookmarkStart w:id="186" w:name="_Toc203530304"/>
      <w:r>
        <w:rPr>
          <w:rFonts w:hint="eastAsia"/>
        </w:rPr>
        <w:br w:type="page"/>
      </w:r>
    </w:p>
    <w:p>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textAlignment w:val="auto"/>
        <w:rPr>
          <w:rFonts w:hint="eastAsia"/>
          <w:b/>
          <w:bCs/>
          <w:sz w:val="21"/>
          <w:szCs w:val="21"/>
          <w:lang w:val="en-US" w:eastAsia="zh-CN"/>
        </w:rPr>
      </w:pPr>
      <w:r>
        <w:rPr>
          <w:rFonts w:hint="eastAsia"/>
          <w:b/>
          <w:bCs/>
          <w:sz w:val="21"/>
          <w:szCs w:val="21"/>
          <w:lang w:val="en-US" w:eastAsia="zh-CN"/>
        </w:rPr>
        <w:t>附件三：廉政责任书</w:t>
      </w:r>
    </w:p>
    <w:p>
      <w:pPr>
        <w:spacing w:line="500" w:lineRule="exact"/>
        <w:ind w:firstLine="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廉政责任书</w:t>
      </w:r>
    </w:p>
    <w:p>
      <w:pPr>
        <w:pStyle w:val="2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1"/>
          <w:szCs w:val="21"/>
          <w:lang w:val="en-US"/>
        </w:rPr>
      </w:pPr>
    </w:p>
    <w:p>
      <w:pPr>
        <w:pStyle w:val="2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1"/>
          <w:szCs w:val="21"/>
          <w:u w:val="single"/>
          <w:lang w:val="en-US" w:eastAsia="zh-CN"/>
        </w:rPr>
      </w:pPr>
      <w:r>
        <w:rPr>
          <w:rFonts w:hint="eastAsia" w:asciiTheme="minorEastAsia" w:hAnsiTheme="minorEastAsia" w:eastAsiaTheme="minorEastAsia" w:cstheme="minorEastAsia"/>
          <w:b w:val="0"/>
          <w:bCs w:val="0"/>
          <w:sz w:val="21"/>
          <w:szCs w:val="21"/>
          <w:u w:val="none"/>
          <w:lang w:val="en-US" w:eastAsia="zh-CN"/>
        </w:rPr>
        <w:t>甲方</w:t>
      </w:r>
      <w:r>
        <w:rPr>
          <w:rFonts w:hint="eastAsia" w:asciiTheme="minorEastAsia" w:hAnsiTheme="minorEastAsia" w:eastAsiaTheme="minorEastAsia" w:cstheme="minorEastAsia"/>
          <w:b w:val="0"/>
          <w:bCs w:val="0"/>
          <w:sz w:val="21"/>
          <w:szCs w:val="21"/>
          <w:u w:val="none"/>
          <w:lang w:val="en-US"/>
        </w:rPr>
        <w:t>：</w:t>
      </w:r>
      <w:r>
        <w:rPr>
          <w:rFonts w:hint="eastAsia" w:asciiTheme="minorEastAsia" w:hAnsiTheme="minorEastAsia" w:eastAsiaTheme="minorEastAsia" w:cstheme="minorEastAsia"/>
          <w:b w:val="0"/>
          <w:bCs w:val="0"/>
          <w:sz w:val="21"/>
          <w:szCs w:val="21"/>
          <w:u w:val="single"/>
          <w:lang w:val="en-US" w:eastAsia="zh-CN"/>
        </w:rPr>
        <w:t>广东南方日报展示科技有限公司</w:t>
      </w:r>
    </w:p>
    <w:p>
      <w:pPr>
        <w:rPr>
          <w:rFonts w:hint="eastAsia" w:asciiTheme="minorEastAsia" w:hAnsiTheme="minorEastAsia" w:eastAsiaTheme="minorEastAsia" w:cstheme="minorEastAsia"/>
          <w:b w:val="0"/>
          <w:bCs w:val="0"/>
          <w:sz w:val="21"/>
          <w:szCs w:val="21"/>
          <w:u w:val="single"/>
          <w:lang w:val="en-US" w:eastAsia="zh-CN"/>
        </w:rPr>
      </w:pPr>
      <w:r>
        <w:rPr>
          <w:rFonts w:hint="eastAsia" w:asciiTheme="minorEastAsia" w:hAnsiTheme="minorEastAsia" w:eastAsiaTheme="minorEastAsia" w:cstheme="minorEastAsia"/>
          <w:b w:val="0"/>
          <w:bCs w:val="0"/>
          <w:sz w:val="21"/>
          <w:szCs w:val="21"/>
          <w:u w:val="none"/>
          <w:lang w:val="en-US" w:eastAsia="zh-CN"/>
        </w:rPr>
        <w:t>地址：</w:t>
      </w:r>
      <w:r>
        <w:rPr>
          <w:rFonts w:hint="eastAsia" w:asciiTheme="minorEastAsia" w:hAnsiTheme="minorEastAsia" w:eastAsiaTheme="minorEastAsia" w:cstheme="minorEastAsia"/>
          <w:b w:val="0"/>
          <w:bCs w:val="0"/>
          <w:sz w:val="21"/>
          <w:szCs w:val="21"/>
          <w:u w:val="single"/>
          <w:lang w:val="en-US" w:eastAsia="zh-CN"/>
        </w:rPr>
        <w:t xml:space="preserve">                            </w:t>
      </w:r>
    </w:p>
    <w:p>
      <w:pPr>
        <w:pStyle w:val="2"/>
        <w:rPr>
          <w:rFonts w:hint="eastAsia" w:asciiTheme="minorEastAsia" w:hAnsiTheme="minorEastAsia" w:eastAsiaTheme="minorEastAsia" w:cstheme="minorEastAsia"/>
          <w:szCs w:val="21"/>
          <w:lang w:val="en-US"/>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 w:val="0"/>
          <w:bCs w:val="0"/>
          <w:sz w:val="21"/>
          <w:szCs w:val="21"/>
          <w:u w:val="none"/>
          <w:lang w:val="en-US" w:eastAsia="zh-CN"/>
        </w:rPr>
        <w:t>乙方</w:t>
      </w:r>
      <w:r>
        <w:rPr>
          <w:rFonts w:hint="eastAsia" w:asciiTheme="minorEastAsia" w:hAnsiTheme="minorEastAsia" w:eastAsiaTheme="minorEastAsia" w:cstheme="minorEastAsia"/>
          <w:b w:val="0"/>
          <w:bCs w:val="0"/>
          <w:sz w:val="21"/>
          <w:szCs w:val="21"/>
          <w:u w:val="none"/>
          <w:lang w:val="en-US"/>
        </w:rPr>
        <w:t>：</w:t>
      </w:r>
      <w:r>
        <w:rPr>
          <w:rFonts w:hint="eastAsia" w:asciiTheme="minorEastAsia" w:hAnsiTheme="minorEastAsia" w:eastAsiaTheme="minorEastAsia" w:cstheme="minorEastAsia"/>
          <w:b w:val="0"/>
          <w:bCs w:val="0"/>
          <w:sz w:val="21"/>
          <w:szCs w:val="21"/>
          <w:u w:val="single"/>
          <w:lang w:val="en-US" w:eastAsia="zh-CN"/>
        </w:rPr>
        <w:t xml:space="preserve">                            </w:t>
      </w:r>
    </w:p>
    <w:p>
      <w:pPr>
        <w:pStyle w:val="2"/>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none"/>
          <w:lang w:val="en-US" w:eastAsia="zh-CN"/>
        </w:rPr>
        <w:t>地址：</w:t>
      </w:r>
      <w:r>
        <w:rPr>
          <w:rFonts w:hint="eastAsia" w:asciiTheme="minorEastAsia" w:hAnsiTheme="minorEastAsia" w:eastAsiaTheme="minorEastAsia" w:cstheme="minorEastAsia"/>
          <w:sz w:val="21"/>
          <w:szCs w:val="21"/>
          <w:u w:val="single"/>
          <w:lang w:val="en-US" w:eastAsia="zh-CN"/>
        </w:rPr>
        <w:t xml:space="preserve">                            </w:t>
      </w:r>
    </w:p>
    <w:p>
      <w:pPr>
        <w:pStyle w:val="2"/>
        <w:rPr>
          <w:rFonts w:hint="eastAsia" w:asciiTheme="minorEastAsia" w:hAnsiTheme="minorEastAsia" w:eastAsiaTheme="minorEastAsia" w:cstheme="minorEastAsia"/>
          <w:sz w:val="21"/>
          <w:szCs w:val="21"/>
          <w:u w:val="single"/>
          <w:lang w:val="en-US" w:eastAsia="zh-CN"/>
        </w:rPr>
      </w:pPr>
    </w:p>
    <w:p>
      <w:pPr>
        <w:shd w:val="clear" w:fill="FFFFFF" w:themeFill="background1"/>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为保证合作双方的共同利益，加强廉洁风险防控，规范</w:t>
      </w:r>
      <w:r>
        <w:rPr>
          <w:rFonts w:hint="eastAsia" w:asciiTheme="minorEastAsia" w:hAnsiTheme="minorEastAsia" w:eastAsiaTheme="minorEastAsia" w:cstheme="minorEastAsia"/>
          <w:sz w:val="21"/>
          <w:szCs w:val="21"/>
          <w:highlight w:val="none"/>
          <w:lang w:val="en-US" w:eastAsia="zh-CN"/>
        </w:rPr>
        <w:t>项目实施过程</w:t>
      </w:r>
      <w:r>
        <w:rPr>
          <w:rFonts w:hint="eastAsia" w:asciiTheme="minorEastAsia" w:hAnsiTheme="minorEastAsia" w:eastAsiaTheme="minorEastAsia" w:cstheme="minorEastAsia"/>
          <w:sz w:val="21"/>
          <w:szCs w:val="21"/>
          <w:highlight w:val="none"/>
        </w:rPr>
        <w:t>中双方的各项活动，防止发生各种</w:t>
      </w:r>
      <w:r>
        <w:rPr>
          <w:rFonts w:hint="eastAsia" w:asciiTheme="minorEastAsia" w:hAnsiTheme="minorEastAsia" w:eastAsiaTheme="minorEastAsia" w:cstheme="minorEastAsia"/>
          <w:sz w:val="21"/>
          <w:szCs w:val="21"/>
          <w:highlight w:val="none"/>
          <w:lang w:val="en-US" w:eastAsia="zh-CN"/>
        </w:rPr>
        <w:t>牟取</w:t>
      </w:r>
      <w:r>
        <w:rPr>
          <w:rFonts w:hint="eastAsia" w:asciiTheme="minorEastAsia" w:hAnsiTheme="minorEastAsia" w:eastAsiaTheme="minorEastAsia" w:cstheme="minorEastAsia"/>
          <w:sz w:val="21"/>
          <w:szCs w:val="21"/>
          <w:highlight w:val="none"/>
        </w:rPr>
        <w:t>不正当利益的违法违纪行为，保护国家和</w:t>
      </w:r>
      <w:r>
        <w:rPr>
          <w:rFonts w:hint="eastAsia" w:asciiTheme="minorEastAsia" w:hAnsiTheme="minorEastAsia" w:eastAsiaTheme="minorEastAsia" w:cstheme="minorEastAsia"/>
          <w:sz w:val="21"/>
          <w:szCs w:val="21"/>
          <w:highlight w:val="none"/>
          <w:lang w:val="en-US" w:eastAsia="zh-CN"/>
        </w:rPr>
        <w:t>双方</w:t>
      </w:r>
      <w:r>
        <w:rPr>
          <w:rFonts w:hint="eastAsia" w:asciiTheme="minorEastAsia" w:hAnsiTheme="minorEastAsia" w:eastAsiaTheme="minorEastAsia" w:cstheme="minorEastAsia"/>
          <w:sz w:val="21"/>
          <w:szCs w:val="21"/>
          <w:highlight w:val="none"/>
        </w:rPr>
        <w:t>的合法权益，特订立本廉政责任书。</w:t>
      </w:r>
    </w:p>
    <w:p>
      <w:pPr>
        <w:shd w:val="clear" w:fill="FFFFFF" w:themeFill="background1"/>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第一条  甲乙双方的责任</w:t>
      </w:r>
    </w:p>
    <w:p>
      <w:pPr>
        <w:pStyle w:val="2"/>
        <w:numPr>
          <w:ilvl w:val="0"/>
          <w:numId w:val="11"/>
        </w:numPr>
        <w:ind w:left="210" w:leftChars="0" w:firstLine="43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严格</w:t>
      </w:r>
      <w:r>
        <w:rPr>
          <w:rFonts w:hint="eastAsia" w:asciiTheme="minorEastAsia" w:hAnsiTheme="minorEastAsia" w:eastAsiaTheme="minorEastAsia" w:cstheme="minorEastAsia"/>
          <w:sz w:val="21"/>
          <w:szCs w:val="21"/>
          <w:lang w:val="en-US" w:eastAsia="zh-CN"/>
        </w:rPr>
        <w:t>遵守</w:t>
      </w:r>
      <w:r>
        <w:rPr>
          <w:rFonts w:hint="eastAsia" w:asciiTheme="minorEastAsia" w:hAnsiTheme="minorEastAsia" w:eastAsiaTheme="minorEastAsia" w:cstheme="minorEastAsia"/>
          <w:sz w:val="21"/>
          <w:szCs w:val="21"/>
        </w:rPr>
        <w:t>法律法规，坚持廉洁、诚信的原则，恪守公认的商业道德和职业道德规范，</w:t>
      </w:r>
      <w:r>
        <w:rPr>
          <w:rFonts w:hint="eastAsia" w:asciiTheme="minorEastAsia" w:hAnsiTheme="minorEastAsia" w:eastAsiaTheme="minorEastAsia" w:cstheme="minorEastAsia"/>
          <w:sz w:val="21"/>
          <w:szCs w:val="21"/>
          <w:lang w:val="en-US" w:eastAsia="zh-CN"/>
        </w:rPr>
        <w:t>坚决</w:t>
      </w:r>
      <w:r>
        <w:rPr>
          <w:rFonts w:hint="eastAsia" w:asciiTheme="minorEastAsia" w:hAnsiTheme="minorEastAsia" w:eastAsiaTheme="minorEastAsia" w:cstheme="minorEastAsia"/>
          <w:sz w:val="21"/>
          <w:szCs w:val="21"/>
        </w:rPr>
        <w:t>抵制不廉洁、不诚信行为</w:t>
      </w:r>
      <w:r>
        <w:rPr>
          <w:rFonts w:hint="eastAsia" w:asciiTheme="minorEastAsia" w:hAnsiTheme="minorEastAsia" w:eastAsiaTheme="minorEastAsia" w:cstheme="minorEastAsia"/>
          <w:sz w:val="21"/>
          <w:szCs w:val="21"/>
          <w:lang w:eastAsia="zh-CN"/>
        </w:rPr>
        <w:t>。</w:t>
      </w:r>
    </w:p>
    <w:p>
      <w:pPr>
        <w:pStyle w:val="2"/>
        <w:numPr>
          <w:ilvl w:val="0"/>
          <w:numId w:val="11"/>
        </w:numPr>
        <w:ind w:left="210" w:leftChars="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双方的业务活动坚持公开、公正、</w:t>
      </w:r>
      <w:r>
        <w:rPr>
          <w:rFonts w:hint="eastAsia" w:asciiTheme="minorEastAsia" w:hAnsiTheme="minorEastAsia" w:eastAsiaTheme="minorEastAsia" w:cstheme="minorEastAsia"/>
          <w:sz w:val="21"/>
          <w:szCs w:val="21"/>
          <w:lang w:val="en-US" w:eastAsia="zh-CN"/>
        </w:rPr>
        <w:t>公平、</w:t>
      </w:r>
      <w:r>
        <w:rPr>
          <w:rFonts w:hint="eastAsia" w:asciiTheme="minorEastAsia" w:hAnsiTheme="minorEastAsia" w:eastAsiaTheme="minorEastAsia" w:cstheme="minorEastAsia"/>
          <w:sz w:val="21"/>
          <w:szCs w:val="21"/>
        </w:rPr>
        <w:t>诚信的原则（法律认定的商业秘密和合同文件另有规定除外），不得损害国家和集体利益、</w:t>
      </w:r>
      <w:r>
        <w:rPr>
          <w:rFonts w:hint="eastAsia" w:asciiTheme="minorEastAsia" w:hAnsiTheme="minorEastAsia" w:eastAsiaTheme="minorEastAsia" w:cstheme="minorEastAsia"/>
          <w:sz w:val="21"/>
          <w:szCs w:val="21"/>
          <w:lang w:val="en-US" w:eastAsia="zh-CN"/>
        </w:rPr>
        <w:t>违反相关法律法规等</w:t>
      </w:r>
      <w:r>
        <w:rPr>
          <w:rFonts w:hint="eastAsia" w:asciiTheme="minorEastAsia" w:hAnsiTheme="minorEastAsia" w:eastAsiaTheme="minorEastAsia" w:cstheme="minorEastAsia"/>
          <w:sz w:val="21"/>
          <w:szCs w:val="21"/>
        </w:rPr>
        <w:t>。</w:t>
      </w:r>
    </w:p>
    <w:p>
      <w:pPr>
        <w:pStyle w:val="2"/>
        <w:numPr>
          <w:ilvl w:val="0"/>
          <w:numId w:val="11"/>
        </w:numPr>
        <w:ind w:left="210" w:leftChars="0" w:firstLine="43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教育、监督本单位所有相关人员廉洁、尽职工作，制定和严格执行相关规章制度，防范和严肃查处相关人员违法、违纪利用工作便利</w:t>
      </w:r>
      <w:r>
        <w:rPr>
          <w:rFonts w:hint="eastAsia" w:asciiTheme="minorEastAsia" w:hAnsiTheme="minorEastAsia" w:eastAsiaTheme="minorEastAsia" w:cstheme="minorEastAsia"/>
          <w:sz w:val="21"/>
          <w:szCs w:val="21"/>
          <w:highlight w:val="none"/>
          <w:lang w:val="en-US" w:eastAsia="zh-CN"/>
        </w:rPr>
        <w:t>牟取</w:t>
      </w:r>
      <w:r>
        <w:rPr>
          <w:rFonts w:hint="eastAsia" w:asciiTheme="minorEastAsia" w:hAnsiTheme="minorEastAsia" w:eastAsiaTheme="minorEastAsia" w:cstheme="minorEastAsia"/>
          <w:sz w:val="21"/>
          <w:szCs w:val="21"/>
          <w:highlight w:val="none"/>
        </w:rPr>
        <w:t>个人利益。</w:t>
      </w:r>
    </w:p>
    <w:p>
      <w:pPr>
        <w:pStyle w:val="2"/>
        <w:numPr>
          <w:ilvl w:val="0"/>
          <w:numId w:val="11"/>
        </w:numPr>
        <w:ind w:left="21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建立健全廉政制度，开展廉政教育，监督并认真查处违法违纪行为。</w:t>
      </w:r>
    </w:p>
    <w:p>
      <w:pPr>
        <w:pStyle w:val="2"/>
        <w:numPr>
          <w:ilvl w:val="0"/>
          <w:numId w:val="11"/>
        </w:numPr>
        <w:ind w:left="21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发现对方在业务活动中有违反廉政规定的行为，有及时提醒对方纠正的权利和义务。</w:t>
      </w:r>
    </w:p>
    <w:p>
      <w:pPr>
        <w:pStyle w:val="2"/>
        <w:numPr>
          <w:ilvl w:val="0"/>
          <w:numId w:val="11"/>
        </w:numPr>
        <w:ind w:left="210"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发现对方严重违反本合同义务条款的行为，有向其上级有关部门举报、建议给予处理并要求告知处理结果的权利。</w:t>
      </w:r>
    </w:p>
    <w:p>
      <w:pPr>
        <w:tabs>
          <w:tab w:val="left" w:pos="630"/>
        </w:tabs>
        <w:spacing w:line="54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第二条  甲方的责任</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甲方应教育和监督本方项目</w:t>
      </w:r>
      <w:r>
        <w:rPr>
          <w:rFonts w:hint="eastAsia" w:asciiTheme="minorEastAsia" w:hAnsiTheme="minorEastAsia" w:eastAsiaTheme="minorEastAsia" w:cstheme="minorEastAsia"/>
          <w:sz w:val="21"/>
          <w:szCs w:val="21"/>
          <w:highlight w:val="none"/>
          <w:lang w:val="en-US" w:eastAsia="zh-CN"/>
        </w:rPr>
        <w:t>相关</w:t>
      </w:r>
      <w:r>
        <w:rPr>
          <w:rFonts w:hint="eastAsia" w:asciiTheme="minorEastAsia" w:hAnsiTheme="minorEastAsia" w:eastAsiaTheme="minorEastAsia" w:cstheme="minorEastAsia"/>
          <w:sz w:val="21"/>
          <w:szCs w:val="21"/>
          <w:highlight w:val="none"/>
        </w:rPr>
        <w:t>人员，在</w:t>
      </w:r>
      <w:r>
        <w:rPr>
          <w:rFonts w:hint="eastAsia" w:asciiTheme="minorEastAsia" w:hAnsiTheme="minorEastAsia" w:eastAsiaTheme="minorEastAsia" w:cstheme="minorEastAsia"/>
          <w:sz w:val="21"/>
          <w:szCs w:val="21"/>
          <w:highlight w:val="none"/>
          <w:lang w:val="en-US" w:eastAsia="zh-CN"/>
        </w:rPr>
        <w:t>项目实施</w:t>
      </w:r>
      <w:r>
        <w:rPr>
          <w:rFonts w:hint="eastAsia" w:asciiTheme="minorEastAsia" w:hAnsiTheme="minorEastAsia" w:eastAsiaTheme="minorEastAsia" w:cstheme="minorEastAsia"/>
          <w:sz w:val="21"/>
          <w:szCs w:val="21"/>
          <w:highlight w:val="none"/>
        </w:rPr>
        <w:t>的事前、事中、事后均严格遵守以下规定：</w:t>
      </w:r>
    </w:p>
    <w:p>
      <w:pPr>
        <w:pStyle w:val="2"/>
        <w:numPr>
          <w:ilvl w:val="0"/>
          <w:numId w:val="12"/>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向乙方和相关单位索要或接受回扣、礼金、红包、有价证券、银行卡、物品和好处费、感谢费等。</w:t>
      </w:r>
    </w:p>
    <w:p>
      <w:pPr>
        <w:pStyle w:val="2"/>
        <w:numPr>
          <w:ilvl w:val="0"/>
          <w:numId w:val="12"/>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在乙方和相关单位报销任何应由甲方支付的费用。</w:t>
      </w:r>
    </w:p>
    <w:p>
      <w:pPr>
        <w:pStyle w:val="2"/>
        <w:numPr>
          <w:ilvl w:val="0"/>
          <w:numId w:val="12"/>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要求、暗示和接受</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和相关单位为个人装修住房、婚丧嫁娶、配偶子女的工作安排以及出国（境）、旅游（双方相关合同所规定的考察不受此限）等提供方便。</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lang w:val="en-US" w:eastAsia="zh-CN"/>
        </w:rPr>
        <w:t>要求、暗示</w:t>
      </w:r>
      <w:r>
        <w:rPr>
          <w:rFonts w:hint="eastAsia" w:asciiTheme="minorEastAsia" w:hAnsiTheme="minorEastAsia" w:eastAsiaTheme="minorEastAsia" w:cstheme="minorEastAsia"/>
          <w:sz w:val="21"/>
          <w:szCs w:val="21"/>
          <w:highlight w:val="none"/>
        </w:rPr>
        <w:t>乙方</w:t>
      </w:r>
      <w:r>
        <w:rPr>
          <w:rFonts w:hint="eastAsia" w:asciiTheme="minorEastAsia" w:hAnsiTheme="minorEastAsia" w:eastAsiaTheme="minorEastAsia" w:cstheme="minorEastAsia"/>
          <w:sz w:val="21"/>
          <w:szCs w:val="21"/>
          <w:highlight w:val="none"/>
          <w:lang w:val="en-US" w:eastAsia="zh-CN"/>
        </w:rPr>
        <w:t>为甲方相关人员的</w:t>
      </w:r>
      <w:r>
        <w:rPr>
          <w:rFonts w:hint="eastAsia" w:asciiTheme="minorEastAsia" w:hAnsiTheme="minorEastAsia" w:eastAsiaTheme="minorEastAsia" w:cstheme="minorEastAsia"/>
          <w:sz w:val="21"/>
          <w:szCs w:val="21"/>
          <w:highlight w:val="none"/>
        </w:rPr>
        <w:t>配偶、子女、亲属</w:t>
      </w:r>
      <w:r>
        <w:rPr>
          <w:rFonts w:hint="eastAsia" w:asciiTheme="minorEastAsia" w:hAnsiTheme="minorEastAsia" w:eastAsiaTheme="minorEastAsia" w:cstheme="minorEastAsia"/>
          <w:sz w:val="21"/>
          <w:szCs w:val="21"/>
          <w:highlight w:val="none"/>
          <w:lang w:val="en-US" w:eastAsia="zh-CN"/>
        </w:rPr>
        <w:t>等参与</w:t>
      </w:r>
      <w:r>
        <w:rPr>
          <w:rFonts w:hint="eastAsia" w:asciiTheme="minorEastAsia" w:hAnsiTheme="minorEastAsia" w:eastAsiaTheme="minorEastAsia" w:cstheme="minorEastAsia"/>
          <w:sz w:val="21"/>
          <w:szCs w:val="21"/>
          <w:highlight w:val="none"/>
        </w:rPr>
        <w:t>甲方</w:t>
      </w:r>
      <w:r>
        <w:rPr>
          <w:rFonts w:hint="eastAsia" w:asciiTheme="minorEastAsia" w:hAnsiTheme="minorEastAsia" w:eastAsiaTheme="minorEastAsia" w:cstheme="minorEastAsia"/>
          <w:sz w:val="21"/>
          <w:szCs w:val="21"/>
          <w:highlight w:val="none"/>
          <w:lang w:val="en-US" w:eastAsia="zh-CN"/>
        </w:rPr>
        <w:t>项目</w:t>
      </w:r>
      <w:r>
        <w:rPr>
          <w:rFonts w:hint="eastAsia" w:asciiTheme="minorEastAsia" w:hAnsiTheme="minorEastAsia" w:eastAsiaTheme="minorEastAsia" w:cstheme="minorEastAsia"/>
          <w:sz w:val="21"/>
          <w:szCs w:val="21"/>
          <w:highlight w:val="none"/>
        </w:rPr>
        <w:t>有关的经济活动</w:t>
      </w:r>
      <w:r>
        <w:rPr>
          <w:rFonts w:hint="eastAsia" w:asciiTheme="minorEastAsia" w:hAnsiTheme="minorEastAsia" w:eastAsiaTheme="minorEastAsia" w:cstheme="minorEastAsia"/>
          <w:sz w:val="21"/>
          <w:szCs w:val="21"/>
          <w:highlight w:val="none"/>
          <w:lang w:val="en-US" w:eastAsia="zh-CN"/>
        </w:rPr>
        <w:t>提供便利</w:t>
      </w:r>
      <w:r>
        <w:rPr>
          <w:rFonts w:hint="eastAsia" w:asciiTheme="minorEastAsia" w:hAnsiTheme="minorEastAsia" w:eastAsiaTheme="minorEastAsia" w:cstheme="minorEastAsia"/>
          <w:sz w:val="21"/>
          <w:szCs w:val="21"/>
          <w:highlight w:val="none"/>
        </w:rPr>
        <w:t>。不得以任何理由向乙方和相关单位推荐</w:t>
      </w: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rPr>
        <w:t>第三条  乙方的责任</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应与甲方保持正常的业务交往，按照有关法律法规和程序开展业务工作，并教育和监督其领导和有关人员严格遵守以下规定：</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以任何理由向甲方、</w:t>
      </w: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相关单位及其工作人员索要、接受或赠送礼金、红包、有价证券、银行卡、物品和回扣、好处费、感谢费等。</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w:t>
      </w: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以任何理由为甲方</w:t>
      </w:r>
      <w:r>
        <w:rPr>
          <w:rFonts w:hint="eastAsia" w:asciiTheme="minorEastAsia" w:hAnsiTheme="minorEastAsia" w:eastAsiaTheme="minorEastAsia" w:cstheme="minorEastAsia"/>
          <w:sz w:val="21"/>
          <w:szCs w:val="21"/>
          <w:highlight w:val="none"/>
          <w:lang w:val="en-US" w:eastAsia="zh-CN"/>
        </w:rPr>
        <w:t>和</w:t>
      </w:r>
      <w:r>
        <w:rPr>
          <w:rFonts w:hint="eastAsia" w:asciiTheme="minorEastAsia" w:hAnsiTheme="minorEastAsia" w:eastAsiaTheme="minorEastAsia" w:cstheme="minorEastAsia"/>
          <w:sz w:val="21"/>
          <w:szCs w:val="21"/>
          <w:highlight w:val="none"/>
        </w:rPr>
        <w:t>相关单位报销应由对方或个人支付的费用。</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w:t>
      </w: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接受或暗示为甲方、相关单位或个人装修住房、婚丧嫁娶、配偶子女的工作安排以及出国（境）、旅游等提供方便。</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w:t>
      </w:r>
      <w:r>
        <w:rPr>
          <w:rFonts w:hint="eastAsia" w:asciiTheme="minorEastAsia" w:hAnsiTheme="minorEastAsia" w:eastAsiaTheme="minorEastAsia" w:cstheme="minorEastAsia"/>
          <w:sz w:val="21"/>
          <w:szCs w:val="21"/>
          <w:highlight w:val="none"/>
          <w:lang w:eastAsia="zh-CN"/>
        </w:rPr>
        <w:t>不得</w:t>
      </w:r>
      <w:r>
        <w:rPr>
          <w:rFonts w:hint="eastAsia" w:asciiTheme="minorEastAsia" w:hAnsiTheme="minorEastAsia" w:eastAsiaTheme="minorEastAsia" w:cstheme="minorEastAsia"/>
          <w:sz w:val="21"/>
          <w:szCs w:val="21"/>
          <w:highlight w:val="none"/>
        </w:rPr>
        <w:t>以任何理由为甲方、相关单位或个人组织有可能影响公正执行公务的宴请、健身、娱乐等活动。</w:t>
      </w:r>
    </w:p>
    <w:p>
      <w:pPr>
        <w:pStyle w:val="2"/>
        <w:numPr>
          <w:ilvl w:val="0"/>
          <w:numId w:val="0"/>
        </w:numPr>
        <w:ind w:firstLine="420" w:firstLineChars="20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第四条  法律和纪律责任</w:t>
      </w:r>
    </w:p>
    <w:p>
      <w:pPr>
        <w:pStyle w:val="2"/>
        <w:numPr>
          <w:ilvl w:val="0"/>
          <w:numId w:val="13"/>
        </w:numPr>
        <w:ind w:left="0" w:leftChars="0" w:firstLine="64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甲方工作人员有违反本责任书</w:t>
      </w:r>
      <w:r>
        <w:rPr>
          <w:rFonts w:hint="eastAsia" w:asciiTheme="minorEastAsia" w:hAnsiTheme="minorEastAsia" w:eastAsiaTheme="minorEastAsia" w:cstheme="minorEastAsia"/>
          <w:sz w:val="21"/>
          <w:szCs w:val="21"/>
          <w:highlight w:val="none"/>
          <w:lang w:eastAsia="zh-CN"/>
        </w:rPr>
        <w:t>牟取</w:t>
      </w:r>
      <w:r>
        <w:rPr>
          <w:rFonts w:hint="eastAsia" w:asciiTheme="minorEastAsia" w:hAnsiTheme="minorEastAsia" w:eastAsiaTheme="minorEastAsia" w:cstheme="minorEastAsia"/>
          <w:sz w:val="21"/>
          <w:szCs w:val="21"/>
          <w:highlight w:val="none"/>
        </w:rPr>
        <w:t>个人利益行为的，乙方应向甲方或有关机关举报，甲方应按照管理权限调查核实，并依据有关法律法规和规定给予党纪、政纪处分或公司制度项下处分处理；涉嫌犯罪的，向司法机关举报，追究刑事责任。</w:t>
      </w:r>
    </w:p>
    <w:p>
      <w:pPr>
        <w:pStyle w:val="2"/>
        <w:numPr>
          <w:ilvl w:val="0"/>
          <w:numId w:val="13"/>
        </w:numPr>
        <w:ind w:left="0" w:leftChars="0" w:firstLine="64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乙方工作人员有违反本责任书</w:t>
      </w:r>
      <w:r>
        <w:rPr>
          <w:rFonts w:hint="eastAsia" w:asciiTheme="minorEastAsia" w:hAnsiTheme="minorEastAsia" w:eastAsiaTheme="minorEastAsia" w:cstheme="minorEastAsia"/>
          <w:sz w:val="21"/>
          <w:szCs w:val="21"/>
          <w:highlight w:val="none"/>
          <w:lang w:eastAsia="zh-CN"/>
        </w:rPr>
        <w:t>牟取</w:t>
      </w:r>
      <w:r>
        <w:rPr>
          <w:rFonts w:hint="eastAsia" w:asciiTheme="minorEastAsia" w:hAnsiTheme="minorEastAsia" w:eastAsiaTheme="minorEastAsia" w:cstheme="minorEastAsia"/>
          <w:sz w:val="21"/>
          <w:szCs w:val="21"/>
          <w:highlight w:val="none"/>
        </w:rPr>
        <w:t>个人利益行为的，甲方应向乙方或有关机关举报，乙方应按照管理权限调查核实，并依据有关法律法规和规定给予党纪、政纪处分或公司制度项下处分处理；涉嫌犯罪的，向司法机关举报，追究刑事责任。</w:t>
      </w:r>
    </w:p>
    <w:p>
      <w:pPr>
        <w:pStyle w:val="2"/>
        <w:numPr>
          <w:ilvl w:val="0"/>
          <w:numId w:val="13"/>
        </w:numPr>
        <w:ind w:left="0" w:leftChars="0" w:firstLine="64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乙方工作人员违反本</w:t>
      </w:r>
      <w:r>
        <w:rPr>
          <w:rFonts w:hint="eastAsia" w:asciiTheme="minorEastAsia" w:hAnsiTheme="minorEastAsia" w:eastAsiaTheme="minorEastAsia" w:cstheme="minorEastAsia"/>
          <w:sz w:val="21"/>
          <w:szCs w:val="21"/>
          <w:highlight w:val="none"/>
          <w:lang w:val="en-US" w:eastAsia="zh-CN"/>
        </w:rPr>
        <w:t>责任书</w:t>
      </w:r>
      <w:r>
        <w:rPr>
          <w:rFonts w:hint="eastAsia" w:asciiTheme="minorEastAsia" w:hAnsiTheme="minorEastAsia" w:eastAsiaTheme="minorEastAsia" w:cstheme="minorEastAsia"/>
          <w:sz w:val="21"/>
          <w:szCs w:val="21"/>
          <w:highlight w:val="none"/>
        </w:rPr>
        <w:t>向甲方工作人员</w:t>
      </w:r>
      <w:r>
        <w:rPr>
          <w:rFonts w:hint="eastAsia" w:asciiTheme="minorEastAsia" w:hAnsiTheme="minorEastAsia" w:eastAsiaTheme="minorEastAsia" w:cstheme="minorEastAsia"/>
          <w:sz w:val="21"/>
          <w:szCs w:val="21"/>
          <w:highlight w:val="none"/>
          <w:lang w:val="en-US" w:eastAsia="zh-CN"/>
        </w:rPr>
        <w:t>和相关单位</w:t>
      </w:r>
      <w:r>
        <w:rPr>
          <w:rFonts w:hint="eastAsia" w:asciiTheme="minorEastAsia" w:hAnsiTheme="minorEastAsia" w:eastAsiaTheme="minorEastAsia" w:cstheme="minorEastAsia"/>
          <w:sz w:val="21"/>
          <w:szCs w:val="21"/>
          <w:highlight w:val="none"/>
        </w:rPr>
        <w:t>输送或</w:t>
      </w:r>
      <w:r>
        <w:rPr>
          <w:rFonts w:hint="eastAsia" w:asciiTheme="minorEastAsia" w:hAnsiTheme="minorEastAsia" w:eastAsiaTheme="minorEastAsia" w:cstheme="minorEastAsia"/>
          <w:sz w:val="21"/>
          <w:szCs w:val="21"/>
          <w:highlight w:val="none"/>
          <w:lang w:val="en-US" w:eastAsia="zh-CN"/>
        </w:rPr>
        <w:t>牟取</w:t>
      </w:r>
      <w:r>
        <w:rPr>
          <w:rFonts w:hint="eastAsia" w:asciiTheme="minorEastAsia" w:hAnsiTheme="minorEastAsia" w:eastAsiaTheme="minorEastAsia" w:cstheme="minorEastAsia"/>
          <w:sz w:val="21"/>
          <w:szCs w:val="21"/>
          <w:highlight w:val="none"/>
        </w:rPr>
        <w:t>不正当利益的，一经发现，甲方有权终止或解除与乙方进行的任何交易及相关合同，由此造成的不利后果由乙方完全承担。</w:t>
      </w:r>
    </w:p>
    <w:p>
      <w:pPr>
        <w:pStyle w:val="2"/>
        <w:numPr>
          <w:ilvl w:val="0"/>
          <w:numId w:val="13"/>
        </w:numPr>
        <w:ind w:left="0" w:leftChars="0" w:firstLine="640" w:firstLineChars="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乙方承担因其违反本协议规定向甲方工作人员</w:t>
      </w:r>
      <w:r>
        <w:rPr>
          <w:rFonts w:hint="eastAsia" w:asciiTheme="minorEastAsia" w:hAnsiTheme="minorEastAsia" w:eastAsiaTheme="minorEastAsia" w:cstheme="minorEastAsia"/>
          <w:sz w:val="21"/>
          <w:szCs w:val="21"/>
          <w:highlight w:val="none"/>
          <w:lang w:val="en-US" w:eastAsia="zh-CN"/>
        </w:rPr>
        <w:t>和相关单位</w:t>
      </w:r>
      <w:r>
        <w:rPr>
          <w:rFonts w:hint="eastAsia" w:asciiTheme="minorEastAsia" w:hAnsiTheme="minorEastAsia" w:eastAsiaTheme="minorEastAsia" w:cstheme="minorEastAsia"/>
          <w:sz w:val="21"/>
          <w:szCs w:val="21"/>
          <w:highlight w:val="none"/>
        </w:rPr>
        <w:t>输送或</w:t>
      </w:r>
      <w:r>
        <w:rPr>
          <w:rFonts w:hint="eastAsia" w:asciiTheme="minorEastAsia" w:hAnsiTheme="minorEastAsia" w:eastAsiaTheme="minorEastAsia" w:cstheme="minorEastAsia"/>
          <w:sz w:val="21"/>
          <w:szCs w:val="21"/>
          <w:highlight w:val="none"/>
          <w:lang w:val="en-US" w:eastAsia="zh-CN"/>
        </w:rPr>
        <w:t>牟</w:t>
      </w:r>
      <w:r>
        <w:rPr>
          <w:rFonts w:hint="eastAsia" w:asciiTheme="minorEastAsia" w:hAnsiTheme="minorEastAsia" w:eastAsiaTheme="minorEastAsia" w:cstheme="minorEastAsia"/>
          <w:sz w:val="21"/>
          <w:szCs w:val="21"/>
          <w:highlight w:val="none"/>
        </w:rPr>
        <w:t>取不正当利益行为给甲方造成的一切损失（包括直接和间接损失）</w:t>
      </w:r>
      <w:r>
        <w:rPr>
          <w:rFonts w:hint="eastAsia" w:asciiTheme="minorEastAsia" w:hAnsiTheme="minorEastAsia" w:eastAsiaTheme="minorEastAsia" w:cstheme="minorEastAsia"/>
          <w:sz w:val="21"/>
          <w:szCs w:val="21"/>
          <w:highlight w:val="none"/>
          <w:lang w:eastAsia="zh-CN"/>
        </w:rPr>
        <w:t>。</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 xml:space="preserve">第五条 </w:t>
      </w:r>
      <w:r>
        <w:rPr>
          <w:rFonts w:hint="eastAsia" w:asciiTheme="minorEastAsia" w:hAnsiTheme="minorEastAsia" w:eastAsiaTheme="minorEastAsia" w:cstheme="minorEastAsia"/>
          <w:sz w:val="21"/>
          <w:szCs w:val="21"/>
          <w:highlight w:val="none"/>
          <w:u w:val="none"/>
        </w:rPr>
        <w:t>因本协议产生或</w:t>
      </w:r>
      <w:r>
        <w:rPr>
          <w:rFonts w:hint="eastAsia" w:asciiTheme="minorEastAsia" w:hAnsiTheme="minorEastAsia" w:eastAsiaTheme="minorEastAsia" w:cstheme="minorEastAsia"/>
          <w:sz w:val="21"/>
          <w:szCs w:val="21"/>
          <w:highlight w:val="none"/>
          <w:u w:val="none"/>
          <w:lang w:val="en-US" w:eastAsia="zh-CN"/>
        </w:rPr>
        <w:t>与</w:t>
      </w:r>
      <w:r>
        <w:rPr>
          <w:rFonts w:hint="eastAsia" w:asciiTheme="minorEastAsia" w:hAnsiTheme="minorEastAsia" w:eastAsiaTheme="minorEastAsia" w:cstheme="minorEastAsia"/>
          <w:sz w:val="21"/>
          <w:szCs w:val="21"/>
          <w:highlight w:val="none"/>
          <w:u w:val="none"/>
        </w:rPr>
        <w:t>本协议有关的一切争议，双方应协商解决，协商不成，双方均有权向</w:t>
      </w:r>
      <w:r>
        <w:rPr>
          <w:rStyle w:val="42"/>
          <w:rFonts w:hint="eastAsia" w:ascii="宋体" w:hAnsi="宋体" w:eastAsia="宋体" w:cs="宋体"/>
          <w:kern w:val="0"/>
          <w:sz w:val="21"/>
          <w:szCs w:val="21"/>
          <w:lang w:val="en-US" w:eastAsia="zh-CN" w:bidi="ar-SA"/>
        </w:rPr>
        <w:t>合同签订地有管辖权的法院</w:t>
      </w:r>
      <w:r>
        <w:rPr>
          <w:rFonts w:hint="eastAsia" w:asciiTheme="minorEastAsia" w:hAnsiTheme="minorEastAsia" w:eastAsiaTheme="minorEastAsia" w:cstheme="minorEastAsia"/>
          <w:sz w:val="21"/>
          <w:szCs w:val="21"/>
          <w:highlight w:val="none"/>
          <w:u w:val="none"/>
        </w:rPr>
        <w:t>提起诉讼。</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第六条 本协议一式</w:t>
      </w:r>
      <w:r>
        <w:rPr>
          <w:rFonts w:hint="eastAsia" w:asciiTheme="minorEastAsia" w:hAnsiTheme="minorEastAsia" w:eastAsiaTheme="minorEastAsia" w:cstheme="minorEastAsia"/>
          <w:sz w:val="21"/>
          <w:szCs w:val="21"/>
          <w:highlight w:val="none"/>
          <w:lang w:val="en-US" w:eastAsia="zh-CN"/>
        </w:rPr>
        <w:t>两</w:t>
      </w:r>
      <w:r>
        <w:rPr>
          <w:rFonts w:hint="eastAsia" w:asciiTheme="minorEastAsia" w:hAnsiTheme="minorEastAsia" w:eastAsiaTheme="minorEastAsia" w:cstheme="minorEastAsia"/>
          <w:sz w:val="21"/>
          <w:szCs w:val="21"/>
          <w:highlight w:val="none"/>
        </w:rPr>
        <w:t>份，其中甲方</w:t>
      </w: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rPr>
        <w:t>份、乙方</w:t>
      </w: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rPr>
        <w:t>份，均具同等法律效力</w:t>
      </w:r>
      <w:r>
        <w:rPr>
          <w:rFonts w:hint="eastAsia" w:asciiTheme="minorEastAsia" w:hAnsiTheme="minorEastAsia" w:eastAsiaTheme="minorEastAsia" w:cstheme="minorEastAsia"/>
          <w:sz w:val="21"/>
          <w:szCs w:val="21"/>
          <w:highlight w:val="none"/>
          <w:lang w:eastAsia="zh-CN"/>
        </w:rPr>
        <w:t>。</w:t>
      </w:r>
    </w:p>
    <w:p>
      <w:pPr>
        <w:pStyle w:val="2"/>
        <w:numPr>
          <w:ilvl w:val="0"/>
          <w:numId w:val="0"/>
        </w:num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第</w:t>
      </w:r>
      <w:r>
        <w:rPr>
          <w:rFonts w:hint="eastAsia" w:asciiTheme="minorEastAsia" w:hAnsiTheme="minorEastAsia" w:eastAsiaTheme="minorEastAsia" w:cstheme="minorEastAsia"/>
          <w:sz w:val="21"/>
          <w:szCs w:val="21"/>
          <w:highlight w:val="none"/>
          <w:lang w:val="en-US" w:eastAsia="zh-CN"/>
        </w:rPr>
        <w:t>七</w:t>
      </w:r>
      <w:r>
        <w:rPr>
          <w:rFonts w:hint="eastAsia" w:asciiTheme="minorEastAsia" w:hAnsiTheme="minorEastAsia" w:eastAsiaTheme="minorEastAsia" w:cstheme="minorEastAsia"/>
          <w:sz w:val="21"/>
          <w:szCs w:val="21"/>
          <w:highlight w:val="none"/>
        </w:rPr>
        <w:t>条 本协议自双方</w:t>
      </w:r>
      <w:r>
        <w:rPr>
          <w:rFonts w:hint="eastAsia" w:asciiTheme="minorEastAsia" w:hAnsiTheme="minorEastAsia" w:eastAsiaTheme="minorEastAsia" w:cstheme="minorEastAsia"/>
          <w:sz w:val="21"/>
          <w:szCs w:val="21"/>
          <w:highlight w:val="none"/>
          <w:lang w:val="en-US" w:eastAsia="zh-CN"/>
        </w:rPr>
        <w:t>法定代表人或授权代表签字并且盖章</w:t>
      </w:r>
      <w:r>
        <w:rPr>
          <w:rFonts w:hint="eastAsia" w:asciiTheme="minorEastAsia" w:hAnsiTheme="minorEastAsia" w:eastAsiaTheme="minorEastAsia" w:cstheme="minorEastAsia"/>
          <w:sz w:val="21"/>
          <w:szCs w:val="21"/>
          <w:highlight w:val="none"/>
        </w:rPr>
        <w:t>时生效。</w:t>
      </w:r>
    </w:p>
    <w:p>
      <w:pPr>
        <w:pStyle w:val="2"/>
        <w:numPr>
          <w:ilvl w:val="0"/>
          <w:numId w:val="0"/>
        </w:numPr>
        <w:ind w:firstLine="630" w:firstLineChars="300"/>
        <w:rPr>
          <w:rFonts w:hint="eastAsia" w:asciiTheme="minorEastAsia" w:hAnsiTheme="minorEastAsia" w:eastAsiaTheme="minorEastAsia" w:cstheme="minorEastAsia"/>
          <w:sz w:val="21"/>
          <w:szCs w:val="21"/>
          <w:highlight w:val="none"/>
        </w:rPr>
      </w:pPr>
    </w:p>
    <w:p>
      <w:pPr>
        <w:pStyle w:val="2"/>
        <w:numPr>
          <w:ilvl w:val="0"/>
          <w:numId w:val="0"/>
        </w:numPr>
        <w:ind w:firstLine="630" w:firstLineChars="300"/>
        <w:rPr>
          <w:rFonts w:hint="eastAsia" w:asciiTheme="minorEastAsia" w:hAnsiTheme="minorEastAsia" w:eastAsiaTheme="minorEastAsia" w:cstheme="minorEastAsia"/>
          <w:sz w:val="21"/>
          <w:szCs w:val="21"/>
          <w:highlight w:val="none"/>
        </w:rPr>
      </w:pPr>
    </w:p>
    <w:p>
      <w:pPr>
        <w:pStyle w:val="2"/>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甲方单位：（盖章）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乙方单位：（盖章） </w:t>
      </w:r>
    </w:p>
    <w:p>
      <w:pPr>
        <w:pStyle w:val="2"/>
        <w:numPr>
          <w:ilvl w:val="0"/>
          <w:numId w:val="0"/>
        </w:numPr>
        <w:ind w:left="5760" w:hanging="3780" w:hangingChars="18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法定代表人                    法定代表人或</w:t>
      </w:r>
    </w:p>
    <w:p>
      <w:pPr>
        <w:pStyle w:val="2"/>
        <w:numPr>
          <w:ilvl w:val="0"/>
          <w:numId w:val="0"/>
        </w:numPr>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或授权代表（签字）</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授权代表（签字）</w:t>
      </w:r>
      <w:r>
        <w:rPr>
          <w:rFonts w:hint="eastAsia" w:asciiTheme="minorEastAsia" w:hAnsiTheme="minorEastAsia" w:eastAsiaTheme="minorEastAsia" w:cstheme="minorEastAsia"/>
          <w:sz w:val="21"/>
          <w:szCs w:val="21"/>
          <w:highlight w:val="none"/>
        </w:rPr>
        <w:t xml:space="preserve">：  </w:t>
      </w:r>
    </w:p>
    <w:p>
      <w:pPr>
        <w:pStyle w:val="2"/>
        <w:numPr>
          <w:ilvl w:val="0"/>
          <w:numId w:val="0"/>
        </w:numPr>
        <w:rPr>
          <w:rFonts w:hint="eastAsia" w:asciiTheme="minorEastAsia" w:hAnsiTheme="minorEastAsia" w:eastAsiaTheme="minorEastAsia" w:cstheme="minorEastAsia"/>
          <w:sz w:val="21"/>
          <w:szCs w:val="21"/>
          <w:highlight w:val="none"/>
          <w:lang w:val="en-US" w:eastAsia="zh-CN"/>
        </w:rPr>
      </w:pPr>
    </w:p>
    <w:p>
      <w:pPr>
        <w:pStyle w:val="2"/>
        <w:numPr>
          <w:ilvl w:val="0"/>
          <w:numId w:val="0"/>
        </w:numPr>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年   月   日  </w:t>
      </w:r>
      <w:r>
        <w:rPr>
          <w:rFonts w:hint="eastAsia" w:asciiTheme="minorEastAsia" w:hAnsiTheme="minorEastAsia" w:eastAsiaTheme="minorEastAsia" w:cstheme="minorEastAsia"/>
          <w:sz w:val="21"/>
          <w:szCs w:val="21"/>
          <w:highlight w:val="none"/>
          <w:u w:val="none"/>
          <w:lang w:val="en-US" w:eastAsia="zh-CN"/>
        </w:rPr>
        <w:t xml:space="preserve">                </w:t>
      </w:r>
      <w:r>
        <w:rPr>
          <w:rFonts w:hint="eastAsia" w:asciiTheme="minorEastAsia" w:hAnsiTheme="minorEastAsia" w:eastAsiaTheme="minorEastAsia" w:cstheme="minorEastAsia"/>
          <w:sz w:val="21"/>
          <w:szCs w:val="21"/>
          <w:highlight w:val="none"/>
        </w:rPr>
        <w:t xml:space="preserve">年   月   日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u w:val="none"/>
          <w:lang w:val="en-US" w:eastAsia="zh-CN"/>
        </w:rPr>
        <w:t xml:space="preserve">   </w:t>
      </w:r>
    </w:p>
    <w:p>
      <w:pPr>
        <w:rPr>
          <w:rFonts w:hint="eastAsia"/>
        </w:rPr>
      </w:pPr>
      <w:r>
        <w:rPr>
          <w:rFonts w:hint="eastAsia"/>
        </w:rPr>
        <w:br w:type="page"/>
      </w:r>
    </w:p>
    <w:p>
      <w:pPr>
        <w:pStyle w:val="3"/>
        <w:rPr>
          <w:rFonts w:hint="eastAsia"/>
        </w:rPr>
      </w:pPr>
    </w:p>
    <w:p>
      <w:pPr>
        <w:pStyle w:val="29"/>
        <w:rPr>
          <w:rFonts w:hint="eastAsia"/>
        </w:rPr>
      </w:pPr>
    </w:p>
    <w:p>
      <w:pPr>
        <w:pStyle w:val="6"/>
        <w:numPr>
          <w:ilvl w:val="0"/>
          <w:numId w:val="0"/>
        </w:numPr>
        <w:tabs>
          <w:tab w:val="clear" w:pos="842"/>
        </w:tabs>
        <w:ind w:left="992" w:firstLine="0"/>
        <w:rPr>
          <w:rFonts w:hint="eastAsia" w:ascii="宋体" w:hAnsi="宋体" w:cs="宋体"/>
          <w:b w:val="0"/>
          <w:color w:val="auto"/>
          <w:sz w:val="36"/>
          <w:highlight w:val="none"/>
        </w:rPr>
      </w:pPr>
    </w:p>
    <w:p>
      <w:pPr>
        <w:pStyle w:val="6"/>
        <w:numPr>
          <w:ilvl w:val="0"/>
          <w:numId w:val="0"/>
        </w:numPr>
        <w:tabs>
          <w:tab w:val="clear" w:pos="842"/>
        </w:tabs>
        <w:ind w:left="992" w:firstLine="0"/>
        <w:rPr>
          <w:rFonts w:hint="eastAsia" w:ascii="宋体" w:hAnsi="宋体" w:cs="宋体"/>
          <w:b w:val="0"/>
          <w:color w:val="auto"/>
          <w:sz w:val="36"/>
          <w:highlight w:val="none"/>
        </w:rPr>
      </w:pPr>
    </w:p>
    <w:p>
      <w:pPr>
        <w:pStyle w:val="6"/>
        <w:numPr>
          <w:ilvl w:val="0"/>
          <w:numId w:val="0"/>
        </w:numPr>
        <w:tabs>
          <w:tab w:val="clear" w:pos="842"/>
        </w:tabs>
        <w:ind w:left="992" w:firstLine="0"/>
        <w:rPr>
          <w:rFonts w:hint="eastAsia" w:ascii="宋体" w:hAnsi="宋体" w:cs="宋体"/>
          <w:b w:val="0"/>
          <w:color w:val="auto"/>
          <w:sz w:val="36"/>
          <w:highlight w:val="none"/>
        </w:rPr>
      </w:pPr>
    </w:p>
    <w:p>
      <w:pPr>
        <w:pStyle w:val="6"/>
        <w:numPr>
          <w:ilvl w:val="0"/>
          <w:numId w:val="0"/>
        </w:numPr>
        <w:tabs>
          <w:tab w:val="clear" w:pos="842"/>
        </w:tabs>
        <w:ind w:left="992" w:firstLine="0"/>
        <w:rPr>
          <w:rFonts w:hint="eastAsia" w:ascii="宋体" w:hAnsi="宋体" w:cs="宋体"/>
          <w:b w:val="0"/>
          <w:color w:val="auto"/>
          <w:sz w:val="36"/>
          <w:highlight w:val="none"/>
        </w:rPr>
      </w:pPr>
    </w:p>
    <w:bookmarkEnd w:id="185"/>
    <w:bookmarkEnd w:id="186"/>
    <w:p>
      <w:pPr>
        <w:adjustRightInd w:val="0"/>
        <w:snapToGrid w:val="0"/>
        <w:spacing w:line="360" w:lineRule="auto"/>
        <w:ind w:left="851" w:hanging="851"/>
        <w:jc w:val="center"/>
        <w:rPr>
          <w:rFonts w:hint="eastAsia" w:ascii="宋体" w:hAnsi="宋体" w:cs="宋体"/>
          <w:b/>
          <w:color w:val="auto"/>
          <w:sz w:val="44"/>
          <w:highlight w:val="none"/>
        </w:rPr>
      </w:pPr>
    </w:p>
    <w:p>
      <w:pPr>
        <w:adjustRightInd w:val="0"/>
        <w:snapToGrid w:val="0"/>
        <w:spacing w:line="360" w:lineRule="auto"/>
        <w:ind w:left="851" w:hanging="851"/>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187" w:name="_Toc31761"/>
      <w:r>
        <w:rPr>
          <w:rFonts w:hint="eastAsia" w:ascii="宋体" w:hAnsi="宋体" w:cs="宋体"/>
          <w:b/>
          <w:color w:val="auto"/>
          <w:sz w:val="44"/>
          <w:szCs w:val="44"/>
          <w:highlight w:val="none"/>
        </w:rPr>
        <w:t>第五章</w:t>
      </w:r>
      <w:bookmarkStart w:id="188" w:name="_Toc477186327"/>
      <w:bookmarkStart w:id="189" w:name="_Toc477185966"/>
      <w:r>
        <w:rPr>
          <w:rFonts w:hint="eastAsia" w:ascii="宋体" w:hAnsi="宋体" w:cs="宋体"/>
          <w:b/>
          <w:color w:val="auto"/>
          <w:sz w:val="44"/>
          <w:szCs w:val="44"/>
          <w:highlight w:val="none"/>
        </w:rPr>
        <w:t xml:space="preserve">  投标文件格式</w:t>
      </w:r>
      <w:bookmarkEnd w:id="187"/>
      <w:bookmarkEnd w:id="188"/>
      <w:bookmarkEnd w:id="189"/>
    </w:p>
    <w:p>
      <w:pPr>
        <w:pStyle w:val="29"/>
        <w:ind w:firstLine="210"/>
        <w:rPr>
          <w:rFonts w:hint="eastAsia"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一、投标文件封面格式</w:t>
      </w:r>
    </w:p>
    <w:p>
      <w:pPr>
        <w:pStyle w:val="29"/>
        <w:ind w:firstLine="210"/>
        <w:rPr>
          <w:rFonts w:hint="eastAsia" w:ascii="宋体" w:hAnsi="宋体" w:cs="宋体"/>
          <w:color w:val="auto"/>
          <w:szCs w:val="21"/>
          <w:highlight w:val="none"/>
        </w:rPr>
      </w:pPr>
    </w:p>
    <w:p>
      <w:pPr>
        <w:pStyle w:val="29"/>
        <w:ind w:firstLine="210"/>
        <w:rPr>
          <w:rFonts w:hint="eastAsia" w:ascii="宋体" w:hAnsi="宋体" w:cs="宋体"/>
          <w:color w:val="auto"/>
          <w:szCs w:val="21"/>
          <w:highlight w:val="none"/>
        </w:rPr>
      </w:pPr>
    </w:p>
    <w:p>
      <w:pPr>
        <w:pStyle w:val="29"/>
        <w:ind w:firstLine="210"/>
        <w:rPr>
          <w:rFonts w:hint="eastAsia" w:ascii="宋体" w:hAnsi="宋体" w:cs="宋体"/>
          <w:color w:val="auto"/>
          <w:szCs w:val="21"/>
          <w:highlight w:val="none"/>
        </w:rPr>
      </w:pPr>
    </w:p>
    <w:p>
      <w:pPr>
        <w:pStyle w:val="12"/>
        <w:spacing w:before="20" w:after="20" w:line="360" w:lineRule="auto"/>
        <w:ind w:firstLine="560"/>
        <w:jc w:val="center"/>
        <w:rPr>
          <w:rFonts w:hint="eastAsia" w:ascii="宋体" w:hAnsi="宋体" w:cs="宋体"/>
          <w:color w:val="auto"/>
          <w:sz w:val="28"/>
          <w:szCs w:val="28"/>
          <w:highlight w:val="none"/>
        </w:rPr>
      </w:pPr>
    </w:p>
    <w:p>
      <w:pPr>
        <w:pStyle w:val="3"/>
        <w:adjustRightInd w:val="0"/>
        <w:spacing w:before="48" w:beforeLines="20" w:after="48" w:afterLines="20"/>
        <w:ind w:firstLine="2100" w:firstLineChars="1000"/>
        <w:rPr>
          <w:rFonts w:hint="eastAsia" w:ascii="宋体" w:hAnsi="宋体" w:cs="宋体"/>
          <w:color w:val="auto"/>
          <w:highlight w:val="none"/>
        </w:rPr>
      </w:pPr>
    </w:p>
    <w:p>
      <w:pPr>
        <w:pStyle w:val="3"/>
        <w:adjustRightInd w:val="0"/>
        <w:spacing w:before="48" w:beforeLines="20" w:after="48" w:afterLines="20"/>
        <w:ind w:firstLine="2100" w:firstLineChars="1000"/>
        <w:rPr>
          <w:rFonts w:hint="eastAsia" w:ascii="宋体" w:hAnsi="宋体" w:cs="宋体"/>
          <w:color w:val="auto"/>
          <w:highlight w:val="none"/>
        </w:rPr>
      </w:pPr>
    </w:p>
    <w:p>
      <w:pPr>
        <w:adjustRightInd w:val="0"/>
        <w:snapToGrid w:val="0"/>
        <w:spacing w:before="48" w:beforeLines="20" w:after="48" w:afterLines="20" w:line="360" w:lineRule="auto"/>
        <w:rPr>
          <w:rFonts w:hint="eastAsia" w:ascii="宋体" w:hAnsi="宋体" w:cs="宋体"/>
          <w:color w:val="auto"/>
          <w:highlight w:val="none"/>
          <w:u w:val="single"/>
        </w:rPr>
      </w:pPr>
    </w:p>
    <w:p>
      <w:pPr>
        <w:pStyle w:val="2"/>
        <w:adjustRightInd w:val="0"/>
        <w:snapToGrid w:val="0"/>
        <w:spacing w:before="48" w:beforeLines="20" w:after="48" w:afterLines="20" w:line="360" w:lineRule="auto"/>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pPr>
        <w:pStyle w:val="2"/>
        <w:adjustRightInd w:val="0"/>
        <w:snapToGrid w:val="0"/>
        <w:spacing w:before="48" w:beforeLines="20" w:after="48" w:afterLines="20" w:line="360" w:lineRule="auto"/>
        <w:jc w:val="center"/>
        <w:rPr>
          <w:rFonts w:hint="default"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项目编号：____________</w:t>
      </w:r>
    </w:p>
    <w:p>
      <w:pPr>
        <w:pStyle w:val="2"/>
        <w:adjustRightInd w:val="0"/>
        <w:snapToGrid w:val="0"/>
        <w:spacing w:before="48" w:beforeLines="20" w:after="48" w:afterLines="20" w:line="360" w:lineRule="auto"/>
        <w:jc w:val="center"/>
        <w:rPr>
          <w:rFonts w:hint="default"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子包（）：____________</w:t>
      </w:r>
    </w:p>
    <w:p>
      <w:pPr>
        <w:adjustRightInd w:val="0"/>
        <w:snapToGrid w:val="0"/>
        <w:spacing w:before="48" w:beforeLines="20" w:after="48" w:afterLines="20" w:line="360" w:lineRule="auto"/>
        <w:jc w:val="center"/>
        <w:rPr>
          <w:rFonts w:hint="eastAsia" w:ascii="宋体" w:hAnsi="宋体" w:cs="宋体"/>
          <w:b/>
          <w:color w:val="auto"/>
          <w:highlight w:val="none"/>
        </w:rPr>
      </w:pPr>
    </w:p>
    <w:p>
      <w:pPr>
        <w:adjustRightInd w:val="0"/>
        <w:snapToGrid w:val="0"/>
        <w:spacing w:before="48" w:beforeLines="20" w:after="48" w:afterLines="20" w:line="360" w:lineRule="auto"/>
        <w:jc w:val="center"/>
        <w:rPr>
          <w:rFonts w:hint="eastAsia" w:ascii="宋体" w:hAnsi="宋体" w:cs="宋体"/>
          <w:b/>
          <w:color w:val="auto"/>
          <w:highlight w:val="none"/>
        </w:rPr>
      </w:pPr>
    </w:p>
    <w:p>
      <w:pPr>
        <w:adjustRightInd w:val="0"/>
        <w:snapToGrid w:val="0"/>
        <w:spacing w:before="48" w:beforeLines="20" w:after="48" w:afterLines="20" w:line="360" w:lineRule="auto"/>
        <w:jc w:val="center"/>
        <w:rPr>
          <w:rFonts w:hint="eastAsia" w:ascii="宋体" w:hAnsi="宋体" w:cs="宋体"/>
          <w:b/>
          <w:color w:val="auto"/>
          <w:highlight w:val="none"/>
        </w:rPr>
      </w:pPr>
    </w:p>
    <w:p>
      <w:pPr>
        <w:pStyle w:val="45"/>
        <w:suppressLineNumbers w:val="0"/>
        <w:adjustRightInd w:val="0"/>
        <w:snapToGrid w:val="0"/>
        <w:spacing w:before="48" w:beforeLines="20" w:after="48" w:afterLines="20" w:line="360" w:lineRule="auto"/>
        <w:rPr>
          <w:rFonts w:hint="eastAsia" w:ascii="宋体" w:hAnsi="宋体" w:cs="宋体"/>
          <w:bCs w:val="0"/>
          <w:color w:val="auto"/>
          <w:highlight w:val="none"/>
        </w:rPr>
      </w:pPr>
    </w:p>
    <w:p>
      <w:pPr>
        <w:pStyle w:val="16"/>
        <w:adjustRightInd w:val="0"/>
        <w:snapToGrid w:val="0"/>
        <w:spacing w:before="48" w:beforeLines="20" w:after="48" w:afterLines="20" w:line="360" w:lineRule="auto"/>
        <w:ind w:left="130" w:leftChars="62" w:firstLine="711" w:firstLineChars="253"/>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rPr>
        <w:t>项目名称：</w:t>
      </w:r>
      <w:r>
        <w:rPr>
          <w:rFonts w:hint="eastAsia" w:ascii="宋体" w:hAnsi="宋体" w:cs="宋体"/>
          <w:bCs/>
          <w:color w:val="auto"/>
          <w:sz w:val="28"/>
          <w:szCs w:val="28"/>
          <w:highlight w:val="none"/>
          <w:u w:val="single"/>
        </w:rPr>
        <w:t xml:space="preserve">                </w:t>
      </w:r>
      <w:r>
        <w:rPr>
          <w:rFonts w:hint="eastAsia" w:ascii="宋体" w:hAnsi="宋体" w:cs="宋体"/>
          <w:b/>
          <w:bCs/>
          <w:color w:val="auto"/>
          <w:sz w:val="28"/>
          <w:szCs w:val="28"/>
          <w:highlight w:val="none"/>
          <w:u w:val="single"/>
        </w:rPr>
        <w:t xml:space="preserve">                     </w:t>
      </w:r>
    </w:p>
    <w:p>
      <w:pPr>
        <w:pStyle w:val="16"/>
        <w:adjustRightInd w:val="0"/>
        <w:snapToGrid w:val="0"/>
        <w:spacing w:before="48" w:beforeLines="20" w:after="48" w:afterLines="20" w:line="360" w:lineRule="auto"/>
        <w:ind w:left="130" w:leftChars="62" w:firstLine="711" w:firstLineChars="253"/>
        <w:rPr>
          <w:rFonts w:hint="eastAsia" w:ascii="宋体" w:hAnsi="宋体" w:cs="宋体"/>
          <w:color w:val="auto"/>
          <w:highlight w:val="none"/>
        </w:rPr>
      </w:pPr>
      <w:r>
        <w:rPr>
          <w:rFonts w:hint="eastAsia" w:ascii="宋体" w:hAnsi="宋体" w:cs="宋体"/>
          <w:b/>
          <w:bCs/>
          <w:color w:val="auto"/>
          <w:sz w:val="28"/>
          <w:szCs w:val="28"/>
          <w:highlight w:val="none"/>
        </w:rPr>
        <w:t>投 标 人：</w:t>
      </w:r>
      <w:r>
        <w:rPr>
          <w:rFonts w:hint="eastAsia" w:ascii="宋体" w:hAnsi="宋体" w:cs="宋体"/>
          <w:bCs/>
          <w:color w:val="auto"/>
          <w:sz w:val="28"/>
          <w:szCs w:val="28"/>
          <w:highlight w:val="none"/>
          <w:u w:val="single"/>
        </w:rPr>
        <w:t xml:space="preserve">              </w:t>
      </w:r>
      <w:r>
        <w:rPr>
          <w:rFonts w:hint="eastAsia" w:ascii="宋体" w:hAnsi="宋体" w:cs="宋体"/>
          <w:b/>
          <w:bCs/>
          <w:color w:val="auto"/>
          <w:sz w:val="28"/>
          <w:szCs w:val="28"/>
          <w:highlight w:val="none"/>
          <w:u w:val="singl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b/>
          <w:color w:val="auto"/>
          <w:sz w:val="28"/>
          <w:szCs w:val="28"/>
          <w:highlight w:val="none"/>
        </w:rPr>
      </w:pPr>
      <w:bookmarkStart w:id="190" w:name="_Hlt493478646"/>
      <w:bookmarkEnd w:id="190"/>
      <w:r>
        <w:rPr>
          <w:rFonts w:hint="eastAsia" w:ascii="宋体" w:hAnsi="宋体" w:cs="宋体"/>
          <w:b/>
          <w:color w:val="auto"/>
          <w:sz w:val="28"/>
          <w:szCs w:val="28"/>
          <w:highlight w:val="none"/>
        </w:rPr>
        <w:br w:type="page"/>
      </w:r>
    </w:p>
    <w:p>
      <w:pP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二、自查表</w:t>
      </w:r>
    </w:p>
    <w:p>
      <w:pPr>
        <w:pStyle w:val="17"/>
        <w:rPr>
          <w:rFonts w:hint="eastAsia" w:hAnsi="宋体" w:cs="宋体"/>
          <w:color w:val="auto"/>
          <w:highlight w:val="none"/>
        </w:rPr>
      </w:pPr>
    </w:p>
    <w:p>
      <w:pPr>
        <w:pStyle w:val="17"/>
        <w:rPr>
          <w:rFonts w:hint="eastAsia" w:hAnsi="宋体" w:cs="宋体"/>
          <w:color w:val="auto"/>
          <w:highlight w:val="none"/>
        </w:rPr>
      </w:pPr>
    </w:p>
    <w:p>
      <w:pPr>
        <w:jc w:val="center"/>
        <w:rPr>
          <w:rFonts w:hint="eastAsia" w:ascii="宋体" w:hAnsi="宋体" w:eastAsia="宋体"/>
          <w:b/>
          <w:bCs/>
          <w:color w:val="auto"/>
          <w:sz w:val="28"/>
          <w:highlight w:val="none"/>
          <w:lang w:eastAsia="zh-CN"/>
        </w:rPr>
      </w:pPr>
      <w:r>
        <w:rPr>
          <w:rFonts w:hint="eastAsia" w:ascii="宋体" w:hAnsi="宋体"/>
          <w:b/>
          <w:color w:val="auto"/>
          <w:sz w:val="28"/>
          <w:szCs w:val="28"/>
          <w:highlight w:val="none"/>
          <w:lang w:eastAsia="zh-CN"/>
        </w:rPr>
        <w:t>符合性审查表（阶段一）</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5377"/>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895" w:type="pct"/>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审查内容</w:t>
            </w:r>
          </w:p>
        </w:tc>
        <w:tc>
          <w:tcPr>
            <w:tcW w:w="1458" w:type="pct"/>
            <w:noWrap w:val="0"/>
            <w:vAlign w:val="center"/>
          </w:tcPr>
          <w:p>
            <w:pPr>
              <w:spacing w:line="240" w:lineRule="atLeast"/>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895" w:type="pct"/>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符合合格</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资格条件；</w:t>
            </w:r>
          </w:p>
        </w:tc>
        <w:tc>
          <w:tcPr>
            <w:tcW w:w="1458" w:type="pct"/>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895" w:type="pct"/>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投标文件按招标文件规定要求签署及盖章，由授权代表签署时有</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出具的授权委托书；</w:t>
            </w:r>
          </w:p>
        </w:tc>
        <w:tc>
          <w:tcPr>
            <w:tcW w:w="1458" w:type="pct"/>
            <w:noWrap w:val="0"/>
            <w:vAlign w:val="center"/>
          </w:tcPr>
          <w:p>
            <w:pPr>
              <w:spacing w:line="240" w:lineRule="exact"/>
              <w:rPr>
                <w:rFonts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895" w:type="pct"/>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投标有效期满足招标文件要求；</w:t>
            </w:r>
          </w:p>
        </w:tc>
        <w:tc>
          <w:tcPr>
            <w:tcW w:w="1458" w:type="pct"/>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2895" w:type="pct"/>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按招标文件要求提交投标保证金；</w:t>
            </w:r>
          </w:p>
        </w:tc>
        <w:tc>
          <w:tcPr>
            <w:tcW w:w="1458" w:type="pct"/>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895" w:type="pct"/>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1458" w:type="pct"/>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pct"/>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895" w:type="pct"/>
            <w:noWrap w:val="0"/>
            <w:vAlign w:val="center"/>
          </w:tcPr>
          <w:p>
            <w:pPr>
              <w:rPr>
                <w:rFonts w:hint="eastAsia" w:ascii="宋体" w:hAnsi="宋体"/>
                <w:color w:val="auto"/>
                <w:szCs w:val="21"/>
                <w:highlight w:val="none"/>
              </w:rPr>
            </w:pPr>
            <w:r>
              <w:rPr>
                <w:rFonts w:hint="eastAsia" w:ascii="宋体" w:hAnsi="宋体" w:cs="宋体"/>
                <w:color w:val="auto"/>
                <w:szCs w:val="21"/>
                <w:highlight w:val="none"/>
              </w:rPr>
              <w:t>投标文件未附有招标人不能接受的条件的。</w:t>
            </w:r>
          </w:p>
        </w:tc>
        <w:tc>
          <w:tcPr>
            <w:tcW w:w="1458" w:type="pct"/>
            <w:noWrap w:val="0"/>
            <w:vAlign w:val="center"/>
          </w:tcPr>
          <w:p>
            <w:pPr>
              <w:spacing w:line="240" w:lineRule="exact"/>
              <w:rPr>
                <w:rFonts w:hint="eastAsia" w:ascii="宋体" w:hAnsi="宋体"/>
                <w:color w:val="auto"/>
                <w:szCs w:val="21"/>
                <w:highlight w:val="none"/>
              </w:rPr>
            </w:pPr>
            <w:r>
              <w:rPr>
                <w:rFonts w:hint="eastAsia" w:ascii="宋体" w:hAnsi="宋体"/>
                <w:color w:val="auto"/>
                <w:szCs w:val="21"/>
                <w:highlight w:val="none"/>
              </w:rPr>
              <w:t>见投标文件（）页</w:t>
            </w:r>
          </w:p>
        </w:tc>
      </w:tr>
    </w:tbl>
    <w:p>
      <w:pPr>
        <w:jc w:val="center"/>
        <w:rPr>
          <w:rFonts w:hint="eastAsia" w:ascii="宋体" w:hAnsi="宋体"/>
          <w:b/>
          <w:color w:val="auto"/>
          <w:sz w:val="28"/>
          <w:szCs w:val="28"/>
          <w:highlight w:val="none"/>
        </w:rPr>
      </w:pPr>
    </w:p>
    <w:p>
      <w:pPr>
        <w:jc w:val="center"/>
        <w:rPr>
          <w:rFonts w:hint="eastAsia" w:ascii="宋体" w:hAnsi="宋体" w:cs="宋体"/>
          <w:b/>
          <w:bCs/>
          <w:color w:val="auto"/>
          <w:sz w:val="28"/>
          <w:highlight w:val="none"/>
        </w:rPr>
      </w:pPr>
    </w:p>
    <w:p>
      <w:pPr>
        <w:jc w:val="center"/>
        <w:rPr>
          <w:rFonts w:hint="eastAsia" w:ascii="宋体" w:hAnsi="宋体" w:cs="宋体"/>
          <w:b/>
          <w:bCs/>
          <w:color w:val="auto"/>
          <w:sz w:val="30"/>
          <w:highlight w:val="none"/>
        </w:rPr>
      </w:pPr>
      <w:r>
        <w:rPr>
          <w:rFonts w:hint="eastAsia" w:ascii="宋体" w:hAnsi="宋体" w:cs="宋体"/>
          <w:b/>
          <w:bCs/>
          <w:color w:val="auto"/>
          <w:sz w:val="28"/>
          <w:highlight w:val="none"/>
        </w:rPr>
        <w:t>技术评审自查表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146"/>
        <w:gridCol w:w="210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pct"/>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33" w:type="pct"/>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1134" w:type="pct"/>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b/>
                <w:szCs w:val="21"/>
                <w:highlight w:val="none"/>
                <w:lang w:val="en-US" w:eastAsia="zh-CN"/>
              </w:rPr>
              <w:t>供应商响应的证明文件（或材料）内容</w:t>
            </w:r>
          </w:p>
        </w:tc>
        <w:tc>
          <w:tcPr>
            <w:tcW w:w="1134" w:type="pct"/>
            <w:noWrap w:val="0"/>
            <w:vAlign w:val="center"/>
          </w:tcPr>
          <w:p>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pct"/>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33" w:type="pct"/>
            <w:noWrap w:val="0"/>
            <w:vAlign w:val="center"/>
          </w:tcPr>
          <w:p>
            <w:pPr>
              <w:pStyle w:val="47"/>
              <w:spacing w:line="360" w:lineRule="auto"/>
              <w:jc w:val="left"/>
              <w:rPr>
                <w:rFonts w:hint="eastAsia" w:ascii="宋体" w:hAnsi="宋体" w:cs="宋体"/>
                <w:color w:val="auto"/>
                <w:szCs w:val="21"/>
                <w:highlight w:val="none"/>
              </w:rPr>
            </w:pPr>
          </w:p>
        </w:tc>
        <w:tc>
          <w:tcPr>
            <w:tcW w:w="1134" w:type="pct"/>
            <w:noWrap w:val="0"/>
            <w:vAlign w:val="center"/>
          </w:tcPr>
          <w:p>
            <w:pPr>
              <w:pStyle w:val="47"/>
              <w:spacing w:line="360" w:lineRule="auto"/>
              <w:jc w:val="left"/>
              <w:rPr>
                <w:rFonts w:hint="eastAsia" w:ascii="宋体" w:hAnsi="宋体" w:cs="宋体"/>
                <w:color w:val="auto"/>
                <w:szCs w:val="21"/>
                <w:highlight w:val="none"/>
              </w:rPr>
            </w:pPr>
          </w:p>
        </w:tc>
        <w:tc>
          <w:tcPr>
            <w:tcW w:w="1134" w:type="pct"/>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pct"/>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33" w:type="pct"/>
            <w:noWrap w:val="0"/>
            <w:vAlign w:val="center"/>
          </w:tcPr>
          <w:p>
            <w:pPr>
              <w:pStyle w:val="47"/>
              <w:spacing w:line="360" w:lineRule="auto"/>
              <w:jc w:val="left"/>
              <w:rPr>
                <w:rFonts w:hint="eastAsia" w:ascii="宋体" w:hAnsi="宋体" w:cs="宋体"/>
                <w:color w:val="auto"/>
                <w:szCs w:val="21"/>
                <w:highlight w:val="none"/>
              </w:rPr>
            </w:pPr>
          </w:p>
        </w:tc>
        <w:tc>
          <w:tcPr>
            <w:tcW w:w="1134" w:type="pct"/>
            <w:noWrap w:val="0"/>
            <w:vAlign w:val="center"/>
          </w:tcPr>
          <w:p>
            <w:pPr>
              <w:pStyle w:val="47"/>
              <w:spacing w:line="360" w:lineRule="auto"/>
              <w:jc w:val="left"/>
              <w:rPr>
                <w:rFonts w:hint="eastAsia" w:ascii="宋体" w:hAnsi="宋体" w:cs="宋体"/>
                <w:color w:val="auto"/>
                <w:szCs w:val="21"/>
                <w:highlight w:val="none"/>
              </w:rPr>
            </w:pPr>
          </w:p>
        </w:tc>
        <w:tc>
          <w:tcPr>
            <w:tcW w:w="1134" w:type="pct"/>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pct"/>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33" w:type="pct"/>
            <w:noWrap w:val="0"/>
            <w:vAlign w:val="center"/>
          </w:tcPr>
          <w:p>
            <w:pPr>
              <w:spacing w:line="360" w:lineRule="auto"/>
              <w:jc w:val="left"/>
              <w:rPr>
                <w:rFonts w:hint="eastAsia" w:ascii="宋体" w:hAnsi="宋体" w:cs="宋体"/>
                <w:color w:val="auto"/>
                <w:szCs w:val="21"/>
                <w:highlight w:val="none"/>
              </w:rPr>
            </w:pPr>
          </w:p>
        </w:tc>
        <w:tc>
          <w:tcPr>
            <w:tcW w:w="1134" w:type="pct"/>
            <w:noWrap w:val="0"/>
            <w:vAlign w:val="center"/>
          </w:tcPr>
          <w:p>
            <w:pPr>
              <w:spacing w:line="360" w:lineRule="auto"/>
              <w:jc w:val="left"/>
              <w:rPr>
                <w:rFonts w:hint="eastAsia" w:ascii="宋体" w:hAnsi="宋体" w:cs="宋体"/>
                <w:color w:val="auto"/>
                <w:szCs w:val="21"/>
                <w:highlight w:val="none"/>
              </w:rPr>
            </w:pPr>
          </w:p>
        </w:tc>
        <w:tc>
          <w:tcPr>
            <w:tcW w:w="1134" w:type="pct"/>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pct"/>
            <w:noWrap w:val="0"/>
            <w:vAlign w:val="center"/>
          </w:tcPr>
          <w:p>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33" w:type="pct"/>
            <w:noWrap w:val="0"/>
            <w:vAlign w:val="center"/>
          </w:tcPr>
          <w:p>
            <w:pPr>
              <w:adjustRightInd w:val="0"/>
              <w:snapToGrid w:val="0"/>
              <w:jc w:val="left"/>
              <w:rPr>
                <w:rFonts w:hint="eastAsia" w:ascii="宋体" w:hAnsi="宋体" w:cs="宋体"/>
                <w:color w:val="auto"/>
                <w:szCs w:val="21"/>
                <w:highlight w:val="none"/>
              </w:rPr>
            </w:pPr>
          </w:p>
        </w:tc>
        <w:tc>
          <w:tcPr>
            <w:tcW w:w="1134" w:type="pct"/>
            <w:noWrap w:val="0"/>
            <w:vAlign w:val="center"/>
          </w:tcPr>
          <w:p>
            <w:pPr>
              <w:adjustRightInd w:val="0"/>
              <w:snapToGrid w:val="0"/>
              <w:jc w:val="left"/>
              <w:rPr>
                <w:rFonts w:hint="eastAsia" w:ascii="宋体" w:hAnsi="宋体" w:cs="宋体"/>
                <w:color w:val="auto"/>
                <w:szCs w:val="21"/>
                <w:highlight w:val="none"/>
              </w:rPr>
            </w:pPr>
          </w:p>
        </w:tc>
        <w:tc>
          <w:tcPr>
            <w:tcW w:w="1134" w:type="pct"/>
            <w:noWrap w:val="0"/>
            <w:vAlign w:val="center"/>
          </w:tcPr>
          <w:p>
            <w:pPr>
              <w:spacing w:line="240" w:lineRule="exact"/>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8" w:type="pct"/>
            <w:noWrap w:val="0"/>
            <w:vAlign w:val="center"/>
          </w:tcPr>
          <w:p>
            <w:pPr>
              <w:spacing w:line="240" w:lineRule="exact"/>
              <w:jc w:val="center"/>
              <w:rPr>
                <w:rFonts w:hint="eastAsia" w:ascii="宋体" w:hAnsi="宋体" w:cs="宋体"/>
                <w:color w:val="auto"/>
                <w:szCs w:val="21"/>
                <w:highlight w:val="none"/>
              </w:rPr>
            </w:pPr>
          </w:p>
        </w:tc>
        <w:tc>
          <w:tcPr>
            <w:tcW w:w="2233" w:type="pct"/>
            <w:noWrap w:val="0"/>
            <w:vAlign w:val="center"/>
          </w:tcPr>
          <w:p>
            <w:pPr>
              <w:adjustRightInd w:val="0"/>
              <w:snapToGrid w:val="0"/>
              <w:jc w:val="left"/>
              <w:rPr>
                <w:rFonts w:hint="eastAsia" w:ascii="宋体" w:hAnsi="宋体" w:cs="宋体"/>
                <w:color w:val="auto"/>
                <w:highlight w:val="none"/>
              </w:rPr>
            </w:pPr>
            <w:r>
              <w:rPr>
                <w:rFonts w:hint="eastAsia" w:ascii="宋体" w:hAnsi="宋体" w:cs="宋体"/>
                <w:color w:val="auto"/>
                <w:highlight w:val="none"/>
              </w:rPr>
              <w:t>...</w:t>
            </w:r>
          </w:p>
        </w:tc>
        <w:tc>
          <w:tcPr>
            <w:tcW w:w="1134" w:type="pct"/>
            <w:noWrap w:val="0"/>
            <w:vAlign w:val="center"/>
          </w:tcPr>
          <w:p>
            <w:pPr>
              <w:adjustRightInd w:val="0"/>
              <w:snapToGrid w:val="0"/>
              <w:jc w:val="left"/>
              <w:rPr>
                <w:rFonts w:hint="eastAsia" w:ascii="宋体" w:hAnsi="宋体" w:cs="宋体"/>
                <w:color w:val="auto"/>
                <w:highlight w:val="none"/>
              </w:rPr>
            </w:pPr>
          </w:p>
        </w:tc>
        <w:tc>
          <w:tcPr>
            <w:tcW w:w="1134" w:type="pct"/>
            <w:noWrap w:val="0"/>
            <w:vAlign w:val="center"/>
          </w:tcPr>
          <w:p>
            <w:pPr>
              <w:spacing w:line="240" w:lineRule="exact"/>
              <w:rPr>
                <w:rFonts w:hint="eastAsia" w:ascii="宋体" w:hAnsi="宋体" w:cs="宋体"/>
                <w:color w:val="auto"/>
                <w:szCs w:val="21"/>
                <w:highlight w:val="none"/>
              </w:rPr>
            </w:pPr>
          </w:p>
        </w:tc>
      </w:tr>
    </w:tbl>
    <w:p>
      <w:pPr>
        <w:pStyle w:val="15"/>
        <w:spacing w:after="0"/>
        <w:ind w:left="424" w:hanging="424" w:hangingChars="202"/>
        <w:rPr>
          <w:rFonts w:hint="eastAsia" w:ascii="宋体" w:hAnsi="宋体" w:cs="宋体"/>
          <w:color w:val="auto"/>
          <w:sz w:val="21"/>
          <w:szCs w:val="21"/>
          <w:highlight w:val="none"/>
          <w:lang w:val="en-GB"/>
        </w:rPr>
      </w:pPr>
    </w:p>
    <w:p>
      <w:pPr>
        <w:pStyle w:val="15"/>
        <w:spacing w:after="0"/>
        <w:rPr>
          <w:rFonts w:hint="eastAsia" w:ascii="宋体" w:hAnsi="宋体" w:cs="宋体"/>
          <w:color w:val="auto"/>
          <w:sz w:val="21"/>
          <w:szCs w:val="21"/>
          <w:highlight w:val="none"/>
        </w:rPr>
      </w:pPr>
    </w:p>
    <w:p>
      <w:pPr>
        <w:jc w:val="center"/>
        <w:rPr>
          <w:rFonts w:hint="eastAsia" w:ascii="宋体" w:hAnsi="宋体" w:cs="宋体"/>
          <w:b/>
          <w:bCs/>
          <w:color w:val="auto"/>
          <w:sz w:val="28"/>
          <w:highlight w:val="none"/>
        </w:rPr>
      </w:pPr>
      <w:r>
        <w:rPr>
          <w:rFonts w:hint="eastAsia" w:ascii="宋体" w:hAnsi="宋体" w:cs="宋体"/>
          <w:b/>
          <w:bCs/>
          <w:color w:val="auto"/>
          <w:sz w:val="28"/>
          <w:highlight w:val="none"/>
        </w:rPr>
        <w:t>商务评审自查表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4156"/>
        <w:gridCol w:w="2108"/>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38" w:type="pct"/>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1135" w:type="pct"/>
            <w:noWrap w:val="0"/>
            <w:vAlign w:val="center"/>
          </w:tcPr>
          <w:p>
            <w:pPr>
              <w:jc w:val="center"/>
              <w:rPr>
                <w:rFonts w:hint="eastAsia" w:ascii="宋体" w:hAnsi="宋体" w:cs="宋体"/>
                <w:b/>
                <w:color w:val="auto"/>
                <w:szCs w:val="21"/>
                <w:highlight w:val="none"/>
              </w:rPr>
            </w:pPr>
            <w:r>
              <w:rPr>
                <w:rFonts w:hint="eastAsia" w:ascii="宋体" w:hAnsi="宋体"/>
                <w:b/>
                <w:szCs w:val="21"/>
                <w:highlight w:val="none"/>
                <w:lang w:val="en-US" w:eastAsia="zh-CN"/>
              </w:rPr>
              <w:t>供应商响应的证明文件（或材料）内容</w:t>
            </w:r>
          </w:p>
        </w:tc>
        <w:tc>
          <w:tcPr>
            <w:tcW w:w="1135" w:type="pct"/>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38" w:type="pct"/>
            <w:noWrap w:val="0"/>
            <w:vAlign w:val="center"/>
          </w:tcPr>
          <w:p>
            <w:pPr>
              <w:jc w:val="left"/>
              <w:rPr>
                <w:rFonts w:hint="eastAsia" w:ascii="宋体" w:hAnsi="宋体" w:cs="宋体"/>
                <w:color w:val="auto"/>
                <w:szCs w:val="18"/>
                <w:highlight w:val="none"/>
              </w:rPr>
            </w:pPr>
          </w:p>
        </w:tc>
        <w:tc>
          <w:tcPr>
            <w:tcW w:w="1135" w:type="pct"/>
            <w:noWrap w:val="0"/>
            <w:vAlign w:val="center"/>
          </w:tcPr>
          <w:p>
            <w:pPr>
              <w:jc w:val="left"/>
              <w:rPr>
                <w:rFonts w:hint="eastAsia" w:ascii="宋体" w:hAnsi="宋体" w:cs="宋体"/>
                <w:color w:val="auto"/>
                <w:szCs w:val="18"/>
                <w:highlight w:val="none"/>
              </w:rPr>
            </w:pPr>
          </w:p>
        </w:tc>
        <w:tc>
          <w:tcPr>
            <w:tcW w:w="1135" w:type="pct"/>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38" w:type="pct"/>
            <w:noWrap w:val="0"/>
            <w:vAlign w:val="center"/>
          </w:tcPr>
          <w:p>
            <w:pPr>
              <w:jc w:val="left"/>
              <w:rPr>
                <w:rFonts w:hint="eastAsia" w:ascii="宋体" w:hAnsi="宋体" w:cs="宋体"/>
                <w:color w:val="auto"/>
                <w:szCs w:val="18"/>
                <w:highlight w:val="none"/>
              </w:rPr>
            </w:pPr>
          </w:p>
        </w:tc>
        <w:tc>
          <w:tcPr>
            <w:tcW w:w="1135" w:type="pct"/>
            <w:noWrap w:val="0"/>
            <w:vAlign w:val="center"/>
          </w:tcPr>
          <w:p>
            <w:pPr>
              <w:jc w:val="left"/>
              <w:rPr>
                <w:rFonts w:hint="eastAsia" w:ascii="宋体" w:hAnsi="宋体" w:cs="宋体"/>
                <w:color w:val="auto"/>
                <w:szCs w:val="18"/>
                <w:highlight w:val="none"/>
              </w:rPr>
            </w:pPr>
          </w:p>
        </w:tc>
        <w:tc>
          <w:tcPr>
            <w:tcW w:w="1135" w:type="pct"/>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38" w:type="pct"/>
            <w:noWrap w:val="0"/>
            <w:vAlign w:val="center"/>
          </w:tcPr>
          <w:p>
            <w:pPr>
              <w:adjustRightInd w:val="0"/>
              <w:snapToGrid w:val="0"/>
              <w:jc w:val="left"/>
              <w:rPr>
                <w:rFonts w:hint="eastAsia" w:ascii="宋体" w:hAnsi="宋体" w:cs="宋体"/>
                <w:color w:val="auto"/>
                <w:szCs w:val="18"/>
                <w:highlight w:val="none"/>
              </w:rPr>
            </w:pPr>
          </w:p>
        </w:tc>
        <w:tc>
          <w:tcPr>
            <w:tcW w:w="1135" w:type="pct"/>
            <w:noWrap w:val="0"/>
            <w:vAlign w:val="center"/>
          </w:tcPr>
          <w:p>
            <w:pPr>
              <w:adjustRightInd w:val="0"/>
              <w:snapToGrid w:val="0"/>
              <w:jc w:val="left"/>
              <w:rPr>
                <w:rFonts w:hint="eastAsia" w:ascii="宋体" w:hAnsi="宋体" w:cs="宋体"/>
                <w:color w:val="auto"/>
                <w:szCs w:val="18"/>
                <w:highlight w:val="none"/>
              </w:rPr>
            </w:pPr>
          </w:p>
        </w:tc>
        <w:tc>
          <w:tcPr>
            <w:tcW w:w="1135" w:type="pct"/>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38" w:type="pct"/>
            <w:noWrap w:val="0"/>
            <w:vAlign w:val="center"/>
          </w:tcPr>
          <w:p>
            <w:pPr>
              <w:adjustRightInd w:val="0"/>
              <w:snapToGrid w:val="0"/>
              <w:jc w:val="left"/>
              <w:rPr>
                <w:rFonts w:hint="eastAsia" w:ascii="宋体" w:hAnsi="宋体" w:cs="宋体"/>
                <w:color w:val="auto"/>
                <w:szCs w:val="18"/>
                <w:highlight w:val="none"/>
              </w:rPr>
            </w:pPr>
          </w:p>
        </w:tc>
        <w:tc>
          <w:tcPr>
            <w:tcW w:w="1135" w:type="pct"/>
            <w:noWrap w:val="0"/>
            <w:vAlign w:val="center"/>
          </w:tcPr>
          <w:p>
            <w:pPr>
              <w:adjustRightInd w:val="0"/>
              <w:snapToGrid w:val="0"/>
              <w:jc w:val="left"/>
              <w:rPr>
                <w:rFonts w:hint="eastAsia" w:ascii="宋体" w:hAnsi="宋体" w:cs="宋体"/>
                <w:color w:val="auto"/>
                <w:szCs w:val="18"/>
                <w:highlight w:val="none"/>
              </w:rPr>
            </w:pPr>
          </w:p>
        </w:tc>
        <w:tc>
          <w:tcPr>
            <w:tcW w:w="1135" w:type="pct"/>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noWrap w:val="0"/>
            <w:vAlign w:val="center"/>
          </w:tcPr>
          <w:p>
            <w:pPr>
              <w:jc w:val="center"/>
              <w:rPr>
                <w:rFonts w:hint="eastAsia" w:ascii="宋体" w:hAnsi="宋体" w:cs="宋体"/>
                <w:color w:val="auto"/>
                <w:szCs w:val="21"/>
                <w:highlight w:val="none"/>
              </w:rPr>
            </w:pPr>
          </w:p>
        </w:tc>
        <w:tc>
          <w:tcPr>
            <w:tcW w:w="2238" w:type="pct"/>
            <w:noWrap w:val="0"/>
            <w:vAlign w:val="center"/>
          </w:tcPr>
          <w:p>
            <w:pPr>
              <w:adjustRightInd w:val="0"/>
              <w:snapToGrid w:val="0"/>
              <w:jc w:val="left"/>
              <w:rPr>
                <w:rFonts w:hint="eastAsia" w:ascii="宋体" w:hAnsi="宋体" w:cs="宋体"/>
                <w:color w:val="auto"/>
                <w:highlight w:val="none"/>
              </w:rPr>
            </w:pPr>
            <w:r>
              <w:rPr>
                <w:rFonts w:hint="eastAsia" w:ascii="宋体" w:hAnsi="宋体" w:cs="宋体"/>
                <w:color w:val="auto"/>
                <w:highlight w:val="none"/>
              </w:rPr>
              <w:t>...</w:t>
            </w:r>
          </w:p>
        </w:tc>
        <w:tc>
          <w:tcPr>
            <w:tcW w:w="1135" w:type="pct"/>
            <w:noWrap w:val="0"/>
            <w:vAlign w:val="center"/>
          </w:tcPr>
          <w:p>
            <w:pPr>
              <w:adjustRightInd w:val="0"/>
              <w:snapToGrid w:val="0"/>
              <w:jc w:val="left"/>
              <w:rPr>
                <w:rFonts w:hint="eastAsia" w:ascii="宋体" w:hAnsi="宋体" w:cs="宋体"/>
                <w:color w:val="auto"/>
                <w:highlight w:val="none"/>
              </w:rPr>
            </w:pPr>
          </w:p>
        </w:tc>
        <w:tc>
          <w:tcPr>
            <w:tcW w:w="1135" w:type="pct"/>
            <w:noWrap w:val="0"/>
            <w:vAlign w:val="center"/>
          </w:tcPr>
          <w:p>
            <w:pPr>
              <w:rPr>
                <w:rFonts w:hint="eastAsia" w:ascii="宋体" w:hAnsi="宋体" w:cs="宋体"/>
                <w:color w:val="auto"/>
                <w:szCs w:val="21"/>
                <w:highlight w:val="none"/>
              </w:rPr>
            </w:pPr>
          </w:p>
        </w:tc>
      </w:tr>
    </w:tbl>
    <w:p>
      <w:pPr>
        <w:adjustRightInd w:val="0"/>
        <w:snapToGrid w:val="0"/>
        <w:rPr>
          <w:rFonts w:hint="eastAsia" w:ascii="宋体" w:hAnsi="宋体" w:cs="宋体"/>
          <w:color w:val="auto"/>
          <w:szCs w:val="21"/>
          <w:highlight w:val="none"/>
          <w:lang w:val="en-GB"/>
        </w:rPr>
      </w:pP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val="en-GB"/>
        </w:rPr>
        <w:t>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应根据《技术评审表》《商务评审表》的各项内容填写此表，并附于投标文件中</w:t>
      </w:r>
      <w:r>
        <w:rPr>
          <w:rFonts w:hint="eastAsia" w:ascii="宋体" w:hAnsi="宋体" w:cs="宋体"/>
          <w:color w:val="auto"/>
          <w:szCs w:val="21"/>
          <w:highlight w:val="none"/>
          <w:lang w:val="en-GB"/>
        </w:rPr>
        <w:t>。</w:t>
      </w:r>
    </w:p>
    <w:p>
      <w:pPr>
        <w:pStyle w:val="15"/>
        <w:spacing w:after="0"/>
        <w:rPr>
          <w:rFonts w:hint="eastAsia" w:ascii="宋体" w:hAnsi="宋体" w:cs="宋体"/>
          <w:color w:val="auto"/>
          <w:sz w:val="21"/>
          <w:szCs w:val="21"/>
          <w:highlight w:val="none"/>
        </w:rPr>
      </w:pPr>
    </w:p>
    <w:p>
      <w:pPr>
        <w:rPr>
          <w:rFonts w:hint="eastAsia" w:ascii="宋体" w:hAnsi="宋体" w:eastAsia="宋体" w:cs="宋体"/>
          <w:b/>
          <w:color w:val="auto"/>
          <w:sz w:val="28"/>
          <w:szCs w:val="28"/>
          <w:highlight w:val="none"/>
        </w:rPr>
      </w:pPr>
      <w:r>
        <w:rPr>
          <w:rFonts w:hint="eastAsia" w:ascii="宋体" w:hAnsi="宋体" w:cs="宋体"/>
          <w:color w:val="auto"/>
          <w:sz w:val="21"/>
          <w:szCs w:val="21"/>
          <w:highlight w:val="none"/>
        </w:rPr>
        <w:br w:type="page"/>
      </w:r>
      <w:bookmarkStart w:id="191" w:name="_Toc455417781"/>
      <w:bookmarkStart w:id="192" w:name="_Toc476177986"/>
      <w:bookmarkStart w:id="193" w:name="_Toc477186328"/>
      <w:bookmarkStart w:id="194" w:name="_Toc477185967"/>
      <w:bookmarkStart w:id="195" w:name="_Toc476177427"/>
      <w:bookmarkStart w:id="196" w:name="_Toc118018363"/>
      <w:r>
        <w:rPr>
          <w:rFonts w:hint="eastAsia" w:ascii="宋体" w:hAnsi="宋体" w:eastAsia="宋体" w:cs="宋体"/>
          <w:b/>
          <w:color w:val="auto"/>
          <w:sz w:val="28"/>
          <w:szCs w:val="28"/>
          <w:highlight w:val="none"/>
        </w:rPr>
        <w:t>三、</w:t>
      </w:r>
      <w:bookmarkEnd w:id="191"/>
      <w:bookmarkEnd w:id="192"/>
      <w:bookmarkEnd w:id="193"/>
      <w:bookmarkEnd w:id="194"/>
      <w:bookmarkEnd w:id="195"/>
      <w:bookmarkEnd w:id="196"/>
      <w:r>
        <w:rPr>
          <w:rFonts w:hint="eastAsia" w:ascii="宋体" w:hAnsi="宋体" w:eastAsia="宋体" w:cs="宋体"/>
          <w:b/>
          <w:color w:val="auto"/>
          <w:sz w:val="28"/>
          <w:szCs w:val="28"/>
          <w:highlight w:val="none"/>
        </w:rPr>
        <w:t>资格证明材料</w:t>
      </w:r>
    </w:p>
    <w:p>
      <w:pPr>
        <w:pStyle w:val="6"/>
        <w:numPr>
          <w:ilvl w:val="0"/>
          <w:numId w:val="0"/>
        </w:numPr>
        <w:ind w:left="422"/>
        <w:rPr>
          <w:rFonts w:hint="eastAsia" w:hAnsi="宋体" w:cs="宋体"/>
          <w:b w:val="0"/>
          <w:color w:val="auto"/>
          <w:highlight w:val="none"/>
        </w:rPr>
      </w:pPr>
      <w:r>
        <w:rPr>
          <w:rFonts w:hint="eastAsia" w:hAnsi="宋体" w:cs="宋体"/>
          <w:b w:val="0"/>
          <w:color w:val="auto"/>
          <w:highlight w:val="none"/>
        </w:rPr>
        <w:t>（1）投标函</w:t>
      </w:r>
    </w:p>
    <w:p>
      <w:pPr>
        <w:jc w:val="center"/>
        <w:rPr>
          <w:rFonts w:hint="eastAsia" w:ascii="宋体" w:hAnsi="宋体" w:cs="宋体"/>
          <w:b/>
          <w:color w:val="auto"/>
          <w:sz w:val="28"/>
          <w:highlight w:val="none"/>
        </w:rPr>
      </w:pPr>
      <w:r>
        <w:rPr>
          <w:rFonts w:hint="eastAsia" w:ascii="宋体" w:hAnsi="宋体" w:cs="宋体"/>
          <w:b/>
          <w:color w:val="auto"/>
          <w:sz w:val="28"/>
          <w:highlight w:val="none"/>
        </w:rPr>
        <w:t>投 标 函</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致:（招标人名称）</w:t>
      </w:r>
    </w:p>
    <w:p>
      <w:pPr>
        <w:spacing w:line="360" w:lineRule="auto"/>
        <w:rPr>
          <w:rFonts w:hint="eastAsia" w:ascii="宋体" w:hAnsi="宋体" w:cs="宋体"/>
          <w:color w:val="auto"/>
          <w:highlight w:val="none"/>
        </w:rPr>
      </w:pP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 xml:space="preserve">  我方确认收到贵方提供的（</w:t>
      </w:r>
      <w:r>
        <w:rPr>
          <w:rFonts w:hint="eastAsia" w:ascii="宋体" w:hAnsi="宋体" w:cs="宋体"/>
          <w:color w:val="auto"/>
          <w:kern w:val="28"/>
          <w:highlight w:val="none"/>
          <w:u w:val="single"/>
        </w:rPr>
        <w:t>招标项目名称）</w:t>
      </w:r>
      <w:r>
        <w:rPr>
          <w:rFonts w:hint="eastAsia" w:ascii="宋体" w:hAnsi="宋体" w:cs="宋体"/>
          <w:color w:val="auto"/>
          <w:highlight w:val="none"/>
        </w:rPr>
        <w:t>的招标文件的全部内容，我方：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供应商</w:t>
      </w:r>
      <w:r>
        <w:rPr>
          <w:rFonts w:hint="eastAsia" w:ascii="宋体" w:hAnsi="宋体" w:cs="宋体"/>
          <w:color w:val="auto"/>
          <w:highlight w:val="none"/>
          <w:u w:val="single"/>
        </w:rPr>
        <w:t>名称）</w:t>
      </w:r>
      <w:r>
        <w:rPr>
          <w:rFonts w:hint="eastAsia" w:ascii="宋体" w:hAnsi="宋体" w:cs="宋体"/>
          <w:color w:val="auto"/>
          <w:highlight w:val="none"/>
        </w:rPr>
        <w:t>作为投标者正式授权</w:t>
      </w:r>
      <w:r>
        <w:rPr>
          <w:rFonts w:hint="eastAsia" w:ascii="宋体" w:hAnsi="宋体" w:cs="宋体"/>
          <w:color w:val="auto"/>
          <w:highlight w:val="none"/>
          <w:u w:val="single"/>
        </w:rPr>
        <w:t>（授权代表全名, 职务）</w:t>
      </w:r>
      <w:r>
        <w:rPr>
          <w:rFonts w:hint="eastAsia" w:ascii="宋体" w:hAnsi="宋体" w:cs="宋体"/>
          <w:color w:val="auto"/>
          <w:highlight w:val="none"/>
        </w:rPr>
        <w:t>代表我方进行有关本投标的一切事宜。</w:t>
      </w:r>
    </w:p>
    <w:p>
      <w:pPr>
        <w:spacing w:line="360" w:lineRule="auto"/>
        <w:ind w:firstLine="516" w:firstLineChars="246"/>
        <w:rPr>
          <w:rFonts w:hint="eastAsia" w:ascii="宋体" w:hAnsi="宋体" w:cs="宋体"/>
          <w:color w:val="auto"/>
          <w:highlight w:val="none"/>
        </w:rPr>
      </w:pPr>
      <w:r>
        <w:rPr>
          <w:rFonts w:hint="eastAsia" w:ascii="宋体" w:hAnsi="宋体" w:cs="宋体"/>
          <w:color w:val="auto"/>
          <w:highlight w:val="none"/>
        </w:rPr>
        <w:t>在此提交的投标文件, 正本一份, 副本</w:t>
      </w:r>
      <w:r>
        <w:rPr>
          <w:rFonts w:hint="eastAsia" w:ascii="宋体" w:hAnsi="宋体" w:cs="宋体"/>
          <w:color w:val="auto"/>
          <w:highlight w:val="none"/>
          <w:u w:val="single"/>
        </w:rPr>
        <w:t xml:space="preserve">     </w:t>
      </w:r>
      <w:r>
        <w:rPr>
          <w:rFonts w:hint="eastAsia" w:ascii="宋体" w:hAnsi="宋体" w:cs="宋体"/>
          <w:color w:val="auto"/>
          <w:highlight w:val="none"/>
        </w:rPr>
        <w:t>份，包括如下等内容：</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报价表；</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投标函；</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法定代表人/负责人</w:t>
      </w:r>
      <w:r>
        <w:rPr>
          <w:rFonts w:hint="eastAsia" w:ascii="宋体" w:hAnsi="宋体" w:cs="宋体"/>
          <w:b w:val="0"/>
          <w:bCs w:val="0"/>
          <w:color w:val="auto"/>
          <w:sz w:val="21"/>
          <w:szCs w:val="21"/>
          <w:highlight w:val="none"/>
        </w:rPr>
        <w:t>证明书及法人授权书；</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投标保证金支付证明复印件；</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有关确立</w:t>
      </w:r>
      <w:r>
        <w:rPr>
          <w:rFonts w:hint="eastAsia" w:ascii="宋体" w:hAnsi="宋体" w:cs="宋体"/>
          <w:b w:val="0"/>
          <w:bCs w:val="0"/>
          <w:color w:val="auto"/>
          <w:sz w:val="21"/>
          <w:szCs w:val="21"/>
          <w:highlight w:val="none"/>
          <w:lang w:eastAsia="zh-CN"/>
        </w:rPr>
        <w:t>供应商</w:t>
      </w:r>
      <w:r>
        <w:rPr>
          <w:rFonts w:hint="eastAsia" w:ascii="宋体" w:hAnsi="宋体" w:cs="宋体"/>
          <w:b w:val="0"/>
          <w:bCs w:val="0"/>
          <w:color w:val="auto"/>
          <w:sz w:val="21"/>
          <w:szCs w:val="21"/>
          <w:highlight w:val="none"/>
        </w:rPr>
        <w:t>法律地位的原始文件副本复印件（如营业执照、组织代码证、税务登记证等）；</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资格及能力证明文件；</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商务响应文件；</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技术响应文件；</w:t>
      </w:r>
    </w:p>
    <w:p>
      <w:pPr>
        <w:numPr>
          <w:ilvl w:val="0"/>
          <w:numId w:val="17"/>
        </w:numPr>
        <w:tabs>
          <w:tab w:val="left" w:pos="0"/>
          <w:tab w:val="clear" w:pos="851"/>
        </w:tabs>
        <w:autoSpaceDE w:val="0"/>
        <w:autoSpaceDN w:val="0"/>
        <w:adjustRightInd w:val="0"/>
        <w:spacing w:line="360" w:lineRule="auto"/>
        <w:ind w:left="-2" w:leftChars="-1" w:firstLine="516" w:firstLineChars="246"/>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应招标文件的要求提供的其他有关文件</w:t>
      </w:r>
    </w:p>
    <w:p>
      <w:pPr>
        <w:spacing w:line="360" w:lineRule="auto"/>
        <w:ind w:firstLine="411" w:firstLineChars="196"/>
        <w:rPr>
          <w:rFonts w:hint="eastAsia" w:ascii="宋体" w:hAnsi="宋体" w:cs="宋体"/>
          <w:b w:val="0"/>
          <w:bCs w:val="0"/>
          <w:color w:val="auto"/>
          <w:highlight w:val="none"/>
        </w:rPr>
      </w:pPr>
      <w:r>
        <w:rPr>
          <w:rFonts w:hint="eastAsia" w:ascii="宋体" w:hAnsi="宋体" w:cs="宋体"/>
          <w:b w:val="0"/>
          <w:bCs w:val="0"/>
          <w:color w:val="auto"/>
          <w:sz w:val="21"/>
          <w:szCs w:val="21"/>
          <w:highlight w:val="none"/>
        </w:rPr>
        <w:t>我方已完全</w:t>
      </w:r>
      <w:r>
        <w:rPr>
          <w:rFonts w:hint="eastAsia" w:ascii="宋体" w:hAnsi="宋体" w:cs="宋体"/>
          <w:b w:val="0"/>
          <w:bCs w:val="0"/>
          <w:color w:val="auto"/>
          <w:highlight w:val="none"/>
        </w:rPr>
        <w:t>明白招标文件的所有条款要求，并重申以下几点：</w:t>
      </w:r>
    </w:p>
    <w:p>
      <w:pPr>
        <w:spacing w:line="360" w:lineRule="auto"/>
        <w:ind w:firstLine="411" w:firstLineChars="196"/>
        <w:rPr>
          <w:rFonts w:hint="eastAsia" w:ascii="宋体" w:hAnsi="宋体" w:cs="宋体"/>
          <w:color w:val="auto"/>
          <w:highlight w:val="none"/>
        </w:rPr>
      </w:pPr>
      <w:r>
        <w:rPr>
          <w:rFonts w:hint="eastAsia" w:ascii="宋体" w:hAnsi="宋体" w:cs="宋体"/>
          <w:b w:val="0"/>
          <w:bCs w:val="0"/>
          <w:color w:val="auto"/>
          <w:highlight w:val="none"/>
        </w:rPr>
        <w:t>（一）我方决定参</w:t>
      </w:r>
      <w:r>
        <w:rPr>
          <w:rFonts w:hint="eastAsia" w:ascii="宋体" w:hAnsi="宋体" w:cs="宋体"/>
          <w:color w:val="auto"/>
          <w:highlight w:val="none"/>
        </w:rPr>
        <w:t>加：项目名称</w:t>
      </w:r>
      <w:r>
        <w:rPr>
          <w:rFonts w:hint="eastAsia" w:ascii="宋体" w:hAnsi="宋体" w:cs="宋体"/>
          <w:color w:val="auto"/>
          <w:highlight w:val="non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子包（）</w:t>
      </w:r>
      <w:r>
        <w:rPr>
          <w:rFonts w:hint="eastAsia" w:ascii="宋体" w:hAnsi="宋体" w:cs="宋体"/>
          <w:color w:val="auto"/>
          <w:highlight w:val="none"/>
        </w:rPr>
        <w:t>的投标。</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（二）有关服务的投标总价详见投标报价表。</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（三）本投标文件的有效期投标截止日后</w:t>
      </w:r>
      <w:r>
        <w:rPr>
          <w:rFonts w:hint="eastAsia" w:ascii="宋体" w:hAnsi="宋体" w:cs="宋体"/>
          <w:b/>
          <w:color w:val="auto"/>
          <w:highlight w:val="none"/>
        </w:rPr>
        <w:t>90日</w:t>
      </w:r>
      <w:r>
        <w:rPr>
          <w:rFonts w:hint="eastAsia" w:ascii="宋体" w:hAnsi="宋体" w:cs="宋体"/>
          <w:color w:val="auto"/>
          <w:highlight w:val="none"/>
        </w:rPr>
        <w:t>有效，如中标，有效期将延至合同终止日为止。</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（四）我方已详细研究了招标文件的所有内容包括修正文（如果有）和所有已提供的参考资料以及有关附件并完全明白, 我方放弃在此方面提出含糊意见或误解的一切权力。</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（五）我方明白并愿意在规定的</w:t>
      </w:r>
      <w:r>
        <w:rPr>
          <w:rFonts w:hint="eastAsia" w:ascii="宋体" w:hAnsi="宋体" w:cs="宋体"/>
          <w:color w:val="auto"/>
          <w:highlight w:val="none"/>
          <w:lang w:eastAsia="zh-CN"/>
        </w:rPr>
        <w:t>投标截止</w:t>
      </w:r>
      <w:r>
        <w:rPr>
          <w:rFonts w:hint="eastAsia" w:ascii="宋体" w:hAnsi="宋体" w:cs="宋体"/>
          <w:color w:val="auto"/>
          <w:highlight w:val="none"/>
        </w:rPr>
        <w:t>时间和日期之后,投标有效期之内撤回投标, 则投标保证金将被贵方没收。</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（六）我方同意按照贵方可能提出的要求而提供与投标有关的任何其它数据或信息。</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（七）我方理解贵方不一定接受最低标价或任何贵方可能收到的投标。</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（八）我方如果中标，将保证履行招标文件以及招标文件修改书（如果有的话）中的全部责任和义务，按质、按量、按期完成《合同书》中的全部任务。</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（九）如我方被授予合同，我方就本次招标支付有关的招标服务费。</w:t>
      </w:r>
    </w:p>
    <w:p>
      <w:pPr>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（十）所有与本招标有关的函件请发往下列地址:</w:t>
      </w:r>
    </w:p>
    <w:p>
      <w:pPr>
        <w:spacing w:line="360" w:lineRule="auto"/>
        <w:ind w:left="721"/>
        <w:rPr>
          <w:rFonts w:hint="eastAsia" w:ascii="宋体" w:hAnsi="宋体" w:cs="宋体"/>
          <w:color w:val="auto"/>
          <w:highlight w:val="none"/>
          <w:u w:val="single"/>
        </w:rPr>
      </w:pP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left="721"/>
        <w:rPr>
          <w:rFonts w:hint="eastAsia" w:ascii="宋体" w:hAnsi="宋体" w:cs="宋体"/>
          <w:color w:val="auto"/>
          <w:highlight w:val="none"/>
          <w:u w:val="single"/>
        </w:rPr>
      </w:pP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邮</w:t>
      </w:r>
      <w:r>
        <w:rPr>
          <w:rFonts w:hint="eastAsia" w:ascii="宋体" w:hAnsi="宋体" w:cs="宋体"/>
          <w:color w:val="auto"/>
          <w:highlight w:val="none"/>
        </w:rPr>
        <w:t xml:space="preserve">    </w:t>
      </w:r>
      <w:r>
        <w:rPr>
          <w:rFonts w:hint="eastAsia" w:ascii="宋体" w:hAnsi="宋体" w:cs="宋体"/>
          <w:color w:val="auto"/>
          <w:highlight w:val="none"/>
          <w:lang w:val="en-US" w:eastAsia="zh-CN"/>
        </w:rPr>
        <w:t>箱</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left="721"/>
        <w:rPr>
          <w:rFonts w:hint="eastAsia" w:ascii="宋体" w:hAnsi="宋体" w:cs="宋体"/>
          <w:color w:val="auto"/>
          <w:highlight w:val="none"/>
          <w:u w:val="single"/>
        </w:rPr>
      </w:pPr>
      <w:r>
        <w:rPr>
          <w:rFonts w:hint="eastAsia" w:ascii="宋体" w:hAnsi="宋体" w:cs="宋体"/>
          <w:color w:val="auto"/>
          <w:highlight w:val="none"/>
        </w:rPr>
        <w:t xml:space="preserve"> 代表姓名：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rPr>
          <w:rFonts w:hint="eastAsia" w:ascii="宋体" w:hAnsi="宋体" w:cs="宋体"/>
          <w:color w:val="auto"/>
          <w:highlight w:val="none"/>
          <w:u w:val="single"/>
        </w:rPr>
      </w:pPr>
    </w:p>
    <w:p>
      <w:pPr>
        <w:spacing w:line="360" w:lineRule="auto"/>
        <w:ind w:left="630" w:hanging="630"/>
        <w:rPr>
          <w:rFonts w:hint="eastAsia" w:ascii="宋体" w:hAnsi="宋体" w:cs="宋体"/>
          <w:color w:val="auto"/>
          <w:highlight w:val="none"/>
        </w:rPr>
      </w:pPr>
    </w:p>
    <w:p>
      <w:pPr>
        <w:spacing w:line="360" w:lineRule="auto"/>
        <w:rPr>
          <w:rFonts w:hint="eastAsia" w:ascii="宋体" w:hAnsi="宋体" w:cs="宋体"/>
          <w:color w:val="auto"/>
          <w:highlight w:val="none"/>
          <w:u w:val="single"/>
        </w:rPr>
      </w:pPr>
    </w:p>
    <w:p>
      <w:pPr>
        <w:pStyle w:val="17"/>
        <w:keepNext w:val="0"/>
        <w:keepLines w:val="0"/>
        <w:pageBreakBefore w:val="0"/>
        <w:widowControl w:val="0"/>
        <w:kinsoku/>
        <w:wordWrap/>
        <w:overflowPunct/>
        <w:topLinePunct w:val="0"/>
        <w:autoSpaceDE/>
        <w:autoSpaceDN/>
        <w:bidi w:val="0"/>
        <w:adjustRightInd/>
        <w:snapToGrid/>
        <w:spacing w:line="360" w:lineRule="auto"/>
        <w:ind w:left="4700" w:leftChars="2238"/>
        <w:jc w:val="left"/>
        <w:textAlignment w:val="auto"/>
        <w:rPr>
          <w:rFonts w:hint="eastAsia"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名称:（盖章）</w:t>
      </w:r>
    </w:p>
    <w:p>
      <w:pPr>
        <w:pStyle w:val="17"/>
        <w:keepNext w:val="0"/>
        <w:keepLines w:val="0"/>
        <w:pageBreakBefore w:val="0"/>
        <w:widowControl w:val="0"/>
        <w:kinsoku/>
        <w:wordWrap/>
        <w:overflowPunct/>
        <w:topLinePunct w:val="0"/>
        <w:autoSpaceDE/>
        <w:autoSpaceDN/>
        <w:bidi w:val="0"/>
        <w:adjustRightInd/>
        <w:snapToGrid/>
        <w:spacing w:line="360" w:lineRule="auto"/>
        <w:ind w:left="4700" w:leftChars="2238"/>
        <w:jc w:val="left"/>
        <w:textAlignment w:val="auto"/>
        <w:rPr>
          <w:rFonts w:hint="eastAsia" w:hAnsi="宋体" w:cs="宋体"/>
          <w:color w:val="auto"/>
          <w:highlight w:val="none"/>
        </w:rPr>
      </w:pPr>
      <w:r>
        <w:rPr>
          <w:rFonts w:hint="eastAsia" w:hAnsi="宋体" w:cs="宋体"/>
          <w:color w:val="auto"/>
          <w:highlight w:val="none"/>
          <w:lang w:eastAsia="zh-CN"/>
        </w:rPr>
        <w:t>供应商法定代表人/负责人（</w:t>
      </w:r>
      <w:r>
        <w:rPr>
          <w:rFonts w:hint="eastAsia" w:hAnsi="宋体" w:cs="宋体"/>
          <w:color w:val="auto"/>
          <w:highlight w:val="none"/>
        </w:rPr>
        <w:t>或其授权代表</w:t>
      </w:r>
      <w:r>
        <w:rPr>
          <w:rFonts w:hint="eastAsia" w:hAnsi="宋体" w:cs="宋体"/>
          <w:color w:val="auto"/>
          <w:highlight w:val="none"/>
          <w:lang w:eastAsia="zh-CN"/>
        </w:rPr>
        <w:t>）</w:t>
      </w:r>
      <w:r>
        <w:rPr>
          <w:rFonts w:hint="eastAsia" w:hAnsi="宋体" w:cs="宋体"/>
          <w:color w:val="auto"/>
          <w:highlight w:val="none"/>
        </w:rPr>
        <w:t>：（签名或盖章）</w:t>
      </w:r>
    </w:p>
    <w:p>
      <w:pPr>
        <w:pStyle w:val="17"/>
        <w:keepNext w:val="0"/>
        <w:keepLines w:val="0"/>
        <w:pageBreakBefore w:val="0"/>
        <w:widowControl w:val="0"/>
        <w:kinsoku/>
        <w:wordWrap/>
        <w:overflowPunct/>
        <w:topLinePunct w:val="0"/>
        <w:autoSpaceDE/>
        <w:autoSpaceDN/>
        <w:bidi w:val="0"/>
        <w:adjustRightInd/>
        <w:snapToGrid/>
        <w:spacing w:line="360" w:lineRule="auto"/>
        <w:ind w:left="4700" w:leftChars="2238"/>
        <w:jc w:val="left"/>
        <w:textAlignment w:val="auto"/>
        <w:rPr>
          <w:rFonts w:hint="eastAsia" w:hAnsi="宋体" w:cs="宋体"/>
          <w:color w:val="auto"/>
          <w:szCs w:val="21"/>
          <w:highlight w:val="none"/>
        </w:rPr>
      </w:pPr>
      <w:r>
        <w:rPr>
          <w:rFonts w:hint="eastAsia" w:hAnsi="宋体" w:cs="宋体"/>
          <w:color w:val="auto"/>
          <w:highlight w:val="none"/>
        </w:rPr>
        <w:t>日期：    年   月   日</w:t>
      </w:r>
    </w:p>
    <w:p>
      <w:pPr>
        <w:spacing w:line="360" w:lineRule="auto"/>
        <w:ind w:left="721"/>
        <w:rPr>
          <w:rFonts w:hint="eastAsia" w:ascii="宋体" w:hAnsi="宋体" w:cs="宋体"/>
          <w:color w:val="auto"/>
          <w:highlight w:val="none"/>
          <w:u w:val="singl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tabs>
          <w:tab w:val="left" w:pos="4320"/>
        </w:tabs>
        <w:rPr>
          <w:rFonts w:hint="eastAsia" w:ascii="宋体" w:hAnsi="宋体" w:cs="宋体"/>
          <w:color w:val="auto"/>
          <w:highlight w:val="none"/>
        </w:rPr>
      </w:pPr>
    </w:p>
    <w:p>
      <w:pPr>
        <w:rPr>
          <w:rFonts w:hint="eastAsia" w:ascii="宋体" w:hAnsi="宋体" w:cs="宋体"/>
          <w:color w:val="auto"/>
          <w:highlight w:val="none"/>
        </w:rPr>
      </w:pPr>
      <w:bookmarkStart w:id="197" w:name="_Toc496161873"/>
      <w:bookmarkStart w:id="198" w:name="_Toc118018365"/>
      <w:r>
        <w:rPr>
          <w:rFonts w:hint="eastAsia" w:ascii="宋体" w:hAnsi="宋体" w:cs="宋体"/>
          <w:color w:val="auto"/>
          <w:highlight w:val="none"/>
        </w:rPr>
        <w:br w:type="page"/>
      </w:r>
      <w:bookmarkStart w:id="199" w:name="_Toc455417783"/>
      <w:bookmarkStart w:id="200" w:name="_Toc476177432"/>
      <w:bookmarkStart w:id="201" w:name="_Toc476177991"/>
    </w:p>
    <w:p>
      <w:pPr>
        <w:pStyle w:val="6"/>
        <w:numPr>
          <w:ilvl w:val="0"/>
          <w:numId w:val="0"/>
        </w:numPr>
        <w:ind w:left="422"/>
        <w:rPr>
          <w:rFonts w:hint="eastAsia" w:hAnsi="宋体" w:cs="宋体"/>
          <w:b w:val="0"/>
          <w:bCs/>
          <w:color w:val="auto"/>
          <w:highlight w:val="none"/>
        </w:rPr>
      </w:pPr>
      <w:bookmarkStart w:id="202" w:name="_Toc477185969"/>
      <w:bookmarkStart w:id="203" w:name="_Toc477186330"/>
      <w:r>
        <w:rPr>
          <w:rFonts w:hint="eastAsia" w:hAnsi="宋体" w:cs="宋体"/>
          <w:b w:val="0"/>
          <w:bCs/>
          <w:color w:val="auto"/>
          <w:highlight w:val="none"/>
        </w:rPr>
        <w:t>（2）</w:t>
      </w:r>
      <w:r>
        <w:rPr>
          <w:rFonts w:hint="eastAsia" w:hAnsi="宋体" w:cs="宋体"/>
          <w:b w:val="0"/>
          <w:bCs/>
          <w:color w:val="auto"/>
          <w:highlight w:val="none"/>
          <w:lang w:eastAsia="zh-CN"/>
        </w:rPr>
        <w:t>法定代表人/负责人</w:t>
      </w:r>
      <w:r>
        <w:rPr>
          <w:rFonts w:hint="eastAsia" w:hAnsi="宋体" w:cs="宋体"/>
          <w:b w:val="0"/>
          <w:bCs/>
          <w:color w:val="auto"/>
          <w:highlight w:val="none"/>
        </w:rPr>
        <w:t>证明书</w:t>
      </w:r>
      <w:bookmarkEnd w:id="197"/>
      <w:r>
        <w:rPr>
          <w:rFonts w:hint="eastAsia" w:hAnsi="宋体" w:cs="宋体"/>
          <w:b w:val="0"/>
          <w:bCs/>
          <w:color w:val="auto"/>
          <w:highlight w:val="none"/>
        </w:rPr>
        <w:t>及</w:t>
      </w:r>
      <w:r>
        <w:rPr>
          <w:rFonts w:hint="eastAsia" w:hAnsi="宋体" w:cs="宋体"/>
          <w:b w:val="0"/>
          <w:bCs/>
          <w:color w:val="auto"/>
          <w:highlight w:val="none"/>
          <w:lang w:eastAsia="zh-CN"/>
        </w:rPr>
        <w:t>法定代表人/负责人</w:t>
      </w:r>
      <w:r>
        <w:rPr>
          <w:rFonts w:hint="eastAsia" w:hAnsi="宋体" w:cs="宋体"/>
          <w:b w:val="0"/>
          <w:bCs/>
          <w:color w:val="auto"/>
          <w:highlight w:val="none"/>
        </w:rPr>
        <w:t>授权书</w:t>
      </w:r>
      <w:bookmarkEnd w:id="198"/>
      <w:bookmarkEnd w:id="199"/>
      <w:bookmarkEnd w:id="200"/>
      <w:bookmarkEnd w:id="201"/>
      <w:bookmarkEnd w:id="202"/>
      <w:bookmarkEnd w:id="203"/>
    </w:p>
    <w:p>
      <w:pPr>
        <w:widowControl/>
        <w:jc w:val="left"/>
        <w:rPr>
          <w:rFonts w:hint="eastAsia" w:ascii="宋体" w:hAnsi="宋体" w:cs="宋体"/>
          <w:color w:val="auto"/>
          <w:highlight w:val="none"/>
        </w:rPr>
      </w:pP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可使用下述格式，也可使用广东省工商行政管理局统一印制的</w:t>
      </w:r>
      <w:r>
        <w:rPr>
          <w:rFonts w:hint="eastAsia" w:ascii="宋体" w:hAnsi="宋体" w:cs="宋体"/>
          <w:bCs/>
          <w:color w:val="auto"/>
          <w:szCs w:val="21"/>
          <w:highlight w:val="none"/>
          <w:lang w:eastAsia="zh-CN"/>
        </w:rPr>
        <w:t>法定代表人/负责人</w:t>
      </w:r>
      <w:r>
        <w:rPr>
          <w:rFonts w:hint="eastAsia" w:ascii="宋体" w:hAnsi="宋体" w:cs="宋体"/>
          <w:bCs/>
          <w:color w:val="auto"/>
          <w:szCs w:val="21"/>
          <w:highlight w:val="none"/>
        </w:rPr>
        <w:t>证明书格式）</w:t>
      </w:r>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法定代表人/负责人证明书</w:t>
      </w:r>
    </w:p>
    <w:p>
      <w:pPr>
        <w:spacing w:line="360" w:lineRule="auto"/>
        <w:rPr>
          <w:rFonts w:hint="eastAsia" w:ascii="宋体" w:hAnsi="宋体" w:cs="宋体"/>
          <w:bCs/>
          <w:color w:val="auto"/>
          <w:szCs w:val="21"/>
          <w:highlight w:val="none"/>
          <w:u w:val="single"/>
        </w:rPr>
      </w:pP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（姓名）</w:t>
      </w:r>
      <w:r>
        <w:rPr>
          <w:rFonts w:hint="eastAsia" w:ascii="宋体" w:hAnsi="宋体" w:cs="宋体"/>
          <w:bCs/>
          <w:color w:val="auto"/>
          <w:szCs w:val="21"/>
          <w:highlight w:val="none"/>
        </w:rPr>
        <w:t>现任我单位</w:t>
      </w:r>
      <w:r>
        <w:rPr>
          <w:rFonts w:hint="eastAsia" w:ascii="宋体" w:hAnsi="宋体" w:cs="宋体"/>
          <w:bCs/>
          <w:color w:val="auto"/>
          <w:szCs w:val="21"/>
          <w:highlight w:val="none"/>
          <w:u w:val="single"/>
        </w:rPr>
        <w:t>（职务）</w:t>
      </w:r>
      <w:r>
        <w:rPr>
          <w:rFonts w:hint="eastAsia" w:ascii="宋体" w:hAnsi="宋体" w:cs="宋体"/>
          <w:bCs/>
          <w:color w:val="auto"/>
          <w:szCs w:val="21"/>
          <w:highlight w:val="none"/>
        </w:rPr>
        <w:t>，为我司</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法定代表人/负责人，特此证明。</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有效期限：</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附：代表人性别：年龄：身份证号码：___________________________</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企业注册号码：企业类型：_____________________________________ </w:t>
      </w:r>
    </w:p>
    <w:p>
      <w:p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经营范围：</w:t>
      </w:r>
    </w:p>
    <w:p>
      <w:pPr>
        <w:spacing w:line="360" w:lineRule="auto"/>
        <w:jc w:val="left"/>
        <w:rPr>
          <w:rFonts w:hint="eastAsia" w:ascii="宋体" w:hAnsi="宋体" w:cs="宋体"/>
          <w:b/>
          <w:color w:val="auto"/>
          <w:szCs w:val="21"/>
          <w:highlight w:val="none"/>
          <w:u w:val="single"/>
        </w:rPr>
      </w:pPr>
      <w:r>
        <w:rPr>
          <w:rFonts w:hint="eastAsia" w:ascii="宋体" w:hAnsi="宋体" w:cs="宋体"/>
          <w:bCs/>
          <w:color w:val="auto"/>
          <w:szCs w:val="21"/>
          <w:highlight w:val="none"/>
        </w:rPr>
        <w:t>______________________________________________________。</w:t>
      </w:r>
    </w:p>
    <w:p>
      <w:pPr>
        <w:spacing w:line="360" w:lineRule="auto"/>
        <w:rPr>
          <w:rFonts w:hint="eastAsia" w:ascii="宋体" w:hAnsi="宋体" w:cs="宋体"/>
          <w:b/>
          <w:color w:val="auto"/>
          <w:szCs w:val="21"/>
          <w:highlight w:val="none"/>
        </w:rPr>
      </w:pPr>
    </w:p>
    <w:p>
      <w:pPr>
        <w:pStyle w:val="17"/>
        <w:ind w:left="4700" w:leftChars="2238"/>
        <w:jc w:val="left"/>
        <w:rPr>
          <w:rFonts w:hint="eastAsia"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名称:（盖章）</w:t>
      </w:r>
    </w:p>
    <w:p>
      <w:pPr>
        <w:pStyle w:val="17"/>
        <w:ind w:left="4700" w:leftChars="2238"/>
        <w:jc w:val="left"/>
        <w:rPr>
          <w:rFonts w:hint="eastAsia" w:hAnsi="宋体" w:cs="宋体"/>
          <w:color w:val="auto"/>
          <w:szCs w:val="21"/>
          <w:highlight w:val="none"/>
        </w:rPr>
      </w:pPr>
      <w:r>
        <w:rPr>
          <w:rFonts w:hint="eastAsia" w:hAnsi="宋体" w:cs="宋体"/>
          <w:color w:val="auto"/>
          <w:highlight w:val="none"/>
        </w:rPr>
        <w:t>日期：    年   月   日</w:t>
      </w:r>
    </w:p>
    <w:p>
      <w:pPr>
        <w:rPr>
          <w:rFonts w:hint="eastAsia" w:ascii="宋体" w:hAnsi="宋体" w:cs="宋体"/>
          <w:color w:val="auto"/>
          <w:sz w:val="28"/>
          <w:szCs w:val="28"/>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338" w:type="dxa"/>
            <w:noWrap w:val="0"/>
            <w:vAlign w:val="center"/>
          </w:tcPr>
          <w:p>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粘贴法定代表人/负责人身份证复印件</w:t>
            </w:r>
          </w:p>
        </w:tc>
      </w:tr>
    </w:tbl>
    <w:p>
      <w:pPr>
        <w:spacing w:line="360" w:lineRule="auto"/>
        <w:rPr>
          <w:rFonts w:hint="eastAsia" w:ascii="宋体" w:hAnsi="宋体" w:cs="宋体"/>
          <w:color w:val="auto"/>
          <w:highlight w:val="none"/>
        </w:rPr>
      </w:pPr>
      <w:r>
        <w:rPr>
          <w:rFonts w:hint="eastAsia" w:ascii="宋体" w:hAnsi="宋体" w:cs="宋体"/>
          <w:color w:val="auto"/>
          <w:highlight w:val="none"/>
        </w:rPr>
        <w:br w:type="page"/>
      </w:r>
    </w:p>
    <w:p>
      <w:pPr>
        <w:spacing w:line="360" w:lineRule="auto"/>
        <w:jc w:val="center"/>
        <w:rPr>
          <w:rFonts w:hint="eastAsia" w:ascii="宋体" w:hAnsi="宋体" w:cs="宋体"/>
          <w:b/>
          <w:bCs/>
          <w:color w:val="auto"/>
          <w:sz w:val="30"/>
          <w:highlight w:val="none"/>
        </w:rPr>
      </w:pPr>
      <w:r>
        <w:rPr>
          <w:rFonts w:hint="eastAsia" w:ascii="宋体" w:hAnsi="宋体" w:cs="宋体"/>
          <w:b/>
          <w:bCs/>
          <w:color w:val="auto"/>
          <w:sz w:val="30"/>
          <w:highlight w:val="none"/>
        </w:rPr>
        <w:t>法定代表人/负责</w:t>
      </w:r>
      <w:r>
        <w:rPr>
          <w:rFonts w:hint="eastAsia" w:ascii="宋体" w:hAnsi="宋体" w:cs="宋体"/>
          <w:b/>
          <w:bCs/>
          <w:color w:val="auto"/>
          <w:sz w:val="30"/>
          <w:highlight w:val="none"/>
          <w:lang w:val="en-US" w:eastAsia="zh-CN"/>
        </w:rPr>
        <w:t>人</w:t>
      </w:r>
      <w:r>
        <w:rPr>
          <w:rFonts w:hint="eastAsia" w:ascii="宋体" w:hAnsi="宋体" w:cs="宋体"/>
          <w:b/>
          <w:bCs/>
          <w:color w:val="auto"/>
          <w:sz w:val="30"/>
          <w:highlight w:val="none"/>
        </w:rPr>
        <w:t>授权书</w:t>
      </w:r>
    </w:p>
    <w:p>
      <w:pPr>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szCs w:val="21"/>
          <w:highlight w:val="none"/>
        </w:rPr>
        <w:t>广东省机电设备招标有限公司</w:t>
      </w:r>
    </w:p>
    <w:p>
      <w:pPr>
        <w:spacing w:line="360" w:lineRule="auto"/>
        <w:ind w:firstLine="630" w:firstLineChars="300"/>
        <w:rPr>
          <w:rFonts w:hint="eastAsia" w:ascii="宋体" w:hAnsi="宋体" w:cs="宋体"/>
          <w:color w:val="auto"/>
          <w:highlight w:val="none"/>
        </w:rPr>
      </w:pPr>
      <w:r>
        <w:rPr>
          <w:rFonts w:hint="eastAsia" w:ascii="宋体" w:hAnsi="宋体" w:cs="宋体"/>
          <w:color w:val="auto"/>
          <w:highlight w:val="none"/>
        </w:rPr>
        <w:t>本授权书声明：注册于</w:t>
      </w:r>
      <w:r>
        <w:rPr>
          <w:rFonts w:hint="eastAsia" w:ascii="宋体" w:hAnsi="宋体" w:cs="宋体"/>
          <w:color w:val="auto"/>
          <w:highlight w:val="none"/>
          <w:u w:val="single"/>
        </w:rPr>
        <w:t>（国家或地区）</w:t>
      </w:r>
      <w:r>
        <w:rPr>
          <w:rFonts w:hint="eastAsia" w:ascii="宋体" w:hAnsi="宋体" w:cs="宋体"/>
          <w:color w:val="auto"/>
          <w:highlight w:val="none"/>
        </w:rPr>
        <w:t>的</w:t>
      </w:r>
      <w:r>
        <w:rPr>
          <w:rFonts w:hint="eastAsia" w:ascii="宋体" w:hAnsi="宋体" w:cs="宋体"/>
          <w:color w:val="auto"/>
          <w:highlight w:val="none"/>
          <w:u w:val="single"/>
        </w:rPr>
        <w:t>（</w:t>
      </w:r>
      <w:r>
        <w:rPr>
          <w:rFonts w:hint="eastAsia" w:ascii="宋体" w:hAnsi="宋体" w:cs="宋体"/>
          <w:color w:val="auto"/>
          <w:highlight w:val="none"/>
          <w:u w:val="single"/>
          <w:lang w:eastAsia="zh-CN"/>
        </w:rPr>
        <w:t>供应商</w:t>
      </w:r>
      <w:r>
        <w:rPr>
          <w:rFonts w:hint="eastAsia" w:ascii="宋体" w:hAnsi="宋体" w:cs="宋体"/>
          <w:color w:val="auto"/>
          <w:highlight w:val="none"/>
          <w:u w:val="single"/>
        </w:rPr>
        <w:t>名称）</w:t>
      </w:r>
      <w:r>
        <w:rPr>
          <w:rFonts w:hint="eastAsia" w:ascii="宋体" w:hAnsi="宋体" w:cs="宋体"/>
          <w:color w:val="auto"/>
          <w:highlight w:val="none"/>
        </w:rPr>
        <w:t>的在下面签字的</w:t>
      </w:r>
      <w:r>
        <w:rPr>
          <w:rFonts w:hint="eastAsia" w:ascii="宋体" w:hAnsi="宋体" w:cs="宋体"/>
          <w:color w:val="auto"/>
          <w:highlight w:val="none"/>
          <w:u w:val="single"/>
        </w:rPr>
        <w:t>（</w:t>
      </w:r>
      <w:r>
        <w:rPr>
          <w:rFonts w:hint="eastAsia" w:ascii="宋体" w:hAnsi="宋体" w:cs="宋体"/>
          <w:color w:val="auto"/>
          <w:highlight w:val="none"/>
          <w:u w:val="single"/>
          <w:lang w:eastAsia="zh-CN"/>
        </w:rPr>
        <w:t>法定代表人/负责人</w:t>
      </w:r>
      <w:r>
        <w:rPr>
          <w:rFonts w:hint="eastAsia" w:ascii="宋体" w:hAnsi="宋体" w:cs="宋体"/>
          <w:color w:val="auto"/>
          <w:highlight w:val="none"/>
          <w:u w:val="single"/>
        </w:rPr>
        <w:t>的姓名、职务）</w:t>
      </w:r>
      <w:r>
        <w:rPr>
          <w:rFonts w:hint="eastAsia" w:ascii="宋体" w:hAnsi="宋体" w:cs="宋体"/>
          <w:color w:val="auto"/>
          <w:highlight w:val="none"/>
        </w:rPr>
        <w:t>代表本公司授权在下面签字的</w:t>
      </w:r>
      <w:r>
        <w:rPr>
          <w:rFonts w:hint="eastAsia" w:ascii="宋体" w:hAnsi="宋体" w:cs="宋体"/>
          <w:color w:val="auto"/>
          <w:highlight w:val="none"/>
          <w:u w:val="single"/>
        </w:rPr>
        <w:t>（被授权人的姓名、职务）</w:t>
      </w:r>
      <w:r>
        <w:rPr>
          <w:rFonts w:hint="eastAsia" w:ascii="宋体" w:hAnsi="宋体" w:cs="宋体"/>
          <w:color w:val="auto"/>
          <w:highlight w:val="none"/>
        </w:rPr>
        <w:t>为本公司的合法代表人，就“项目名称：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招标的投标和合同执行，以我方的名义处理一切与之有关的事宜。</w:t>
      </w:r>
    </w:p>
    <w:p>
      <w:pPr>
        <w:spacing w:line="276"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本授权书于 年 月 日签字生效，特此证明。</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名称:（盖章）：</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lang w:eastAsia="zh-CN"/>
        </w:rPr>
        <w:t>法定代表人/负责人</w:t>
      </w:r>
      <w:r>
        <w:rPr>
          <w:rFonts w:hint="eastAsia" w:ascii="宋体" w:hAnsi="宋体" w:cs="宋体"/>
          <w:color w:val="auto"/>
          <w:highlight w:val="none"/>
        </w:rPr>
        <w:t>（签字或盖章）：</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职务：</w:t>
      </w:r>
    </w:p>
    <w:p>
      <w:pPr>
        <w:spacing w:line="480" w:lineRule="auto"/>
        <w:ind w:firstLine="4740"/>
        <w:rPr>
          <w:rFonts w:hint="eastAsia" w:ascii="宋体" w:hAnsi="宋体" w:cs="宋体"/>
          <w:color w:val="auto"/>
          <w:highlight w:val="none"/>
        </w:rPr>
      </w:pP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被授权人（签字或盖章）：</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被授权人身份证号码：</w:t>
      </w:r>
    </w:p>
    <w:p>
      <w:pPr>
        <w:spacing w:line="480" w:lineRule="auto"/>
        <w:ind w:firstLine="4740"/>
        <w:rPr>
          <w:rFonts w:hint="eastAsia" w:ascii="宋体" w:hAnsi="宋体" w:cs="宋体"/>
          <w:color w:val="auto"/>
          <w:highlight w:val="none"/>
        </w:rPr>
      </w:pPr>
      <w:r>
        <w:rPr>
          <w:rFonts w:hint="eastAsia" w:ascii="宋体" w:hAnsi="宋体" w:cs="宋体"/>
          <w:color w:val="auto"/>
          <w:highlight w:val="none"/>
        </w:rPr>
        <w:t>职务：</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696" w:type="dxa"/>
            <w:noWrap w:val="0"/>
            <w:vAlign w:val="center"/>
          </w:tcPr>
          <w:p>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粘贴被授权人身份证复印件</w:t>
            </w:r>
          </w:p>
        </w:tc>
      </w:tr>
    </w:tbl>
    <w:p>
      <w:pPr>
        <w:widowControl/>
        <w:jc w:val="left"/>
        <w:rPr>
          <w:rFonts w:hint="eastAsia" w:ascii="宋体" w:hAnsi="宋体" w:cs="宋体"/>
          <w:bCs/>
          <w:color w:val="auto"/>
          <w:sz w:val="28"/>
          <w:szCs w:val="28"/>
          <w:highlight w:val="none"/>
        </w:rPr>
      </w:pPr>
      <w:r>
        <w:rPr>
          <w:rFonts w:hint="eastAsia" w:ascii="宋体" w:hAnsi="宋体" w:cs="宋体"/>
          <w:color w:val="auto"/>
          <w:highlight w:val="none"/>
        </w:rPr>
        <w:br w:type="page"/>
      </w:r>
    </w:p>
    <w:p>
      <w:pPr>
        <w:spacing w:line="48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（3）资格声明格式</w:t>
      </w:r>
    </w:p>
    <w:p>
      <w:pPr>
        <w:spacing w:before="120"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资格声明</w:t>
      </w:r>
      <w:r>
        <w:rPr>
          <w:rFonts w:hint="eastAsia" w:ascii="宋体" w:hAnsi="宋体" w:cs="宋体"/>
          <w:b/>
          <w:color w:val="auto"/>
          <w:sz w:val="24"/>
          <w:highlight w:val="none"/>
          <w:lang w:val="en-US" w:eastAsia="zh-CN"/>
        </w:rPr>
        <w:t>函</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广东省机电设备招标有限公司：</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下述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愿响应你方</w:t>
      </w:r>
      <w:r>
        <w:rPr>
          <w:rFonts w:hint="eastAsia" w:ascii="宋体" w:hAnsi="宋体" w:cs="宋体"/>
          <w:color w:val="auto"/>
          <w:szCs w:val="21"/>
          <w:highlight w:val="none"/>
          <w:u w:val="single"/>
        </w:rPr>
        <w:t>（项目</w:t>
      </w:r>
      <w:r>
        <w:rPr>
          <w:rFonts w:hint="eastAsia" w:ascii="宋体" w:hAnsi="宋体" w:cs="宋体"/>
          <w:color w:val="auto"/>
          <w:szCs w:val="21"/>
          <w:highlight w:val="none"/>
          <w:u w:val="single"/>
          <w:lang w:val="en-US" w:eastAsia="zh-CN"/>
        </w:rPr>
        <w:t>名称</w:t>
      </w:r>
      <w:r>
        <w:rPr>
          <w:rFonts w:hint="eastAsia" w:ascii="宋体" w:hAnsi="宋体" w:cs="宋体"/>
          <w:color w:val="auto"/>
          <w:szCs w:val="21"/>
          <w:highlight w:val="none"/>
          <w:u w:val="single"/>
        </w:rPr>
        <w:t>）</w:t>
      </w:r>
      <w:r>
        <w:rPr>
          <w:rFonts w:hint="eastAsia" w:ascii="宋体" w:hAnsi="宋体" w:cs="宋体"/>
          <w:color w:val="auto"/>
          <w:highlight w:val="none"/>
          <w:u w:val="single"/>
          <w:lang w:val="en-US" w:eastAsia="zh-CN"/>
        </w:rPr>
        <w:t>子包（）</w:t>
      </w:r>
      <w:r>
        <w:rPr>
          <w:rFonts w:hint="eastAsia" w:ascii="宋体" w:hAnsi="宋体" w:cs="宋体"/>
          <w:color w:val="auto"/>
          <w:szCs w:val="21"/>
          <w:highlight w:val="none"/>
        </w:rPr>
        <w:t>投标邀请，参与投标，并按招标文件要求提交所附资格文件且声明和保证如下：</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我方为本次投标所提交的所有证明其合格和资格的文件是真实的和正确的，并愿为其真实性和正确性承担法律责任；</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我方是依法注册的法人</w:t>
      </w:r>
      <w:r>
        <w:rPr>
          <w:rFonts w:hint="eastAsia" w:ascii="宋体" w:hAnsi="宋体" w:cs="宋体"/>
          <w:bCs/>
          <w:kern w:val="28"/>
          <w:szCs w:val="22"/>
        </w:rPr>
        <w:t>或其他组织</w:t>
      </w:r>
      <w:r>
        <w:rPr>
          <w:rFonts w:hint="eastAsia" w:ascii="宋体" w:hAnsi="宋体" w:cs="宋体"/>
          <w:color w:val="auto"/>
          <w:szCs w:val="21"/>
          <w:highlight w:val="none"/>
        </w:rPr>
        <w:t>，在法律上、财务上和运作上完全独立于</w:t>
      </w:r>
      <w:r>
        <w:rPr>
          <w:rFonts w:hint="eastAsia" w:ascii="宋体" w:hAnsi="宋体" w:cs="宋体"/>
          <w:color w:val="auto"/>
          <w:szCs w:val="21"/>
          <w:highlight w:val="none"/>
          <w:u w:val="single"/>
        </w:rPr>
        <w:t>（招标人名称）</w:t>
      </w:r>
      <w:r>
        <w:rPr>
          <w:rFonts w:hint="eastAsia" w:ascii="宋体" w:hAnsi="宋体" w:cs="宋体"/>
          <w:color w:val="auto"/>
          <w:szCs w:val="21"/>
          <w:highlight w:val="none"/>
        </w:rPr>
        <w:t>及广东省机电设备招标有限公司（招标代理机构）；</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kern w:val="28"/>
          <w:szCs w:val="22"/>
        </w:rPr>
        <w:t>具有独立承担民事责任能力</w:t>
      </w:r>
      <w:r>
        <w:rPr>
          <w:rFonts w:hint="eastAsia" w:ascii="宋体" w:hAnsi="宋体" w:cs="宋体"/>
          <w:bCs/>
          <w:kern w:val="28"/>
          <w:szCs w:val="22"/>
          <w:lang w:eastAsia="zh-CN"/>
        </w:rPr>
        <w:t>；</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kern w:val="28"/>
          <w:szCs w:val="22"/>
          <w:highlight w:val="none"/>
        </w:rPr>
        <w:t>具有良好的商业信誉和健全的财务制度</w:t>
      </w:r>
      <w:r>
        <w:rPr>
          <w:rFonts w:hint="eastAsia" w:ascii="宋体" w:hAnsi="宋体" w:cs="宋体"/>
          <w:bCs/>
          <w:kern w:val="28"/>
          <w:szCs w:val="22"/>
          <w:highlight w:val="none"/>
          <w:lang w:eastAsia="zh-CN"/>
        </w:rPr>
        <w:t>；</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kern w:val="28"/>
          <w:szCs w:val="22"/>
          <w:highlight w:val="none"/>
        </w:rPr>
        <w:t>具有依法缴纳税收和社会保障资金的良好记录</w:t>
      </w:r>
      <w:r>
        <w:rPr>
          <w:rFonts w:hint="eastAsia" w:ascii="宋体" w:hAnsi="宋体" w:cs="宋体"/>
          <w:bCs/>
          <w:kern w:val="28"/>
          <w:szCs w:val="22"/>
          <w:highlight w:val="none"/>
          <w:lang w:eastAsia="zh-CN"/>
        </w:rPr>
        <w:t>；</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kern w:val="28"/>
          <w:szCs w:val="22"/>
          <w:highlight w:val="none"/>
        </w:rPr>
        <w:t>参加采购活动前3年内，在经营活动中没有重大违法记录</w:t>
      </w:r>
      <w:r>
        <w:rPr>
          <w:rFonts w:hint="eastAsia" w:ascii="宋体" w:hAnsi="宋体" w:cs="宋体"/>
          <w:bCs/>
          <w:kern w:val="28"/>
          <w:szCs w:val="22"/>
          <w:highlight w:val="none"/>
          <w:lang w:eastAsia="zh-CN"/>
        </w:rPr>
        <w:t>；</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我方所属的单位负责人为同一人或者存在控股、管理等关联关系的不同供应商，未参加同一合同项下的采购活动</w:t>
      </w:r>
      <w:r>
        <w:rPr>
          <w:rFonts w:hint="eastAsia" w:ascii="宋体" w:hAnsi="宋体" w:cs="宋体"/>
          <w:color w:val="auto"/>
          <w:szCs w:val="21"/>
          <w:highlight w:val="none"/>
          <w:lang w:eastAsia="zh-CN"/>
        </w:rPr>
        <w:t>；</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bCs/>
          <w:kern w:val="28"/>
          <w:szCs w:val="22"/>
          <w:highlight w:val="none"/>
        </w:rPr>
        <w:t>具备</w:t>
      </w:r>
      <w:r>
        <w:rPr>
          <w:rFonts w:hint="eastAsia" w:ascii="宋体" w:hAnsi="宋体" w:cs="宋体"/>
          <w:bCs/>
          <w:kern w:val="28"/>
          <w:szCs w:val="22"/>
          <w:highlight w:val="none"/>
          <w:lang w:val="zh-CN"/>
        </w:rPr>
        <w:t>履行合同所必需的设备和专业技术能力；</w:t>
      </w:r>
    </w:p>
    <w:p>
      <w:pPr>
        <w:numPr>
          <w:ilvl w:val="0"/>
          <w:numId w:val="18"/>
        </w:numPr>
        <w:tabs>
          <w:tab w:val="left" w:pos="515"/>
        </w:tabs>
        <w:spacing w:line="360" w:lineRule="auto"/>
        <w:ind w:left="0" w:firstLine="515"/>
        <w:rPr>
          <w:rFonts w:hint="eastAsia" w:ascii="宋体" w:hAnsi="宋体" w:cs="宋体"/>
          <w:color w:val="auto"/>
          <w:szCs w:val="21"/>
          <w:highlight w:val="none"/>
        </w:rPr>
      </w:pPr>
      <w:r>
        <w:rPr>
          <w:rFonts w:hint="eastAsia" w:ascii="宋体" w:hAnsi="宋体" w:cs="宋体"/>
          <w:color w:val="auto"/>
          <w:szCs w:val="21"/>
          <w:highlight w:val="none"/>
        </w:rPr>
        <w:t>单位地址为同一地址的不同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，未参与同一合同项下的采购活动。</w:t>
      </w:r>
    </w:p>
    <w:p>
      <w:pPr>
        <w:spacing w:line="360" w:lineRule="auto"/>
        <w:ind w:firstLine="3990" w:firstLineChars="1900"/>
        <w:rPr>
          <w:rFonts w:hint="eastAsia" w:ascii="宋体" w:hAnsi="宋体" w:cs="宋体"/>
          <w:color w:val="auto"/>
          <w:highlight w:val="none"/>
        </w:rPr>
      </w:pPr>
    </w:p>
    <w:p>
      <w:pPr>
        <w:spacing w:line="360" w:lineRule="auto"/>
        <w:ind w:firstLine="3990" w:firstLineChars="1900"/>
        <w:rPr>
          <w:rFonts w:hint="eastAsia" w:ascii="宋体" w:hAnsi="宋体" w:cs="宋体"/>
          <w:color w:val="auto"/>
          <w:highlight w:val="none"/>
        </w:rPr>
      </w:pPr>
      <w:bookmarkStart w:id="204" w:name="OLE_LINK9"/>
      <w:r>
        <w:rPr>
          <w:rFonts w:hint="eastAsia" w:ascii="宋体" w:hAnsi="宋体" w:cs="宋体"/>
          <w:color w:val="auto"/>
          <w:highlight w:val="none"/>
          <w:lang w:eastAsia="zh-CN"/>
        </w:rPr>
        <w:t>供应商</w:t>
      </w:r>
      <w:r>
        <w:rPr>
          <w:rFonts w:hint="eastAsia" w:ascii="宋体" w:hAnsi="宋体" w:cs="宋体"/>
          <w:color w:val="auto"/>
          <w:highlight w:val="none"/>
        </w:rPr>
        <w:t>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bookmarkEnd w:id="204"/>
    <w:p>
      <w:pPr>
        <w:spacing w:line="480" w:lineRule="auto"/>
        <w:ind w:firstLine="3990" w:firstLineChars="1900"/>
        <w:rPr>
          <w:rFonts w:hint="eastAsia" w:ascii="宋体" w:hAnsi="宋体" w:cs="宋体"/>
          <w:color w:val="auto"/>
          <w:highlight w:val="none"/>
          <w:u w:val="single"/>
        </w:rPr>
      </w:pPr>
    </w:p>
    <w:p>
      <w:pPr>
        <w:pStyle w:val="9"/>
        <w:spacing w:before="0" w:after="0" w:line="360" w:lineRule="auto"/>
        <w:ind w:left="0" w:firstLine="0"/>
        <w:rPr>
          <w:rFonts w:hint="eastAsia" w:ascii="宋体" w:hAnsi="宋体" w:cs="宋体"/>
          <w:b w:val="0"/>
          <w:bCs/>
          <w:color w:val="auto"/>
          <w:szCs w:val="21"/>
          <w:highlight w:val="none"/>
        </w:rPr>
      </w:pPr>
      <w:r>
        <w:rPr>
          <w:rFonts w:hint="eastAsia" w:ascii="宋体" w:hAnsi="宋体" w:cs="宋体"/>
          <w:color w:val="auto"/>
          <w:highlight w:val="none"/>
        </w:rPr>
        <w:br w:type="page"/>
      </w:r>
      <w:r>
        <w:rPr>
          <w:rFonts w:hint="eastAsia" w:ascii="宋体" w:hAnsi="宋体" w:cs="宋体"/>
          <w:b w:val="0"/>
          <w:bCs/>
          <w:color w:val="auto"/>
          <w:szCs w:val="28"/>
          <w:highlight w:val="none"/>
        </w:rPr>
        <w:t>（4）其他资格证明材料</w:t>
      </w:r>
    </w:p>
    <w:p>
      <w:pPr>
        <w:spacing w:line="480" w:lineRule="auto"/>
        <w:rPr>
          <w:rFonts w:hint="eastAsia" w:ascii="宋体" w:hAnsi="宋体" w:cs="宋体"/>
          <w:color w:val="auto"/>
          <w:highlight w:val="none"/>
        </w:rPr>
      </w:pPr>
      <w:r>
        <w:rPr>
          <w:rFonts w:hint="eastAsia" w:ascii="宋体" w:hAnsi="宋体" w:cs="宋体"/>
          <w:color w:val="auto"/>
          <w:highlight w:val="none"/>
        </w:rPr>
        <w:t>根据合格</w:t>
      </w:r>
      <w:r>
        <w:rPr>
          <w:rFonts w:hint="eastAsia" w:ascii="宋体" w:hAnsi="宋体" w:cs="宋体"/>
          <w:color w:val="auto"/>
          <w:highlight w:val="none"/>
          <w:lang w:eastAsia="zh-CN"/>
        </w:rPr>
        <w:t>供应商</w:t>
      </w:r>
      <w:r>
        <w:rPr>
          <w:rFonts w:hint="eastAsia" w:ascii="宋体" w:hAnsi="宋体" w:cs="宋体"/>
          <w:color w:val="auto"/>
          <w:highlight w:val="none"/>
        </w:rPr>
        <w:t>资格条件提供证明材料</w:t>
      </w:r>
    </w:p>
    <w:p>
      <w:pPr>
        <w:spacing w:line="360" w:lineRule="auto"/>
        <w:ind w:left="-359" w:leftChars="-171" w:firstLine="462" w:firstLineChars="220"/>
        <w:rPr>
          <w:rFonts w:hint="eastAsia" w:ascii="宋体" w:hAnsi="宋体" w:eastAsia="宋体" w:cs="宋体"/>
          <w:bCs/>
          <w:color w:val="auto"/>
          <w:szCs w:val="21"/>
          <w:highlight w:val="none"/>
        </w:rPr>
      </w:pPr>
      <w:r>
        <w:rPr>
          <w:rFonts w:hint="eastAsia" w:ascii="宋体" w:hAnsi="宋体" w:eastAsia="宋体" w:cs="宋体"/>
          <w:b w:val="0"/>
          <w:color w:val="auto"/>
          <w:highlight w:val="none"/>
        </w:rPr>
        <w:br w:type="page"/>
      </w:r>
      <w:r>
        <w:rPr>
          <w:rFonts w:hint="eastAsia" w:ascii="宋体" w:hAnsi="宋体" w:eastAsia="宋体" w:cs="宋体"/>
          <w:b/>
          <w:bCs w:val="0"/>
          <w:color w:val="auto"/>
          <w:sz w:val="28"/>
          <w:szCs w:val="28"/>
          <w:highlight w:val="none"/>
          <w:lang w:val="en-US" w:eastAsia="zh-CN"/>
        </w:rPr>
        <w:t>四</w:t>
      </w:r>
      <w:r>
        <w:rPr>
          <w:rFonts w:hint="eastAsia" w:ascii="宋体" w:hAnsi="宋体" w:eastAsia="宋体" w:cs="宋体"/>
          <w:b/>
          <w:bCs w:val="0"/>
          <w:color w:val="auto"/>
          <w:sz w:val="28"/>
          <w:szCs w:val="28"/>
          <w:highlight w:val="none"/>
        </w:rPr>
        <w:t>、商务文件格式</w:t>
      </w:r>
    </w:p>
    <w:p>
      <w:pPr>
        <w:pStyle w:val="8"/>
        <w:spacing w:before="0" w:after="0"/>
        <w:ind w:left="0"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（一）企业状况</w:t>
      </w:r>
    </w:p>
    <w:p>
      <w:pPr>
        <w:pStyle w:val="9"/>
        <w:spacing w:before="0" w:after="0"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（1）企业基本情况介绍</w:t>
      </w:r>
    </w:p>
    <w:tbl>
      <w:tblPr>
        <w:tblStyle w:val="31"/>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035"/>
        <w:gridCol w:w="1125"/>
        <w:gridCol w:w="840"/>
        <w:gridCol w:w="420"/>
        <w:gridCol w:w="311"/>
        <w:gridCol w:w="1078"/>
        <w:gridCol w:w="490"/>
        <w:gridCol w:w="860"/>
        <w:gridCol w:w="15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p>
        </w:tc>
        <w:tc>
          <w:tcPr>
            <w:tcW w:w="7691" w:type="dxa"/>
            <w:gridSpan w:val="9"/>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注册地址（以营业执照上的住所填写）</w:t>
            </w:r>
          </w:p>
        </w:tc>
        <w:tc>
          <w:tcPr>
            <w:tcW w:w="3731" w:type="dxa"/>
            <w:gridSpan w:val="5"/>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电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邮  箱</w:t>
            </w:r>
          </w:p>
        </w:tc>
        <w:tc>
          <w:tcPr>
            <w:tcW w:w="2696"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w:t>
            </w:r>
          </w:p>
        </w:tc>
        <w:tc>
          <w:tcPr>
            <w:tcW w:w="2882"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法定代表人/负责人</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5531" w:type="dxa"/>
            <w:gridSpan w:val="7"/>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（如有）</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1、各类注册人员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2、高级职称人员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注册资金（资本）</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3、中级职称人员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实缴资金（资本）</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4、初级职称人员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基本存款账户开户银行</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1-4人员合计</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委托代理人姓名</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固定电话</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手   机</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   箱</w:t>
            </w:r>
          </w:p>
        </w:tc>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908" w:type="dxa"/>
            <w:tcBorders>
              <w:top w:val="single" w:color="auto" w:sz="4" w:space="0"/>
              <w:left w:val="single" w:color="auto" w:sz="4" w:space="0"/>
              <w:right w:val="single" w:color="auto" w:sz="4" w:space="0"/>
            </w:tcBorders>
            <w:noWrap w:val="0"/>
            <w:vAlign w:val="center"/>
          </w:tcPr>
          <w:p>
            <w:pPr>
              <w:topLinePunct/>
              <w:snapToGrid w:val="0"/>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后附证明文件</w:t>
            </w:r>
          </w:p>
        </w:tc>
        <w:tc>
          <w:tcPr>
            <w:tcW w:w="7691" w:type="dxa"/>
            <w:gridSpan w:val="9"/>
            <w:tcBorders>
              <w:top w:val="single" w:color="auto" w:sz="4" w:space="0"/>
              <w:left w:val="single" w:color="auto" w:sz="4" w:space="0"/>
              <w:right w:val="single" w:color="auto" w:sz="4" w:space="0"/>
            </w:tcBorders>
            <w:noWrap w:val="0"/>
            <w:vAlign w:val="center"/>
          </w:tcPr>
          <w:p>
            <w:pPr>
              <w:tabs>
                <w:tab w:val="left" w:pos="900"/>
                <w:tab w:val="left" w:pos="1080"/>
              </w:tabs>
              <w:snapToGrid w:val="0"/>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691" w:type="dxa"/>
            <w:gridSpan w:val="9"/>
            <w:tcBorders>
              <w:top w:val="single" w:color="auto" w:sz="4" w:space="0"/>
              <w:left w:val="single" w:color="auto" w:sz="4" w:space="0"/>
              <w:bottom w:val="single" w:color="auto" w:sz="4" w:space="0"/>
              <w:right w:val="single" w:color="auto" w:sz="4" w:space="0"/>
            </w:tcBorders>
            <w:noWrap w:val="0"/>
            <w:vAlign w:val="center"/>
          </w:tcPr>
          <w:p>
            <w:pPr>
              <w:topLinePunct/>
              <w:snapToGrid w:val="0"/>
              <w:spacing w:line="360" w:lineRule="auto"/>
              <w:jc w:val="center"/>
              <w:rPr>
                <w:rFonts w:hint="eastAsia" w:ascii="宋体" w:hAnsi="宋体" w:cs="宋体"/>
                <w:color w:val="auto"/>
                <w:szCs w:val="21"/>
                <w:highlight w:val="none"/>
              </w:rPr>
            </w:pPr>
          </w:p>
        </w:tc>
      </w:tr>
    </w:tbl>
    <w:p>
      <w:pPr>
        <w:jc w:val="center"/>
        <w:rPr>
          <w:rFonts w:ascii="宋体" w:hAnsi="宋体" w:cs="宋体"/>
          <w:b/>
          <w:sz w:val="28"/>
          <w:szCs w:val="28"/>
        </w:rPr>
      </w:pPr>
      <w:r>
        <w:rPr>
          <w:rFonts w:hint="eastAsia" w:ascii="宋体" w:hAnsi="宋体" w:cs="宋体"/>
          <w:color w:val="auto"/>
          <w:sz w:val="21"/>
          <w:szCs w:val="21"/>
          <w:highlight w:val="none"/>
        </w:rPr>
        <w:br w:type="page"/>
      </w:r>
      <w:r>
        <w:rPr>
          <w:rFonts w:hint="eastAsia" w:ascii="宋体" w:hAnsi="宋体" w:cs="宋体"/>
          <w:b/>
          <w:sz w:val="28"/>
          <w:szCs w:val="28"/>
        </w:rPr>
        <w:t>企业股东构成情况表</w:t>
      </w:r>
    </w:p>
    <w:tbl>
      <w:tblPr>
        <w:tblStyle w:val="31"/>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1335"/>
        <w:gridCol w:w="295"/>
        <w:gridCol w:w="1481"/>
        <w:gridCol w:w="1568"/>
        <w:gridCol w:w="657"/>
        <w:gridCol w:w="470"/>
        <w:gridCol w:w="568"/>
        <w:gridCol w:w="1186"/>
        <w:gridCol w:w="11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企业名称</w:t>
            </w:r>
          </w:p>
        </w:tc>
        <w:tc>
          <w:tcPr>
            <w:tcW w:w="741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注册地址</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企业类型</w:t>
            </w:r>
          </w:p>
        </w:tc>
        <w:tc>
          <w:tcPr>
            <w:tcW w:w="294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0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姓名</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r>
              <w:rPr>
                <w:rFonts w:hint="eastAsia" w:ascii="宋体" w:hAnsi="宋体" w:cs="宋体"/>
                <w:szCs w:val="21"/>
              </w:rPr>
              <w:t>电话</w:t>
            </w:r>
          </w:p>
        </w:tc>
        <w:tc>
          <w:tcPr>
            <w:tcW w:w="294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458"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序号</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股东名称</w:t>
            </w:r>
            <w:r>
              <w:rPr>
                <w:rFonts w:ascii="宋体" w:hAnsi="宋体" w:cs="宋体"/>
                <w:b/>
                <w:szCs w:val="21"/>
              </w:rPr>
              <w:t>(姓名/股东全称)</w:t>
            </w: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股东类型</w:t>
            </w:r>
          </w:p>
          <w:p>
            <w:pPr>
              <w:topLinePunct/>
              <w:spacing w:line="440" w:lineRule="exact"/>
              <w:jc w:val="center"/>
              <w:rPr>
                <w:rFonts w:ascii="宋体" w:hAnsi="宋体" w:cs="宋体"/>
                <w:b/>
                <w:szCs w:val="21"/>
              </w:rPr>
            </w:pPr>
            <w:r>
              <w:rPr>
                <w:rFonts w:ascii="宋体" w:hAnsi="宋体" w:cs="宋体"/>
                <w:b/>
                <w:szCs w:val="21"/>
              </w:rPr>
              <w:t>(自然人股东/法人股东)</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身份证号</w:t>
            </w:r>
          </w:p>
          <w:p>
            <w:pPr>
              <w:topLinePunct/>
              <w:spacing w:line="440" w:lineRule="exact"/>
              <w:jc w:val="center"/>
              <w:rPr>
                <w:rFonts w:ascii="宋体" w:hAnsi="宋体" w:cs="宋体"/>
                <w:b/>
                <w:szCs w:val="21"/>
              </w:rPr>
            </w:pPr>
            <w:r>
              <w:rPr>
                <w:rFonts w:ascii="宋体" w:hAnsi="宋体" w:cs="宋体"/>
                <w:b/>
                <w:szCs w:val="21"/>
              </w:rPr>
              <w:t>/统一社会信用代码</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出资额</w:t>
            </w:r>
            <w:r>
              <w:rPr>
                <w:rFonts w:ascii="宋体" w:hAnsi="宋体" w:cs="宋体"/>
                <w:b/>
                <w:szCs w:val="21"/>
              </w:rPr>
              <w:t>(万元)</w:t>
            </w: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出资方式</w:t>
            </w: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
                <w:szCs w:val="21"/>
              </w:rPr>
            </w:pPr>
            <w:r>
              <w:rPr>
                <w:rFonts w:hint="eastAsia" w:ascii="宋体" w:hAnsi="宋体" w:cs="宋体"/>
                <w:b/>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0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4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8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备注：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ascii="宋体" w:hAnsi="宋体" w:cs="宋体"/>
          <w:szCs w:val="21"/>
        </w:rPr>
        <w:t>1.股东或出资人为自然人的，填写自然人姓名及身份证号；股东或出资人为法人的，填写法人企业全称及统一社会信用代码。出资方式填写：货物、实物、工艺产权和非专利技术、土地使用权等。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ascii="宋体" w:hAnsi="宋体" w:cs="宋体"/>
          <w:szCs w:val="21"/>
        </w:rPr>
        <w:t>2.</w:t>
      </w:r>
      <w:r>
        <w:rPr>
          <w:rFonts w:hint="eastAsia" w:ascii="宋体" w:hAnsi="宋体" w:cs="宋体"/>
          <w:szCs w:val="21"/>
          <w:lang w:eastAsia="zh-CN"/>
        </w:rPr>
        <w:t>供应商</w:t>
      </w:r>
      <w:r>
        <w:rPr>
          <w:rFonts w:ascii="宋体" w:hAnsi="宋体" w:cs="宋体"/>
          <w:szCs w:val="21"/>
        </w:rPr>
        <w:t>必须如实填写股东构成情况，同时打印“国家企业信用信息公示系统” (网站：</w:t>
      </w:r>
      <w:r>
        <w:fldChar w:fldCharType="begin"/>
      </w:r>
      <w:r>
        <w:instrText xml:space="preserve">HYPERLINK "http://gsxt.gdgs.gov.cn/"</w:instrText>
      </w:r>
      <w:r>
        <w:fldChar w:fldCharType="separate"/>
      </w:r>
      <w:r>
        <w:rPr>
          <w:rStyle w:val="36"/>
          <w:rFonts w:ascii="宋体" w:hAnsi="宋体" w:eastAsia="宋体" w:cs="宋体"/>
          <w:color w:val="auto"/>
          <w:szCs w:val="21"/>
        </w:rPr>
        <w:t>http://gsxt.gdgs.gov.cn/</w:t>
      </w:r>
      <w:r>
        <w:fldChar w:fldCharType="end"/>
      </w:r>
      <w:r>
        <w:rPr>
          <w:rFonts w:ascii="宋体" w:hAnsi="宋体" w:cs="宋体"/>
          <w:szCs w:val="21"/>
        </w:rPr>
        <w:t>)网页查询的信息截图。</w:t>
      </w:r>
    </w:p>
    <w:p>
      <w:pPr>
        <w:keepNext w:val="0"/>
        <w:keepLines w:val="0"/>
        <w:pageBreakBefore w:val="0"/>
        <w:widowControl w:val="0"/>
        <w:tabs>
          <w:tab w:val="left" w:pos="4320"/>
        </w:tabs>
        <w:kinsoku/>
        <w:wordWrap/>
        <w:overflowPunct/>
        <w:topLinePunct w:val="0"/>
        <w:autoSpaceDE/>
        <w:autoSpaceDN/>
        <w:bidi w:val="0"/>
        <w:adjustRightInd/>
        <w:snapToGrid/>
        <w:spacing w:line="360" w:lineRule="auto"/>
        <w:textAlignment w:val="auto"/>
        <w:rPr>
          <w:rFonts w:ascii="宋体" w:hAnsi="宋体" w:cs="宋体"/>
          <w:szCs w:val="21"/>
        </w:rPr>
      </w:pPr>
      <w:r>
        <w:rPr>
          <w:rFonts w:ascii="宋体" w:hAnsi="宋体" w:cs="宋体"/>
          <w:szCs w:val="21"/>
        </w:rPr>
        <w:t>3.本表格如有虚假或与事实不符，作无效投标处理</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pPr>
        <w:pStyle w:val="9"/>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（2）企业类似项目业绩证明材料</w:t>
      </w:r>
    </w:p>
    <w:p>
      <w:pPr>
        <w:spacing w:line="360" w:lineRule="auto"/>
        <w:jc w:val="center"/>
        <w:rPr>
          <w:rFonts w:hint="eastAsia" w:ascii="宋体" w:hAnsi="宋体" w:eastAsia="宋体" w:cs="宋体"/>
          <w:b/>
          <w:bCs/>
          <w:color w:val="auto"/>
          <w:spacing w:val="20"/>
          <w:sz w:val="30"/>
          <w:szCs w:val="30"/>
          <w:highlight w:val="none"/>
          <w:lang w:eastAsia="zh-CN"/>
        </w:rPr>
      </w:pPr>
      <w:r>
        <w:rPr>
          <w:rFonts w:hint="eastAsia" w:ascii="宋体" w:hAnsi="宋体" w:cs="宋体"/>
          <w:b/>
          <w:bCs/>
          <w:color w:val="auto"/>
          <w:spacing w:val="20"/>
          <w:sz w:val="30"/>
          <w:szCs w:val="30"/>
          <w:highlight w:val="none"/>
        </w:rPr>
        <w:t>业绩表</w:t>
      </w:r>
      <w:r>
        <w:rPr>
          <w:rFonts w:hint="eastAsia" w:ascii="宋体" w:hAnsi="宋体" w:cs="宋体"/>
          <w:b/>
          <w:bCs/>
          <w:color w:val="auto"/>
          <w:spacing w:val="20"/>
          <w:sz w:val="30"/>
          <w:szCs w:val="30"/>
          <w:highlight w:val="none"/>
          <w:lang w:eastAsia="zh-CN"/>
        </w:rPr>
        <w:t>（ 适用子包1）</w:t>
      </w:r>
    </w:p>
    <w:tbl>
      <w:tblPr>
        <w:tblStyle w:val="31"/>
        <w:tblpPr w:leftFromText="180" w:rightFromText="180" w:vertAnchor="text" w:horzAnchor="page" w:tblpX="1419" w:tblpY="40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442"/>
        <w:gridCol w:w="1468"/>
        <w:gridCol w:w="1466"/>
        <w:gridCol w:w="1466"/>
        <w:gridCol w:w="119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76"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90"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789" w:type="pct"/>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面积</w:t>
            </w:r>
          </w:p>
        </w:tc>
        <w:tc>
          <w:tcPr>
            <w:tcW w:w="789"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643"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935"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360" w:lineRule="auto"/>
              <w:rPr>
                <w:rFonts w:hint="eastAsia" w:ascii="宋体" w:hAnsi="宋体" w:cs="宋体"/>
                <w:color w:val="auto"/>
                <w:szCs w:val="21"/>
                <w:highlight w:val="none"/>
              </w:rPr>
            </w:pPr>
          </w:p>
        </w:tc>
        <w:tc>
          <w:tcPr>
            <w:tcW w:w="776" w:type="pct"/>
            <w:noWrap w:val="0"/>
            <w:vAlign w:val="top"/>
          </w:tcPr>
          <w:p>
            <w:pPr>
              <w:spacing w:line="360" w:lineRule="auto"/>
              <w:rPr>
                <w:rFonts w:hint="eastAsia" w:ascii="宋体" w:hAnsi="宋体" w:cs="宋体"/>
                <w:color w:val="auto"/>
                <w:szCs w:val="21"/>
                <w:highlight w:val="none"/>
              </w:rPr>
            </w:pPr>
          </w:p>
        </w:tc>
        <w:tc>
          <w:tcPr>
            <w:tcW w:w="790"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643" w:type="pct"/>
            <w:noWrap w:val="0"/>
            <w:vAlign w:val="top"/>
          </w:tcPr>
          <w:p>
            <w:pPr>
              <w:spacing w:line="360" w:lineRule="auto"/>
              <w:rPr>
                <w:rFonts w:hint="eastAsia" w:ascii="宋体" w:hAnsi="宋体" w:cs="宋体"/>
                <w:color w:val="auto"/>
                <w:szCs w:val="21"/>
                <w:highlight w:val="none"/>
              </w:rPr>
            </w:pPr>
          </w:p>
        </w:tc>
        <w:tc>
          <w:tcPr>
            <w:tcW w:w="935" w:type="pct"/>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360" w:lineRule="auto"/>
              <w:rPr>
                <w:rFonts w:hint="eastAsia" w:ascii="宋体" w:hAnsi="宋体" w:cs="宋体"/>
                <w:color w:val="auto"/>
                <w:szCs w:val="21"/>
                <w:highlight w:val="none"/>
              </w:rPr>
            </w:pPr>
          </w:p>
        </w:tc>
        <w:tc>
          <w:tcPr>
            <w:tcW w:w="776" w:type="pct"/>
            <w:noWrap w:val="0"/>
            <w:vAlign w:val="top"/>
          </w:tcPr>
          <w:p>
            <w:pPr>
              <w:spacing w:line="360" w:lineRule="auto"/>
              <w:rPr>
                <w:rFonts w:hint="eastAsia" w:ascii="宋体" w:hAnsi="宋体" w:cs="宋体"/>
                <w:color w:val="auto"/>
                <w:szCs w:val="21"/>
                <w:highlight w:val="none"/>
              </w:rPr>
            </w:pPr>
          </w:p>
        </w:tc>
        <w:tc>
          <w:tcPr>
            <w:tcW w:w="790"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643" w:type="pct"/>
            <w:noWrap w:val="0"/>
            <w:vAlign w:val="top"/>
          </w:tcPr>
          <w:p>
            <w:pPr>
              <w:spacing w:line="360" w:lineRule="auto"/>
              <w:rPr>
                <w:rFonts w:hint="eastAsia" w:ascii="宋体" w:hAnsi="宋体" w:cs="宋体"/>
                <w:color w:val="auto"/>
                <w:szCs w:val="21"/>
                <w:highlight w:val="none"/>
              </w:rPr>
            </w:pPr>
          </w:p>
        </w:tc>
        <w:tc>
          <w:tcPr>
            <w:tcW w:w="935" w:type="pct"/>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360" w:lineRule="auto"/>
              <w:rPr>
                <w:rFonts w:hint="eastAsia" w:ascii="宋体" w:hAnsi="宋体" w:cs="宋体"/>
                <w:color w:val="auto"/>
                <w:szCs w:val="21"/>
                <w:highlight w:val="none"/>
              </w:rPr>
            </w:pPr>
          </w:p>
        </w:tc>
        <w:tc>
          <w:tcPr>
            <w:tcW w:w="776" w:type="pct"/>
            <w:noWrap w:val="0"/>
            <w:vAlign w:val="top"/>
          </w:tcPr>
          <w:p>
            <w:pPr>
              <w:spacing w:line="360" w:lineRule="auto"/>
              <w:rPr>
                <w:rFonts w:hint="eastAsia" w:ascii="宋体" w:hAnsi="宋体" w:cs="宋体"/>
                <w:color w:val="auto"/>
                <w:szCs w:val="21"/>
                <w:highlight w:val="none"/>
              </w:rPr>
            </w:pPr>
          </w:p>
        </w:tc>
        <w:tc>
          <w:tcPr>
            <w:tcW w:w="790"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643" w:type="pct"/>
            <w:noWrap w:val="0"/>
            <w:vAlign w:val="top"/>
          </w:tcPr>
          <w:p>
            <w:pPr>
              <w:spacing w:line="360" w:lineRule="auto"/>
              <w:rPr>
                <w:rFonts w:hint="eastAsia" w:ascii="宋体" w:hAnsi="宋体" w:cs="宋体"/>
                <w:color w:val="auto"/>
                <w:szCs w:val="21"/>
                <w:highlight w:val="none"/>
              </w:rPr>
            </w:pPr>
          </w:p>
        </w:tc>
        <w:tc>
          <w:tcPr>
            <w:tcW w:w="935" w:type="pct"/>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360" w:lineRule="auto"/>
              <w:rPr>
                <w:rFonts w:hint="eastAsia" w:ascii="宋体" w:hAnsi="宋体" w:cs="宋体"/>
                <w:color w:val="auto"/>
                <w:szCs w:val="21"/>
                <w:highlight w:val="none"/>
              </w:rPr>
            </w:pPr>
          </w:p>
        </w:tc>
        <w:tc>
          <w:tcPr>
            <w:tcW w:w="776" w:type="pct"/>
            <w:noWrap w:val="0"/>
            <w:vAlign w:val="top"/>
          </w:tcPr>
          <w:p>
            <w:pPr>
              <w:spacing w:line="360" w:lineRule="auto"/>
              <w:rPr>
                <w:rFonts w:hint="eastAsia" w:ascii="宋体" w:hAnsi="宋体" w:cs="宋体"/>
                <w:color w:val="auto"/>
                <w:szCs w:val="21"/>
                <w:highlight w:val="none"/>
              </w:rPr>
            </w:pPr>
          </w:p>
        </w:tc>
        <w:tc>
          <w:tcPr>
            <w:tcW w:w="790"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643" w:type="pct"/>
            <w:noWrap w:val="0"/>
            <w:vAlign w:val="top"/>
          </w:tcPr>
          <w:p>
            <w:pPr>
              <w:spacing w:line="360" w:lineRule="auto"/>
              <w:rPr>
                <w:rFonts w:hint="eastAsia" w:ascii="宋体" w:hAnsi="宋体" w:cs="宋体"/>
                <w:color w:val="auto"/>
                <w:szCs w:val="21"/>
                <w:highlight w:val="none"/>
              </w:rPr>
            </w:pPr>
          </w:p>
        </w:tc>
        <w:tc>
          <w:tcPr>
            <w:tcW w:w="935" w:type="pct"/>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360" w:lineRule="auto"/>
              <w:rPr>
                <w:rFonts w:hint="eastAsia" w:ascii="宋体" w:hAnsi="宋体" w:cs="宋体"/>
                <w:color w:val="auto"/>
                <w:szCs w:val="21"/>
                <w:highlight w:val="none"/>
              </w:rPr>
            </w:pPr>
          </w:p>
        </w:tc>
        <w:tc>
          <w:tcPr>
            <w:tcW w:w="776" w:type="pct"/>
            <w:noWrap w:val="0"/>
            <w:vAlign w:val="top"/>
          </w:tcPr>
          <w:p>
            <w:pPr>
              <w:spacing w:line="360" w:lineRule="auto"/>
              <w:rPr>
                <w:rFonts w:hint="eastAsia" w:ascii="宋体" w:hAnsi="宋体" w:cs="宋体"/>
                <w:color w:val="auto"/>
                <w:szCs w:val="21"/>
                <w:highlight w:val="none"/>
              </w:rPr>
            </w:pPr>
          </w:p>
        </w:tc>
        <w:tc>
          <w:tcPr>
            <w:tcW w:w="790"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643" w:type="pct"/>
            <w:noWrap w:val="0"/>
            <w:vAlign w:val="top"/>
          </w:tcPr>
          <w:p>
            <w:pPr>
              <w:spacing w:line="360" w:lineRule="auto"/>
              <w:rPr>
                <w:rFonts w:hint="eastAsia" w:ascii="宋体" w:hAnsi="宋体" w:cs="宋体"/>
                <w:color w:val="auto"/>
                <w:szCs w:val="21"/>
                <w:highlight w:val="none"/>
              </w:rPr>
            </w:pPr>
          </w:p>
        </w:tc>
        <w:tc>
          <w:tcPr>
            <w:tcW w:w="935" w:type="pct"/>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360" w:lineRule="auto"/>
              <w:rPr>
                <w:rFonts w:hint="eastAsia" w:ascii="宋体" w:hAnsi="宋体" w:cs="宋体"/>
                <w:color w:val="auto"/>
                <w:szCs w:val="21"/>
                <w:highlight w:val="none"/>
              </w:rPr>
            </w:pPr>
          </w:p>
        </w:tc>
        <w:tc>
          <w:tcPr>
            <w:tcW w:w="776" w:type="pct"/>
            <w:noWrap w:val="0"/>
            <w:vAlign w:val="top"/>
          </w:tcPr>
          <w:p>
            <w:pPr>
              <w:spacing w:line="360" w:lineRule="auto"/>
              <w:rPr>
                <w:rFonts w:hint="eastAsia" w:ascii="宋体" w:hAnsi="宋体" w:cs="宋体"/>
                <w:color w:val="auto"/>
                <w:szCs w:val="21"/>
                <w:highlight w:val="none"/>
              </w:rPr>
            </w:pPr>
          </w:p>
        </w:tc>
        <w:tc>
          <w:tcPr>
            <w:tcW w:w="790"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789" w:type="pct"/>
            <w:noWrap w:val="0"/>
            <w:vAlign w:val="top"/>
          </w:tcPr>
          <w:p>
            <w:pPr>
              <w:spacing w:line="360" w:lineRule="auto"/>
              <w:rPr>
                <w:rFonts w:hint="eastAsia" w:ascii="宋体" w:hAnsi="宋体" w:cs="宋体"/>
                <w:color w:val="auto"/>
                <w:szCs w:val="21"/>
                <w:highlight w:val="none"/>
              </w:rPr>
            </w:pPr>
          </w:p>
        </w:tc>
        <w:tc>
          <w:tcPr>
            <w:tcW w:w="643" w:type="pct"/>
            <w:noWrap w:val="0"/>
            <w:vAlign w:val="top"/>
          </w:tcPr>
          <w:p>
            <w:pPr>
              <w:spacing w:line="360" w:lineRule="auto"/>
              <w:rPr>
                <w:rFonts w:hint="eastAsia" w:ascii="宋体" w:hAnsi="宋体" w:cs="宋体"/>
                <w:color w:val="auto"/>
                <w:szCs w:val="21"/>
                <w:highlight w:val="none"/>
              </w:rPr>
            </w:pPr>
          </w:p>
        </w:tc>
        <w:tc>
          <w:tcPr>
            <w:tcW w:w="935" w:type="pct"/>
            <w:noWrap w:val="0"/>
            <w:vAlign w:val="top"/>
          </w:tcPr>
          <w:p>
            <w:pPr>
              <w:spacing w:line="360" w:lineRule="auto"/>
              <w:rPr>
                <w:rFonts w:hint="eastAsia" w:ascii="宋体" w:hAnsi="宋体" w:cs="宋体"/>
                <w:color w:val="auto"/>
                <w:szCs w:val="21"/>
                <w:highlight w:val="none"/>
              </w:rPr>
            </w:pPr>
          </w:p>
        </w:tc>
      </w:tr>
    </w:tbl>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p>
    <w:p>
      <w:pPr>
        <w:tabs>
          <w:tab w:val="left" w:pos="900"/>
          <w:tab w:val="left" w:pos="1080"/>
        </w:tabs>
        <w:spacing w:line="360" w:lineRule="auto"/>
        <w:rPr>
          <w:rFonts w:hint="eastAsia" w:ascii="宋体" w:hAnsi="宋体" w:cs="宋体"/>
          <w:b/>
          <w:color w:val="auto"/>
          <w:szCs w:val="21"/>
          <w:highlight w:val="none"/>
        </w:rPr>
      </w:pPr>
    </w:p>
    <w:p>
      <w:pPr>
        <w:tabs>
          <w:tab w:val="left" w:pos="900"/>
          <w:tab w:val="left" w:pos="10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注：业绩表后应附</w:t>
      </w:r>
      <w:r>
        <w:rPr>
          <w:rFonts w:hint="eastAsia" w:ascii="宋体" w:hAnsi="宋体" w:cs="宋体"/>
          <w:b/>
          <w:color w:val="auto"/>
          <w:szCs w:val="21"/>
          <w:highlight w:val="none"/>
          <w:lang w:val="en-US" w:eastAsia="zh-CN"/>
        </w:rPr>
        <w:t>相应证明材料</w:t>
      </w:r>
      <w:r>
        <w:rPr>
          <w:rFonts w:hint="eastAsia" w:ascii="宋体" w:hAnsi="宋体" w:cs="宋体"/>
          <w:b/>
          <w:color w:val="auto"/>
          <w:szCs w:val="21"/>
          <w:highlight w:val="none"/>
        </w:rPr>
        <w:t>。</w:t>
      </w:r>
    </w:p>
    <w:p>
      <w:pPr>
        <w:pStyle w:val="12"/>
        <w:rPr>
          <w:rFonts w:hint="eastAsia"/>
        </w:rPr>
      </w:pPr>
    </w:p>
    <w:p>
      <w:pPr>
        <w:spacing w:line="360" w:lineRule="auto"/>
        <w:jc w:val="center"/>
        <w:rPr>
          <w:rFonts w:hint="eastAsia" w:ascii="宋体" w:hAnsi="宋体" w:cs="宋体"/>
          <w:b/>
          <w:color w:val="auto"/>
          <w:szCs w:val="21"/>
          <w:highlight w:val="none"/>
        </w:rPr>
      </w:pPr>
    </w:p>
    <w:p>
      <w:pPr>
        <w:spacing w:line="360" w:lineRule="auto"/>
        <w:jc w:val="center"/>
        <w:rPr>
          <w:rFonts w:hint="eastAsia" w:ascii="宋体" w:hAnsi="宋体" w:eastAsia="宋体" w:cs="宋体"/>
          <w:b/>
          <w:bCs/>
          <w:color w:val="auto"/>
          <w:spacing w:val="20"/>
          <w:sz w:val="30"/>
          <w:szCs w:val="30"/>
          <w:highlight w:val="none"/>
          <w:lang w:eastAsia="zh-CN"/>
        </w:rPr>
      </w:pPr>
      <w:r>
        <w:rPr>
          <w:rFonts w:hint="eastAsia" w:ascii="宋体" w:hAnsi="宋体" w:cs="宋体"/>
          <w:b/>
          <w:bCs/>
          <w:color w:val="auto"/>
          <w:spacing w:val="20"/>
          <w:sz w:val="30"/>
          <w:szCs w:val="30"/>
          <w:highlight w:val="none"/>
        </w:rPr>
        <w:t>业绩表</w:t>
      </w:r>
      <w:r>
        <w:rPr>
          <w:rFonts w:hint="eastAsia" w:ascii="宋体" w:hAnsi="宋体" w:cs="宋体"/>
          <w:b/>
          <w:bCs/>
          <w:color w:val="auto"/>
          <w:spacing w:val="20"/>
          <w:sz w:val="30"/>
          <w:szCs w:val="30"/>
          <w:highlight w:val="none"/>
          <w:lang w:eastAsia="zh-CN"/>
        </w:rPr>
        <w:t>（ 适用子包</w:t>
      </w:r>
      <w:r>
        <w:rPr>
          <w:rFonts w:hint="eastAsia" w:ascii="宋体" w:hAnsi="宋体" w:cs="宋体"/>
          <w:b/>
          <w:bCs/>
          <w:color w:val="auto"/>
          <w:spacing w:val="20"/>
          <w:sz w:val="30"/>
          <w:szCs w:val="30"/>
          <w:highlight w:val="none"/>
          <w:lang w:val="en-US" w:eastAsia="zh-CN"/>
        </w:rPr>
        <w:t>2</w:t>
      </w:r>
      <w:r>
        <w:rPr>
          <w:rFonts w:hint="eastAsia" w:ascii="宋体" w:hAnsi="宋体" w:cs="宋体"/>
          <w:b/>
          <w:bCs/>
          <w:color w:val="auto"/>
          <w:spacing w:val="20"/>
          <w:sz w:val="30"/>
          <w:szCs w:val="30"/>
          <w:highlight w:val="none"/>
          <w:lang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p>
    <w:tbl>
      <w:tblPr>
        <w:tblStyle w:val="3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12"/>
        <w:gridCol w:w="1742"/>
        <w:gridCol w:w="1740"/>
        <w:gridCol w:w="141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1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74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174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141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206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pPr>
              <w:spacing w:line="360" w:lineRule="auto"/>
              <w:rPr>
                <w:rFonts w:hint="eastAsia" w:ascii="宋体" w:hAnsi="宋体" w:cs="宋体"/>
                <w:color w:val="auto"/>
                <w:szCs w:val="21"/>
                <w:highlight w:val="none"/>
              </w:rPr>
            </w:pPr>
          </w:p>
        </w:tc>
        <w:tc>
          <w:tcPr>
            <w:tcW w:w="1712" w:type="dxa"/>
            <w:noWrap w:val="0"/>
            <w:vAlign w:val="top"/>
          </w:tcPr>
          <w:p>
            <w:pPr>
              <w:spacing w:line="360" w:lineRule="auto"/>
              <w:rPr>
                <w:rFonts w:hint="eastAsia" w:ascii="宋体" w:hAnsi="宋体" w:cs="宋体"/>
                <w:color w:val="auto"/>
                <w:szCs w:val="21"/>
                <w:highlight w:val="none"/>
              </w:rPr>
            </w:pPr>
          </w:p>
        </w:tc>
        <w:tc>
          <w:tcPr>
            <w:tcW w:w="1742" w:type="dxa"/>
            <w:noWrap w:val="0"/>
            <w:vAlign w:val="top"/>
          </w:tcPr>
          <w:p>
            <w:pPr>
              <w:spacing w:line="360" w:lineRule="auto"/>
              <w:rPr>
                <w:rFonts w:hint="eastAsia" w:ascii="宋体" w:hAnsi="宋体" w:cs="宋体"/>
                <w:color w:val="auto"/>
                <w:szCs w:val="21"/>
                <w:highlight w:val="none"/>
              </w:rPr>
            </w:pPr>
          </w:p>
        </w:tc>
        <w:tc>
          <w:tcPr>
            <w:tcW w:w="1740" w:type="dxa"/>
            <w:noWrap w:val="0"/>
            <w:vAlign w:val="top"/>
          </w:tcPr>
          <w:p>
            <w:pPr>
              <w:spacing w:line="360" w:lineRule="auto"/>
              <w:rPr>
                <w:rFonts w:hint="eastAsia" w:ascii="宋体" w:hAnsi="宋体" w:cs="宋体"/>
                <w:color w:val="auto"/>
                <w:szCs w:val="21"/>
                <w:highlight w:val="none"/>
              </w:rPr>
            </w:pPr>
          </w:p>
        </w:tc>
        <w:tc>
          <w:tcPr>
            <w:tcW w:w="1419" w:type="dxa"/>
            <w:noWrap w:val="0"/>
            <w:vAlign w:val="top"/>
          </w:tcPr>
          <w:p>
            <w:pPr>
              <w:spacing w:line="360" w:lineRule="auto"/>
              <w:rPr>
                <w:rFonts w:hint="eastAsia" w:ascii="宋体" w:hAnsi="宋体" w:cs="宋体"/>
                <w:color w:val="auto"/>
                <w:szCs w:val="21"/>
                <w:highlight w:val="none"/>
              </w:rPr>
            </w:pPr>
          </w:p>
        </w:tc>
        <w:tc>
          <w:tcPr>
            <w:tcW w:w="2062" w:type="dxa"/>
            <w:noWrap w:val="0"/>
            <w:vAlign w:val="top"/>
          </w:tcPr>
          <w:p>
            <w:pPr>
              <w:spacing w:line="360" w:lineRule="auto"/>
              <w:rPr>
                <w:rFonts w:hint="eastAsia" w:ascii="宋体" w:hAnsi="宋体" w:cs="宋体"/>
                <w:color w:val="auto"/>
                <w:szCs w:val="21"/>
                <w:highlight w:val="none"/>
              </w:rPr>
            </w:pPr>
          </w:p>
        </w:tc>
      </w:tr>
    </w:tbl>
    <w:p>
      <w:pPr>
        <w:tabs>
          <w:tab w:val="left" w:pos="900"/>
          <w:tab w:val="left" w:pos="1080"/>
        </w:tabs>
        <w:spacing w:line="360" w:lineRule="auto"/>
        <w:rPr>
          <w:rFonts w:hint="eastAsia" w:ascii="宋体" w:hAnsi="宋体" w:cs="宋体"/>
          <w:b/>
          <w:color w:val="auto"/>
          <w:szCs w:val="21"/>
          <w:highlight w:val="none"/>
        </w:rPr>
      </w:pPr>
    </w:p>
    <w:p>
      <w:pPr>
        <w:tabs>
          <w:tab w:val="left" w:pos="900"/>
          <w:tab w:val="left" w:pos="10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注：业绩表后应附</w:t>
      </w:r>
      <w:r>
        <w:rPr>
          <w:rFonts w:hint="eastAsia" w:ascii="宋体" w:hAnsi="宋体" w:cs="宋体"/>
          <w:b/>
          <w:color w:val="auto"/>
          <w:szCs w:val="21"/>
          <w:highlight w:val="none"/>
          <w:lang w:val="en-US" w:eastAsia="zh-CN"/>
        </w:rPr>
        <w:t>相应证明材料</w:t>
      </w:r>
      <w:r>
        <w:rPr>
          <w:rFonts w:hint="eastAsia" w:ascii="宋体" w:hAnsi="宋体" w:cs="宋体"/>
          <w:b/>
          <w:color w:val="auto"/>
          <w:szCs w:val="21"/>
          <w:highlight w:val="none"/>
        </w:rPr>
        <w:t>。</w:t>
      </w:r>
    </w:p>
    <w:p>
      <w:pPr>
        <w:spacing w:line="360" w:lineRule="auto"/>
        <w:jc w:val="center"/>
        <w:rPr>
          <w:rFonts w:hint="eastAsia" w:ascii="宋体" w:hAnsi="宋体" w:cs="宋体"/>
          <w:b/>
          <w:color w:val="auto"/>
          <w:szCs w:val="21"/>
          <w:highlight w:val="none"/>
        </w:rPr>
      </w:pPr>
    </w:p>
    <w:p>
      <w:pPr>
        <w:spacing w:line="360" w:lineRule="auto"/>
        <w:jc w:val="center"/>
        <w:rPr>
          <w:rFonts w:hint="eastAsia" w:ascii="宋体" w:hAnsi="宋体" w:cs="宋体"/>
          <w:b/>
          <w:color w:val="auto"/>
          <w:szCs w:val="21"/>
          <w:highlight w:val="none"/>
        </w:rPr>
        <w:sectPr>
          <w:footnotePr>
            <w:pos w:val="beneathText"/>
          </w:footnotePr>
          <w:pgSz w:w="11906" w:h="16838"/>
          <w:pgMar w:top="1418" w:right="1418" w:bottom="1418" w:left="1418" w:header="850" w:footer="992" w:gutter="0"/>
          <w:pgBorders>
            <w:top w:val="none" w:sz="0" w:space="0"/>
            <w:left w:val="none" w:sz="0" w:space="0"/>
            <w:bottom w:val="none" w:sz="0" w:space="0"/>
            <w:right w:val="none" w:sz="0" w:space="0"/>
          </w:pgBorders>
          <w:cols w:space="720" w:num="1"/>
          <w:docGrid w:linePitch="333" w:charSpace="0"/>
        </w:sectPr>
      </w:pPr>
    </w:p>
    <w:p>
      <w:pPr>
        <w:pStyle w:val="9"/>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（3）企业财务状况</w:t>
      </w:r>
    </w:p>
    <w:p>
      <w:pPr>
        <w:tabs>
          <w:tab w:val="left" w:pos="4158"/>
        </w:tabs>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近三年财务状况表（按年度提供）</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按招标文件要求提供经</w:t>
      </w:r>
      <w:r>
        <w:rPr>
          <w:rFonts w:hint="eastAsia" w:ascii="宋体" w:hAnsi="宋体" w:cs="宋体"/>
          <w:b/>
          <w:color w:val="auto"/>
          <w:szCs w:val="21"/>
          <w:highlight w:val="none"/>
          <w:lang w:val="en-US" w:eastAsia="zh-CN"/>
        </w:rPr>
        <w:t>财务</w:t>
      </w:r>
      <w:r>
        <w:rPr>
          <w:rFonts w:hint="eastAsia" w:ascii="宋体" w:hAnsi="宋体" w:cs="宋体"/>
          <w:b/>
          <w:color w:val="auto"/>
          <w:szCs w:val="21"/>
          <w:highlight w:val="none"/>
        </w:rPr>
        <w:t>报告，并根据报告内容填写以下表格：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1322"/>
        <w:gridCol w:w="1704"/>
        <w:gridCol w:w="1706"/>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项目或指标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单位</w:t>
            </w:r>
          </w:p>
        </w:tc>
        <w:tc>
          <w:tcPr>
            <w:tcW w:w="1704" w:type="dxa"/>
            <w:noWrap w:val="0"/>
            <w:vAlign w:val="center"/>
          </w:tcPr>
          <w:p>
            <w:pPr>
              <w:snapToGrid w:val="0"/>
              <w:spacing w:line="360" w:lineRule="auto"/>
              <w:jc w:val="center"/>
              <w:rPr>
                <w:rFonts w:hint="eastAsia" w:ascii="宋体" w:hAnsi="宋体" w:cs="宋体"/>
                <w:color w:val="auto"/>
                <w:szCs w:val="21"/>
                <w:highlight w:val="none"/>
              </w:rPr>
            </w:pPr>
          </w:p>
        </w:tc>
        <w:tc>
          <w:tcPr>
            <w:tcW w:w="1706" w:type="dxa"/>
            <w:noWrap w:val="0"/>
            <w:vAlign w:val="center"/>
          </w:tcPr>
          <w:p>
            <w:pPr>
              <w:snapToGrid w:val="0"/>
              <w:spacing w:line="360" w:lineRule="auto"/>
              <w:jc w:val="center"/>
              <w:rPr>
                <w:rFonts w:hint="eastAsia" w:ascii="宋体" w:hAnsi="宋体" w:cs="宋体"/>
                <w:color w:val="auto"/>
                <w:szCs w:val="21"/>
                <w:highlight w:val="none"/>
              </w:rPr>
            </w:pPr>
          </w:p>
        </w:tc>
        <w:tc>
          <w:tcPr>
            <w:tcW w:w="2113" w:type="dxa"/>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一、注册资金</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二、净资产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三、总资产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四、固定资产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五、流动资产</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六、流动负债</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七、负债合计</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八、营业收入</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九、净利润</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十、净现金流量总额</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十一、主要财务指标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1、净资产收益率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2、总资产报酬率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3、主营业务利润率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4、资产负债率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5、流动比率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4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6、速动比率</w:t>
            </w:r>
          </w:p>
        </w:tc>
        <w:tc>
          <w:tcPr>
            <w:tcW w:w="1322" w:type="dxa"/>
            <w:noWrap w:val="0"/>
            <w:vAlign w:val="center"/>
          </w:tcPr>
          <w:p>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tc>
        <w:tc>
          <w:tcPr>
            <w:tcW w:w="1704" w:type="dxa"/>
            <w:noWrap w:val="0"/>
            <w:vAlign w:val="center"/>
          </w:tcPr>
          <w:p>
            <w:pPr>
              <w:snapToGrid w:val="0"/>
              <w:spacing w:line="360" w:lineRule="auto"/>
              <w:jc w:val="center"/>
              <w:rPr>
                <w:rFonts w:hint="eastAsia" w:ascii="宋体" w:hAnsi="宋体" w:cs="宋体"/>
                <w:bCs/>
                <w:color w:val="auto"/>
                <w:szCs w:val="21"/>
                <w:highlight w:val="none"/>
              </w:rPr>
            </w:pPr>
          </w:p>
        </w:tc>
        <w:tc>
          <w:tcPr>
            <w:tcW w:w="1706" w:type="dxa"/>
            <w:noWrap w:val="0"/>
            <w:vAlign w:val="center"/>
          </w:tcPr>
          <w:p>
            <w:pPr>
              <w:snapToGrid w:val="0"/>
              <w:spacing w:line="360" w:lineRule="auto"/>
              <w:jc w:val="center"/>
              <w:rPr>
                <w:rFonts w:hint="eastAsia" w:ascii="宋体" w:hAnsi="宋体" w:cs="宋体"/>
                <w:bCs/>
                <w:color w:val="auto"/>
                <w:szCs w:val="21"/>
                <w:highlight w:val="none"/>
              </w:rPr>
            </w:pPr>
          </w:p>
        </w:tc>
        <w:tc>
          <w:tcPr>
            <w:tcW w:w="2113" w:type="dxa"/>
            <w:noWrap w:val="0"/>
            <w:vAlign w:val="center"/>
          </w:tcPr>
          <w:p>
            <w:pPr>
              <w:snapToGrid w:val="0"/>
              <w:spacing w:line="360" w:lineRule="auto"/>
              <w:jc w:val="center"/>
              <w:rPr>
                <w:rFonts w:hint="eastAsia" w:ascii="宋体" w:hAnsi="宋体" w:cs="宋体"/>
                <w:bCs/>
                <w:color w:val="auto"/>
                <w:szCs w:val="21"/>
                <w:highlight w:val="none"/>
              </w:rPr>
            </w:pPr>
          </w:p>
        </w:tc>
      </w:tr>
    </w:tbl>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应附财务报告的资产负债表、利润表、现金流量表</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2、请</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根据表格内容填写关键数据。</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3、若缺少上述内容将可能影响评标委员会对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的评审。</w:t>
      </w:r>
    </w:p>
    <w:p>
      <w:pPr>
        <w:spacing w:line="480" w:lineRule="auto"/>
        <w:jc w:val="left"/>
        <w:rPr>
          <w:rFonts w:hint="eastAsia" w:ascii="宋体" w:hAnsi="宋体" w:cs="宋体"/>
          <w:b/>
          <w:color w:val="auto"/>
          <w:sz w:val="24"/>
          <w:highlight w:val="none"/>
        </w:rPr>
      </w:pPr>
    </w:p>
    <w:p>
      <w:p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pPr>
        <w:pStyle w:val="9"/>
        <w:spacing w:line="360" w:lineRule="auto"/>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（4）投入本项目的主要管理技术人员情况</w:t>
      </w:r>
    </w:p>
    <w:tbl>
      <w:tblPr>
        <w:tblStyle w:val="3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491"/>
        <w:gridCol w:w="560"/>
        <w:gridCol w:w="560"/>
        <w:gridCol w:w="560"/>
        <w:gridCol w:w="560"/>
        <w:gridCol w:w="1929"/>
        <w:gridCol w:w="826"/>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559"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91"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拟担任本项目的角色</w:t>
            </w:r>
          </w:p>
        </w:tc>
        <w:tc>
          <w:tcPr>
            <w:tcW w:w="560" w:type="dxa"/>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560" w:type="dxa"/>
            <w:tcBorders>
              <w:top w:val="single" w:color="auto" w:sz="4" w:space="0"/>
              <w:left w:val="single" w:color="auto" w:sz="4" w:space="0"/>
              <w:bottom w:val="nil"/>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年龄</w:t>
            </w:r>
          </w:p>
        </w:tc>
        <w:tc>
          <w:tcPr>
            <w:tcW w:w="560" w:type="dxa"/>
            <w:tcBorders>
              <w:top w:val="single" w:color="auto" w:sz="4" w:space="0"/>
              <w:left w:val="single" w:color="auto" w:sz="4" w:space="0"/>
              <w:bottom w:val="nil"/>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学历</w:t>
            </w:r>
          </w:p>
        </w:tc>
        <w:tc>
          <w:tcPr>
            <w:tcW w:w="560" w:type="dxa"/>
            <w:tcBorders>
              <w:top w:val="single" w:color="auto" w:sz="4" w:space="0"/>
              <w:bottom w:val="nil"/>
            </w:tcBorders>
            <w:shd w:val="clear" w:color="auto" w:fill="FFFFFF"/>
            <w:noWrap w:val="0"/>
            <w:vAlign w:val="center"/>
          </w:tcPr>
          <w:p>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身高</w:t>
            </w:r>
          </w:p>
        </w:tc>
        <w:tc>
          <w:tcPr>
            <w:tcW w:w="1929" w:type="dxa"/>
            <w:tcBorders>
              <w:top w:val="single" w:color="auto" w:sz="4" w:space="0"/>
              <w:bottom w:val="nil"/>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具有相关证书(含职称证)等</w:t>
            </w:r>
          </w:p>
        </w:tc>
        <w:tc>
          <w:tcPr>
            <w:tcW w:w="826" w:type="dxa"/>
            <w:tcBorders>
              <w:top w:val="single" w:color="auto" w:sz="4" w:space="0"/>
              <w:bottom w:val="nil"/>
            </w:tcBorders>
            <w:shd w:val="clear" w:color="auto" w:fill="FFFFFF"/>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工作年限</w:t>
            </w:r>
          </w:p>
        </w:tc>
        <w:tc>
          <w:tcPr>
            <w:tcW w:w="2241" w:type="dxa"/>
            <w:tcBorders>
              <w:top w:val="single" w:color="auto" w:sz="4" w:space="0"/>
              <w:bottom w:val="nil"/>
              <w:right w:val="single" w:color="auto" w:sz="4" w:space="0"/>
            </w:tcBorders>
            <w:shd w:val="clear" w:color="auto" w:fill="FFFFFF"/>
            <w:noWrap w:val="0"/>
            <w:vAlign w:val="center"/>
          </w:tcPr>
          <w:p>
            <w:pPr>
              <w:ind w:firstLine="12"/>
              <w:jc w:val="center"/>
              <w:rPr>
                <w:rFonts w:hint="eastAsia" w:ascii="宋体" w:hAnsi="宋体" w:cs="宋体"/>
                <w:b/>
                <w:color w:val="auto"/>
                <w:szCs w:val="21"/>
                <w:highlight w:val="none"/>
              </w:rPr>
            </w:pPr>
            <w:r>
              <w:rPr>
                <w:rFonts w:hint="eastAsia" w:ascii="宋体" w:hAnsi="宋体" w:cs="宋体"/>
                <w:b/>
                <w:bCs/>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9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top w:val="single" w:color="auto" w:sz="4" w:space="0"/>
              <w:left w:val="single" w:color="auto" w:sz="4" w:space="0"/>
              <w:bottom w:val="nil"/>
            </w:tcBorders>
            <w:noWrap w:val="0"/>
            <w:vAlign w:val="center"/>
          </w:tcPr>
          <w:p>
            <w:pPr>
              <w:jc w:val="center"/>
              <w:rPr>
                <w:rFonts w:hint="eastAsia" w:ascii="宋体" w:hAnsi="宋体" w:cs="宋体"/>
                <w:color w:val="auto"/>
                <w:szCs w:val="21"/>
                <w:highlight w:val="none"/>
              </w:rPr>
            </w:pPr>
          </w:p>
        </w:tc>
        <w:tc>
          <w:tcPr>
            <w:tcW w:w="560" w:type="dxa"/>
            <w:tcBorders>
              <w:top w:val="single" w:color="auto" w:sz="4" w:space="0"/>
              <w:left w:val="single" w:color="auto" w:sz="4" w:space="0"/>
              <w:bottom w:val="nil"/>
            </w:tcBorders>
            <w:noWrap w:val="0"/>
            <w:vAlign w:val="center"/>
          </w:tcPr>
          <w:p>
            <w:pPr>
              <w:jc w:val="center"/>
              <w:rPr>
                <w:rFonts w:hint="eastAsia" w:ascii="宋体" w:hAnsi="宋体" w:cs="宋体"/>
                <w:color w:val="auto"/>
                <w:szCs w:val="21"/>
                <w:highlight w:val="none"/>
              </w:rPr>
            </w:pPr>
          </w:p>
        </w:tc>
        <w:tc>
          <w:tcPr>
            <w:tcW w:w="560" w:type="dxa"/>
            <w:tcBorders>
              <w:top w:val="single" w:color="auto" w:sz="4" w:space="0"/>
              <w:bottom w:val="nil"/>
            </w:tcBorders>
            <w:noWrap w:val="0"/>
            <w:vAlign w:val="center"/>
          </w:tcPr>
          <w:p>
            <w:pPr>
              <w:jc w:val="center"/>
              <w:rPr>
                <w:rFonts w:hint="eastAsia" w:ascii="宋体" w:hAnsi="宋体" w:cs="宋体"/>
                <w:color w:val="auto"/>
                <w:szCs w:val="21"/>
                <w:highlight w:val="none"/>
              </w:rPr>
            </w:pPr>
          </w:p>
        </w:tc>
        <w:tc>
          <w:tcPr>
            <w:tcW w:w="1929" w:type="dxa"/>
            <w:tcBorders>
              <w:top w:val="single" w:color="auto" w:sz="4" w:space="0"/>
              <w:bottom w:val="nil"/>
            </w:tcBorders>
            <w:noWrap w:val="0"/>
            <w:vAlign w:val="center"/>
          </w:tcPr>
          <w:p>
            <w:pPr>
              <w:jc w:val="center"/>
              <w:rPr>
                <w:rFonts w:hint="eastAsia" w:ascii="宋体" w:hAnsi="宋体" w:cs="宋体"/>
                <w:color w:val="auto"/>
                <w:szCs w:val="21"/>
                <w:highlight w:val="none"/>
              </w:rPr>
            </w:pPr>
          </w:p>
        </w:tc>
        <w:tc>
          <w:tcPr>
            <w:tcW w:w="826" w:type="dxa"/>
            <w:tcBorders>
              <w:top w:val="single" w:color="auto" w:sz="4" w:space="0"/>
              <w:bottom w:val="nil"/>
            </w:tcBorders>
            <w:noWrap w:val="0"/>
            <w:vAlign w:val="center"/>
          </w:tcPr>
          <w:p>
            <w:pPr>
              <w:ind w:firstLine="12"/>
              <w:jc w:val="center"/>
              <w:rPr>
                <w:rFonts w:hint="eastAsia" w:ascii="宋体" w:hAnsi="宋体" w:cs="宋体"/>
                <w:color w:val="auto"/>
                <w:szCs w:val="21"/>
                <w:highlight w:val="none"/>
              </w:rPr>
            </w:pPr>
          </w:p>
        </w:tc>
        <w:tc>
          <w:tcPr>
            <w:tcW w:w="2241" w:type="dxa"/>
            <w:tcBorders>
              <w:top w:val="single" w:color="auto" w:sz="4" w:space="0"/>
              <w:bottom w:val="nil"/>
              <w:right w:val="single" w:color="auto" w:sz="4" w:space="0"/>
            </w:tcBorders>
            <w:noWrap w:val="0"/>
            <w:vAlign w:val="center"/>
          </w:tcPr>
          <w:p>
            <w:pPr>
              <w:ind w:firstLine="12"/>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9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noWrap w:val="0"/>
            <w:vAlign w:val="center"/>
          </w:tcPr>
          <w:p>
            <w:pPr>
              <w:jc w:val="center"/>
              <w:rPr>
                <w:rFonts w:hint="eastAsia" w:ascii="宋体" w:hAnsi="宋体" w:cs="宋体"/>
                <w:color w:val="auto"/>
                <w:szCs w:val="21"/>
                <w:highlight w:val="none"/>
              </w:rPr>
            </w:pPr>
          </w:p>
        </w:tc>
        <w:tc>
          <w:tcPr>
            <w:tcW w:w="1929" w:type="dxa"/>
            <w:noWrap w:val="0"/>
            <w:vAlign w:val="center"/>
          </w:tcPr>
          <w:p>
            <w:pPr>
              <w:jc w:val="center"/>
              <w:rPr>
                <w:rFonts w:hint="eastAsia" w:ascii="宋体" w:hAnsi="宋体" w:cs="宋体"/>
                <w:color w:val="auto"/>
                <w:szCs w:val="21"/>
                <w:highlight w:val="none"/>
              </w:rPr>
            </w:pPr>
          </w:p>
        </w:tc>
        <w:tc>
          <w:tcPr>
            <w:tcW w:w="826" w:type="dxa"/>
            <w:noWrap w:val="0"/>
            <w:vAlign w:val="center"/>
          </w:tcPr>
          <w:p>
            <w:pPr>
              <w:jc w:val="center"/>
              <w:rPr>
                <w:rFonts w:hint="eastAsia" w:ascii="宋体" w:hAnsi="宋体" w:cs="宋体"/>
                <w:color w:val="auto"/>
                <w:szCs w:val="21"/>
                <w:highlight w:val="none"/>
              </w:rPr>
            </w:pPr>
          </w:p>
        </w:tc>
        <w:tc>
          <w:tcPr>
            <w:tcW w:w="2241" w:type="dxa"/>
            <w:tcBorders>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9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noWrap w:val="0"/>
            <w:vAlign w:val="center"/>
          </w:tcPr>
          <w:p>
            <w:pPr>
              <w:jc w:val="center"/>
              <w:rPr>
                <w:rFonts w:hint="eastAsia" w:ascii="宋体" w:hAnsi="宋体" w:cs="宋体"/>
                <w:color w:val="auto"/>
                <w:szCs w:val="21"/>
                <w:highlight w:val="none"/>
              </w:rPr>
            </w:pPr>
          </w:p>
        </w:tc>
        <w:tc>
          <w:tcPr>
            <w:tcW w:w="1929" w:type="dxa"/>
            <w:noWrap w:val="0"/>
            <w:vAlign w:val="center"/>
          </w:tcPr>
          <w:p>
            <w:pPr>
              <w:jc w:val="center"/>
              <w:rPr>
                <w:rFonts w:hint="eastAsia" w:ascii="宋体" w:hAnsi="宋体" w:cs="宋体"/>
                <w:color w:val="auto"/>
                <w:szCs w:val="21"/>
                <w:highlight w:val="none"/>
              </w:rPr>
            </w:pPr>
          </w:p>
        </w:tc>
        <w:tc>
          <w:tcPr>
            <w:tcW w:w="826" w:type="dxa"/>
            <w:noWrap w:val="0"/>
            <w:vAlign w:val="center"/>
          </w:tcPr>
          <w:p>
            <w:pPr>
              <w:jc w:val="center"/>
              <w:rPr>
                <w:rFonts w:hint="eastAsia" w:ascii="宋体" w:hAnsi="宋体" w:cs="宋体"/>
                <w:color w:val="auto"/>
                <w:szCs w:val="21"/>
                <w:highlight w:val="none"/>
              </w:rPr>
            </w:pPr>
          </w:p>
        </w:tc>
        <w:tc>
          <w:tcPr>
            <w:tcW w:w="2241" w:type="dxa"/>
            <w:tcBorders>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9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noWrap w:val="0"/>
            <w:vAlign w:val="center"/>
          </w:tcPr>
          <w:p>
            <w:pPr>
              <w:jc w:val="center"/>
              <w:rPr>
                <w:rFonts w:hint="eastAsia" w:ascii="宋体" w:hAnsi="宋体" w:cs="宋体"/>
                <w:color w:val="auto"/>
                <w:szCs w:val="21"/>
                <w:highlight w:val="none"/>
              </w:rPr>
            </w:pPr>
          </w:p>
        </w:tc>
        <w:tc>
          <w:tcPr>
            <w:tcW w:w="1929" w:type="dxa"/>
            <w:noWrap w:val="0"/>
            <w:vAlign w:val="center"/>
          </w:tcPr>
          <w:p>
            <w:pPr>
              <w:jc w:val="center"/>
              <w:rPr>
                <w:rFonts w:hint="eastAsia" w:ascii="宋体" w:hAnsi="宋体" w:cs="宋体"/>
                <w:color w:val="auto"/>
                <w:szCs w:val="21"/>
                <w:highlight w:val="none"/>
              </w:rPr>
            </w:pPr>
          </w:p>
        </w:tc>
        <w:tc>
          <w:tcPr>
            <w:tcW w:w="826" w:type="dxa"/>
            <w:noWrap w:val="0"/>
            <w:vAlign w:val="center"/>
          </w:tcPr>
          <w:p>
            <w:pPr>
              <w:jc w:val="center"/>
              <w:rPr>
                <w:rFonts w:hint="eastAsia" w:ascii="宋体" w:hAnsi="宋体" w:cs="宋体"/>
                <w:color w:val="auto"/>
                <w:szCs w:val="21"/>
                <w:highlight w:val="none"/>
              </w:rPr>
            </w:pPr>
          </w:p>
        </w:tc>
        <w:tc>
          <w:tcPr>
            <w:tcW w:w="2241" w:type="dxa"/>
            <w:tcBorders>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9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noWrap w:val="0"/>
            <w:vAlign w:val="center"/>
          </w:tcPr>
          <w:p>
            <w:pPr>
              <w:jc w:val="center"/>
              <w:rPr>
                <w:rFonts w:hint="eastAsia" w:ascii="宋体" w:hAnsi="宋体" w:cs="宋体"/>
                <w:color w:val="auto"/>
                <w:szCs w:val="21"/>
                <w:highlight w:val="none"/>
              </w:rPr>
            </w:pPr>
          </w:p>
        </w:tc>
        <w:tc>
          <w:tcPr>
            <w:tcW w:w="1929" w:type="dxa"/>
            <w:noWrap w:val="0"/>
            <w:vAlign w:val="center"/>
          </w:tcPr>
          <w:p>
            <w:pPr>
              <w:jc w:val="center"/>
              <w:rPr>
                <w:rFonts w:hint="eastAsia" w:ascii="宋体" w:hAnsi="宋体" w:cs="宋体"/>
                <w:color w:val="auto"/>
                <w:szCs w:val="21"/>
                <w:highlight w:val="none"/>
              </w:rPr>
            </w:pPr>
          </w:p>
        </w:tc>
        <w:tc>
          <w:tcPr>
            <w:tcW w:w="826" w:type="dxa"/>
            <w:noWrap w:val="0"/>
            <w:vAlign w:val="center"/>
          </w:tcPr>
          <w:p>
            <w:pPr>
              <w:jc w:val="center"/>
              <w:rPr>
                <w:rFonts w:hint="eastAsia" w:ascii="宋体" w:hAnsi="宋体" w:cs="宋体"/>
                <w:color w:val="auto"/>
                <w:szCs w:val="21"/>
                <w:highlight w:val="none"/>
              </w:rPr>
            </w:pPr>
          </w:p>
        </w:tc>
        <w:tc>
          <w:tcPr>
            <w:tcW w:w="2241" w:type="dxa"/>
            <w:tcBorders>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491"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noWrap w:val="0"/>
            <w:vAlign w:val="center"/>
          </w:tcPr>
          <w:p>
            <w:pPr>
              <w:jc w:val="center"/>
              <w:rPr>
                <w:rFonts w:hint="eastAsia" w:ascii="宋体" w:hAnsi="宋体" w:cs="宋体"/>
                <w:color w:val="auto"/>
                <w:szCs w:val="21"/>
                <w:highlight w:val="none"/>
              </w:rPr>
            </w:pPr>
          </w:p>
        </w:tc>
        <w:tc>
          <w:tcPr>
            <w:tcW w:w="1929" w:type="dxa"/>
            <w:noWrap w:val="0"/>
            <w:vAlign w:val="center"/>
          </w:tcPr>
          <w:p>
            <w:pPr>
              <w:jc w:val="center"/>
              <w:rPr>
                <w:rFonts w:hint="eastAsia" w:ascii="宋体" w:hAnsi="宋体" w:cs="宋体"/>
                <w:color w:val="auto"/>
                <w:szCs w:val="21"/>
                <w:highlight w:val="none"/>
              </w:rPr>
            </w:pPr>
          </w:p>
        </w:tc>
        <w:tc>
          <w:tcPr>
            <w:tcW w:w="826" w:type="dxa"/>
            <w:noWrap w:val="0"/>
            <w:vAlign w:val="center"/>
          </w:tcPr>
          <w:p>
            <w:pPr>
              <w:jc w:val="center"/>
              <w:rPr>
                <w:rFonts w:hint="eastAsia" w:ascii="宋体" w:hAnsi="宋体" w:cs="宋体"/>
                <w:color w:val="auto"/>
                <w:szCs w:val="21"/>
                <w:highlight w:val="none"/>
              </w:rPr>
            </w:pPr>
          </w:p>
        </w:tc>
        <w:tc>
          <w:tcPr>
            <w:tcW w:w="2241" w:type="dxa"/>
            <w:tcBorders>
              <w:right w:val="single" w:color="auto" w:sz="4" w:space="0"/>
            </w:tcBorders>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9"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491"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tcBorders>
              <w:left w:val="single" w:color="auto" w:sz="4" w:space="0"/>
            </w:tcBorders>
            <w:noWrap w:val="0"/>
            <w:vAlign w:val="center"/>
          </w:tcPr>
          <w:p>
            <w:pPr>
              <w:jc w:val="center"/>
              <w:rPr>
                <w:rFonts w:hint="eastAsia" w:ascii="宋体" w:hAnsi="宋体" w:cs="宋体"/>
                <w:color w:val="auto"/>
                <w:szCs w:val="21"/>
                <w:highlight w:val="none"/>
              </w:rPr>
            </w:pPr>
          </w:p>
        </w:tc>
        <w:tc>
          <w:tcPr>
            <w:tcW w:w="560" w:type="dxa"/>
            <w:noWrap w:val="0"/>
            <w:vAlign w:val="center"/>
          </w:tcPr>
          <w:p>
            <w:pPr>
              <w:jc w:val="center"/>
              <w:rPr>
                <w:rFonts w:hint="eastAsia" w:ascii="宋体" w:hAnsi="宋体" w:cs="宋体"/>
                <w:color w:val="auto"/>
                <w:szCs w:val="21"/>
                <w:highlight w:val="none"/>
              </w:rPr>
            </w:pPr>
          </w:p>
        </w:tc>
        <w:tc>
          <w:tcPr>
            <w:tcW w:w="1929" w:type="dxa"/>
            <w:noWrap w:val="0"/>
            <w:vAlign w:val="center"/>
          </w:tcPr>
          <w:p>
            <w:pPr>
              <w:jc w:val="center"/>
              <w:rPr>
                <w:rFonts w:hint="eastAsia" w:ascii="宋体" w:hAnsi="宋体" w:cs="宋体"/>
                <w:color w:val="auto"/>
                <w:szCs w:val="21"/>
                <w:highlight w:val="none"/>
              </w:rPr>
            </w:pPr>
          </w:p>
        </w:tc>
        <w:tc>
          <w:tcPr>
            <w:tcW w:w="826" w:type="dxa"/>
            <w:noWrap w:val="0"/>
            <w:vAlign w:val="center"/>
          </w:tcPr>
          <w:p>
            <w:pPr>
              <w:jc w:val="center"/>
              <w:rPr>
                <w:rFonts w:hint="eastAsia" w:ascii="宋体" w:hAnsi="宋体" w:cs="宋体"/>
                <w:color w:val="auto"/>
                <w:szCs w:val="21"/>
                <w:highlight w:val="none"/>
              </w:rPr>
            </w:pPr>
          </w:p>
        </w:tc>
        <w:tc>
          <w:tcPr>
            <w:tcW w:w="2241" w:type="dxa"/>
            <w:tcBorders>
              <w:right w:val="single" w:color="auto" w:sz="4" w:space="0"/>
            </w:tcBorders>
            <w:noWrap w:val="0"/>
            <w:vAlign w:val="center"/>
          </w:tcPr>
          <w:p>
            <w:pPr>
              <w:jc w:val="center"/>
              <w:rPr>
                <w:rFonts w:hint="eastAsia" w:ascii="宋体" w:hAnsi="宋体" w:cs="宋体"/>
                <w:color w:val="auto"/>
                <w:szCs w:val="21"/>
                <w:highlight w:val="none"/>
              </w:rPr>
            </w:pPr>
          </w:p>
        </w:tc>
      </w:tr>
    </w:tbl>
    <w:p>
      <w:pPr>
        <w:spacing w:line="360" w:lineRule="auto"/>
        <w:ind w:firstLine="425"/>
        <w:jc w:val="center"/>
        <w:rPr>
          <w:rFonts w:hint="eastAsia" w:ascii="宋体" w:hAnsi="宋体" w:cs="宋体"/>
          <w:b/>
          <w:color w:val="auto"/>
          <w:sz w:val="28"/>
          <w:szCs w:val="28"/>
          <w:highlight w:val="none"/>
          <w:lang w:val="en-US" w:eastAsia="zh-CN"/>
        </w:rPr>
      </w:pPr>
    </w:p>
    <w:p>
      <w:pPr>
        <w:spacing w:line="360" w:lineRule="auto"/>
        <w:ind w:firstLine="425"/>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应根据招标文件《用户需求书》及评审内容填写。</w:t>
      </w:r>
    </w:p>
    <w:p>
      <w:pPr>
        <w:spacing w:line="360" w:lineRule="auto"/>
        <w:ind w:firstLine="425"/>
        <w:jc w:val="both"/>
        <w:rPr>
          <w:rFonts w:hint="eastAsia" w:ascii="宋体" w:hAnsi="宋体" w:cs="宋体"/>
          <w:b/>
          <w:color w:val="auto"/>
          <w:kern w:val="2"/>
          <w:sz w:val="21"/>
          <w:szCs w:val="21"/>
          <w:highlight w:val="none"/>
          <w:lang w:val="en-US" w:eastAsia="zh-CN" w:bidi="ar-SA"/>
        </w:rPr>
      </w:pPr>
    </w:p>
    <w:p>
      <w:pPr>
        <w:pStyle w:val="28"/>
        <w:numPr>
          <w:ilvl w:val="0"/>
          <w:numId w:val="0"/>
        </w:numPr>
        <w:tabs>
          <w:tab w:val="left" w:pos="588"/>
        </w:tabs>
        <w:snapToGrid w:val="0"/>
        <w:spacing w:before="120" w:after="120" w:line="440" w:lineRule="exact"/>
        <w:ind w:left="0" w:leftChars="0"/>
        <w:jc w:val="left"/>
        <w:rPr>
          <w:rFonts w:hint="eastAsia" w:ascii="宋体" w:hAnsi="宋体" w:eastAsia="宋体"/>
          <w:color w:val="auto"/>
          <w:sz w:val="24"/>
          <w:szCs w:val="24"/>
        </w:rPr>
      </w:pPr>
      <w:r>
        <w:rPr>
          <w:rFonts w:hint="eastAsia" w:ascii="宋体" w:hAnsi="宋体" w:cs="宋体"/>
          <w:color w:val="auto"/>
          <w:sz w:val="21"/>
          <w:szCs w:val="21"/>
          <w:highlight w:val="none"/>
          <w:lang w:val="en-US" w:eastAsia="zh-CN"/>
        </w:rPr>
        <w:t>（5）</w:t>
      </w:r>
      <w:r>
        <w:rPr>
          <w:rFonts w:hint="eastAsia" w:ascii="宋体" w:hAnsi="宋体" w:eastAsia="宋体"/>
          <w:color w:val="auto"/>
          <w:sz w:val="24"/>
          <w:szCs w:val="24"/>
        </w:rPr>
        <w:t>售后服务响应承诺函</w:t>
      </w:r>
    </w:p>
    <w:p>
      <w:pPr>
        <w:pStyle w:val="9"/>
        <w:spacing w:line="360" w:lineRule="auto"/>
        <w:ind w:left="0" w:firstLine="0"/>
        <w:rPr>
          <w:rFonts w:hint="eastAsia" w:ascii="宋体" w:hAnsi="宋体" w:cs="宋体"/>
          <w:color w:val="auto"/>
          <w:sz w:val="21"/>
          <w:szCs w:val="21"/>
          <w:highlight w:val="none"/>
          <w:lang w:val="en-US" w:eastAsia="zh-CN"/>
        </w:rPr>
      </w:pPr>
    </w:p>
    <w:p>
      <w:pPr>
        <w:pStyle w:val="2"/>
        <w:ind w:firstLine="562"/>
        <w:jc w:val="center"/>
        <w:rPr>
          <w:b/>
          <w:color w:val="auto"/>
          <w:sz w:val="28"/>
          <w:szCs w:val="22"/>
        </w:rPr>
      </w:pPr>
      <w:r>
        <w:rPr>
          <w:rFonts w:hint="eastAsia"/>
          <w:b/>
          <w:color w:val="auto"/>
          <w:sz w:val="28"/>
          <w:szCs w:val="22"/>
        </w:rPr>
        <w:t>售后服务响应承诺函</w:t>
      </w:r>
    </w:p>
    <w:p>
      <w:pPr>
        <w:pStyle w:val="2"/>
        <w:spacing w:line="360" w:lineRule="auto"/>
        <w:ind w:firstLine="0"/>
        <w:rPr>
          <w:rFonts w:ascii="宋体" w:hAnsi="宋体"/>
          <w:color w:val="auto"/>
          <w:sz w:val="21"/>
          <w:szCs w:val="21"/>
          <w:u w:val="none"/>
        </w:rPr>
      </w:pPr>
      <w:r>
        <w:rPr>
          <w:rFonts w:hint="eastAsia" w:ascii="宋体" w:hAnsi="宋体"/>
          <w:color w:val="auto"/>
          <w:sz w:val="21"/>
          <w:szCs w:val="21"/>
          <w:u w:val="none"/>
          <w:lang w:eastAsia="zh-CN"/>
        </w:rPr>
        <w:t>广东南方日报展示科技有限公司</w:t>
      </w:r>
      <w:r>
        <w:rPr>
          <w:rFonts w:hint="eastAsia" w:ascii="宋体" w:hAnsi="宋体"/>
          <w:color w:val="auto"/>
          <w:sz w:val="21"/>
          <w:szCs w:val="21"/>
          <w:u w:val="none"/>
        </w:rPr>
        <w:t>：</w:t>
      </w:r>
    </w:p>
    <w:p>
      <w:pPr>
        <w:shd w:val="clear" w:color="auto" w:fill="FFFFFF" w:themeFill="background1"/>
        <w:spacing w:before="120" w:beforeLines="50" w:line="360" w:lineRule="auto"/>
        <w:ind w:firstLine="420" w:firstLineChars="200"/>
        <w:rPr>
          <w:rFonts w:hint="eastAsia" w:ascii="宋体" w:hAnsi="宋体" w:cs="宋体"/>
          <w:sz w:val="21"/>
          <w:szCs w:val="21"/>
        </w:rPr>
      </w:pPr>
      <w:r>
        <w:rPr>
          <w:rFonts w:hint="eastAsia" w:ascii="宋体" w:hAnsi="宋体"/>
          <w:sz w:val="21"/>
          <w:szCs w:val="21"/>
        </w:rPr>
        <w:t>我司参与</w:t>
      </w:r>
      <w:r>
        <w:rPr>
          <w:rFonts w:hint="eastAsia" w:ascii="宋体" w:hAnsi="宋体"/>
          <w:sz w:val="21"/>
          <w:szCs w:val="21"/>
          <w:lang w:eastAsia="zh-CN"/>
        </w:rPr>
        <w:t>（</w:t>
      </w:r>
      <w:r>
        <w:rPr>
          <w:rFonts w:hint="eastAsia" w:ascii="宋体" w:hAnsi="宋体"/>
          <w:sz w:val="21"/>
          <w:szCs w:val="21"/>
          <w:lang w:val="en-US" w:eastAsia="zh-CN"/>
        </w:rPr>
        <w:t>项目名称</w:t>
      </w:r>
      <w:r>
        <w:rPr>
          <w:rFonts w:hint="eastAsia" w:ascii="宋体" w:hAnsi="宋体"/>
          <w:sz w:val="21"/>
          <w:szCs w:val="21"/>
          <w:lang w:eastAsia="zh-CN"/>
        </w:rPr>
        <w:t>）（</w:t>
      </w:r>
      <w:r>
        <w:rPr>
          <w:rFonts w:hint="eastAsia" w:ascii="宋体" w:hAnsi="宋体"/>
          <w:sz w:val="21"/>
          <w:szCs w:val="21"/>
          <w:lang w:val="en-US" w:eastAsia="zh-CN"/>
        </w:rPr>
        <w:t>子包（）：</w:t>
      </w:r>
      <w:r>
        <w:rPr>
          <w:rFonts w:hint="eastAsia" w:ascii="宋体" w:hAnsi="宋体"/>
          <w:sz w:val="21"/>
          <w:szCs w:val="21"/>
          <w:u w:val="single"/>
          <w:lang w:val="en-US" w:eastAsia="zh-CN"/>
        </w:rPr>
        <w:t xml:space="preserve">        </w:t>
      </w:r>
      <w:r>
        <w:rPr>
          <w:rFonts w:hint="eastAsia" w:ascii="宋体" w:hAnsi="宋体"/>
          <w:sz w:val="21"/>
          <w:szCs w:val="21"/>
          <w:lang w:eastAsia="zh-CN"/>
        </w:rPr>
        <w:t>）</w:t>
      </w:r>
      <w:r>
        <w:rPr>
          <w:rFonts w:hint="eastAsia" w:ascii="宋体" w:hAnsi="宋体" w:cs="宋体"/>
          <w:sz w:val="21"/>
          <w:szCs w:val="21"/>
        </w:rPr>
        <w:t>（项目编号：</w:t>
      </w:r>
      <w:r>
        <w:rPr>
          <w:rFonts w:hint="eastAsia" w:ascii="宋体" w:hAnsi="宋体" w:cs="宋体"/>
          <w:sz w:val="21"/>
          <w:szCs w:val="21"/>
          <w:lang w:val="en-US" w:eastAsia="zh-CN"/>
        </w:rPr>
        <w:t xml:space="preserve">    </w:t>
      </w:r>
      <w:r>
        <w:rPr>
          <w:rFonts w:hint="eastAsia" w:ascii="宋体" w:hAnsi="宋体" w:cs="宋体"/>
          <w:sz w:val="21"/>
          <w:szCs w:val="21"/>
        </w:rPr>
        <w:t>）的</w:t>
      </w:r>
      <w:r>
        <w:rPr>
          <w:rFonts w:hint="eastAsia" w:ascii="宋体" w:hAnsi="宋体" w:cs="宋体"/>
          <w:sz w:val="21"/>
          <w:szCs w:val="21"/>
          <w:lang w:val="en-US" w:eastAsia="zh-CN"/>
        </w:rPr>
        <w:t>投标</w:t>
      </w:r>
      <w:r>
        <w:rPr>
          <w:rFonts w:hint="eastAsia" w:ascii="宋体" w:hAnsi="宋体" w:cs="宋体"/>
          <w:sz w:val="21"/>
          <w:szCs w:val="21"/>
        </w:rPr>
        <w:t>，承诺如下：</w:t>
      </w:r>
    </w:p>
    <w:p>
      <w:pPr>
        <w:shd w:val="clear" w:color="auto" w:fill="FFFFFF" w:themeFill="background1"/>
        <w:spacing w:before="120" w:beforeLines="50"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在</w:t>
      </w:r>
      <w:r>
        <w:rPr>
          <w:rFonts w:hint="eastAsia" w:ascii="宋体" w:hAnsi="宋体" w:cs="宋体"/>
          <w:color w:val="auto"/>
          <w:sz w:val="21"/>
          <w:szCs w:val="21"/>
        </w:rPr>
        <w:t>遇到应急状况、设备故障或缺陷时能迅速响应，及时提供完善的解决方案及所需的备品备件，且能派足够的技术人员同时到达现场协助客户并解决问题</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承诺</w:t>
      </w:r>
      <w:r>
        <w:rPr>
          <w:rFonts w:hint="eastAsia" w:ascii="宋体" w:hAnsi="宋体" w:cs="宋体"/>
          <w:color w:val="auto"/>
          <w:sz w:val="21"/>
          <w:szCs w:val="21"/>
          <w:lang w:eastAsia="zh-CN"/>
        </w:rPr>
        <w:t>售后服务响应及实施时间在</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eastAsia="zh-CN"/>
        </w:rPr>
        <w:t>小时内（</w:t>
      </w:r>
      <w:r>
        <w:rPr>
          <w:rFonts w:hint="eastAsia" w:ascii="宋体" w:hAnsi="宋体" w:cs="宋体"/>
          <w:color w:val="auto"/>
          <w:sz w:val="21"/>
          <w:szCs w:val="21"/>
          <w:lang w:val="en-US" w:eastAsia="zh-CN"/>
        </w:rPr>
        <w:t>含</w:t>
      </w:r>
      <w:r>
        <w:rPr>
          <w:rFonts w:hint="eastAsia" w:ascii="宋体" w:hAnsi="宋体" w:cs="宋体"/>
          <w:color w:val="auto"/>
          <w:sz w:val="21"/>
          <w:szCs w:val="21"/>
          <w:lang w:eastAsia="zh-CN"/>
        </w:rPr>
        <w:t>）。</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p>
      <w:pPr>
        <w:pStyle w:val="9"/>
        <w:spacing w:line="360" w:lineRule="auto"/>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（6）企业资信状况（如需，格式自拟）；</w:t>
      </w:r>
    </w:p>
    <w:p>
      <w:pPr>
        <w:pStyle w:val="9"/>
        <w:spacing w:line="360" w:lineRule="auto"/>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（7）企业综合实力（如需，格式自拟）；</w:t>
      </w:r>
    </w:p>
    <w:p>
      <w:pPr>
        <w:pStyle w:val="9"/>
        <w:spacing w:line="360" w:lineRule="auto"/>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（8）企业履约信用、荣誉（如需，格式自拟）；</w:t>
      </w:r>
    </w:p>
    <w:p>
      <w:pPr>
        <w:pStyle w:val="9"/>
        <w:spacing w:line="360" w:lineRule="auto"/>
        <w:ind w:left="0"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（9）其他商务证明材料（供应商根据商务评分表内容及认为需要补充的说明提供相关材料）。</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sectPr>
          <w:footnotePr>
            <w:pos w:val="beneathText"/>
          </w:footnotePr>
          <w:pgSz w:w="11906" w:h="16838"/>
          <w:pgMar w:top="1418" w:right="1418" w:bottom="1418" w:left="1418" w:header="850" w:footer="992" w:gutter="0"/>
          <w:pgBorders>
            <w:top w:val="none" w:sz="0" w:space="0"/>
            <w:left w:val="none" w:sz="0" w:space="0"/>
            <w:bottom w:val="none" w:sz="0" w:space="0"/>
            <w:right w:val="none" w:sz="0" w:space="0"/>
          </w:pgBorders>
          <w:cols w:space="720" w:num="1"/>
          <w:docGrid w:linePitch="333" w:charSpace="0"/>
        </w:sectPr>
      </w:pPr>
    </w:p>
    <w:p>
      <w:pPr>
        <w:spacing w:line="480" w:lineRule="auto"/>
        <w:rPr>
          <w:rFonts w:hint="eastAsia" w:ascii="宋体" w:hAnsi="宋体" w:cs="宋体"/>
          <w:b/>
          <w:bCs/>
          <w:color w:val="auto"/>
          <w:highlight w:val="none"/>
        </w:rPr>
      </w:pPr>
      <w:r>
        <w:rPr>
          <w:rFonts w:hint="eastAsia" w:ascii="宋体" w:hAnsi="宋体" w:cs="宋体"/>
          <w:b/>
          <w:bCs/>
          <w:color w:val="auto"/>
          <w:highlight w:val="none"/>
        </w:rPr>
        <w:t>（二）主要商务条件响应表</w:t>
      </w: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主要商务条款响应表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961"/>
        <w:gridCol w:w="2756"/>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序号</w:t>
            </w:r>
          </w:p>
        </w:tc>
        <w:tc>
          <w:tcPr>
            <w:tcW w:w="296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商务条款</w:t>
            </w:r>
          </w:p>
        </w:tc>
        <w:tc>
          <w:tcPr>
            <w:tcW w:w="2756"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条款内容</w:t>
            </w:r>
          </w:p>
        </w:tc>
        <w:tc>
          <w:tcPr>
            <w:tcW w:w="1020"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响应</w:t>
            </w:r>
          </w:p>
        </w:tc>
        <w:tc>
          <w:tcPr>
            <w:tcW w:w="1020"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1</w:t>
            </w:r>
          </w:p>
        </w:tc>
        <w:tc>
          <w:tcPr>
            <w:tcW w:w="2961" w:type="dxa"/>
            <w:noWrap w:val="0"/>
            <w:vAlign w:val="center"/>
          </w:tcPr>
          <w:p>
            <w:pPr>
              <w:jc w:val="center"/>
              <w:rPr>
                <w:rFonts w:hint="eastAsia" w:ascii="宋体" w:hAnsi="宋体" w:cs="宋体"/>
                <w:color w:val="auto"/>
                <w:szCs w:val="21"/>
                <w:highlight w:val="none"/>
              </w:rPr>
            </w:pPr>
          </w:p>
        </w:tc>
        <w:tc>
          <w:tcPr>
            <w:tcW w:w="2756" w:type="dxa"/>
            <w:noWrap w:val="0"/>
            <w:vAlign w:val="center"/>
          </w:tcPr>
          <w:p>
            <w:pPr>
              <w:pStyle w:val="27"/>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r>
              <w:rPr>
                <w:rFonts w:hint="eastAsia" w:ascii="宋体" w:hAnsi="宋体" w:cs="宋体"/>
                <w:color w:val="auto"/>
                <w:highlight w:val="none"/>
              </w:rPr>
              <w:t>2</w:t>
            </w:r>
          </w:p>
        </w:tc>
        <w:tc>
          <w:tcPr>
            <w:tcW w:w="2961"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756" w:type="dxa"/>
            <w:noWrap w:val="0"/>
            <w:vAlign w:val="center"/>
          </w:tcPr>
          <w:p>
            <w:pPr>
              <w:pStyle w:val="27"/>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p>
        </w:tc>
        <w:tc>
          <w:tcPr>
            <w:tcW w:w="2961" w:type="dxa"/>
            <w:noWrap w:val="0"/>
            <w:vAlign w:val="center"/>
          </w:tcPr>
          <w:p>
            <w:pPr>
              <w:rPr>
                <w:rFonts w:hint="eastAsia" w:ascii="宋体" w:hAnsi="宋体" w:cs="宋体"/>
                <w:color w:val="auto"/>
                <w:szCs w:val="21"/>
                <w:highlight w:val="none"/>
              </w:rPr>
            </w:pPr>
          </w:p>
        </w:tc>
        <w:tc>
          <w:tcPr>
            <w:tcW w:w="2756" w:type="dxa"/>
            <w:noWrap w:val="0"/>
            <w:vAlign w:val="center"/>
          </w:tcPr>
          <w:p>
            <w:pPr>
              <w:pStyle w:val="27"/>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p>
        </w:tc>
        <w:tc>
          <w:tcPr>
            <w:tcW w:w="2961" w:type="dxa"/>
            <w:noWrap w:val="0"/>
            <w:vAlign w:val="center"/>
          </w:tcPr>
          <w:p>
            <w:pPr>
              <w:rPr>
                <w:rFonts w:hint="eastAsia" w:ascii="宋体" w:hAnsi="宋体" w:cs="宋体"/>
                <w:color w:val="auto"/>
                <w:szCs w:val="21"/>
                <w:highlight w:val="none"/>
              </w:rPr>
            </w:pPr>
          </w:p>
        </w:tc>
        <w:tc>
          <w:tcPr>
            <w:tcW w:w="2756" w:type="dxa"/>
            <w:noWrap w:val="0"/>
            <w:vAlign w:val="center"/>
          </w:tcPr>
          <w:p>
            <w:pPr>
              <w:pStyle w:val="27"/>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1" w:type="dxa"/>
            <w:noWrap w:val="0"/>
            <w:vAlign w:val="center"/>
          </w:tcPr>
          <w:p>
            <w:pPr>
              <w:spacing w:line="200" w:lineRule="atLeast"/>
              <w:jc w:val="center"/>
              <w:rPr>
                <w:rFonts w:hint="eastAsia" w:ascii="宋体" w:hAnsi="宋体" w:cs="宋体"/>
                <w:color w:val="auto"/>
                <w:highlight w:val="none"/>
              </w:rPr>
            </w:pPr>
          </w:p>
        </w:tc>
        <w:tc>
          <w:tcPr>
            <w:tcW w:w="2961" w:type="dxa"/>
            <w:noWrap w:val="0"/>
            <w:vAlign w:val="center"/>
          </w:tcPr>
          <w:p>
            <w:pPr>
              <w:rPr>
                <w:rFonts w:hint="eastAsia" w:ascii="宋体" w:hAnsi="宋体" w:cs="宋体"/>
                <w:color w:val="auto"/>
                <w:szCs w:val="21"/>
                <w:highlight w:val="none"/>
              </w:rPr>
            </w:pPr>
          </w:p>
        </w:tc>
        <w:tc>
          <w:tcPr>
            <w:tcW w:w="2756" w:type="dxa"/>
            <w:noWrap w:val="0"/>
            <w:vAlign w:val="center"/>
          </w:tcPr>
          <w:p>
            <w:pPr>
              <w:pStyle w:val="27"/>
              <w:rPr>
                <w:rFonts w:hint="eastAsia"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c>
          <w:tcPr>
            <w:tcW w:w="1020" w:type="dxa"/>
            <w:noWrap w:val="0"/>
            <w:vAlign w:val="center"/>
          </w:tcPr>
          <w:p>
            <w:pPr>
              <w:spacing w:line="200" w:lineRule="atLeast"/>
              <w:jc w:val="center"/>
              <w:rPr>
                <w:rFonts w:hint="eastAsia" w:ascii="宋体" w:hAnsi="宋体" w:cs="宋体"/>
                <w:color w:val="auto"/>
                <w:highlight w:val="none"/>
              </w:rPr>
            </w:pPr>
          </w:p>
        </w:tc>
      </w:tr>
    </w:tbl>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说明：</w:t>
      </w:r>
    </w:p>
    <w:p>
      <w:pPr>
        <w:spacing w:line="300" w:lineRule="auto"/>
        <w:rPr>
          <w:rFonts w:hint="eastAsia" w:ascii="宋体" w:hAnsi="宋体" w:cs="宋体"/>
          <w:bCs/>
          <w:color w:val="auto"/>
          <w:szCs w:val="21"/>
          <w:highlight w:val="none"/>
        </w:rPr>
      </w:pPr>
      <w:r>
        <w:rPr>
          <w:rFonts w:hint="eastAsia" w:ascii="宋体" w:hAnsi="宋体" w:cs="宋体"/>
          <w:bCs/>
          <w:color w:val="auto"/>
          <w:szCs w:val="21"/>
          <w:highlight w:val="none"/>
        </w:rPr>
        <w:t>如</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对招标文件</w:t>
      </w:r>
      <w:r>
        <w:rPr>
          <w:rFonts w:hint="eastAsia" w:ascii="宋体" w:hAnsi="宋体" w:cs="宋体"/>
          <w:color w:val="auto"/>
          <w:highlight w:val="none"/>
        </w:rPr>
        <w:t>合同</w:t>
      </w:r>
      <w:r>
        <w:rPr>
          <w:rFonts w:hint="eastAsia" w:ascii="宋体" w:hAnsi="宋体" w:cs="宋体"/>
          <w:bCs/>
          <w:color w:val="auto"/>
          <w:szCs w:val="21"/>
          <w:highlight w:val="none"/>
        </w:rPr>
        <w:t>条款有偏离的必须填写上表，否则视为完全响应招标文件要求。</w:t>
      </w:r>
    </w:p>
    <w:p>
      <w:pPr>
        <w:spacing w:line="480" w:lineRule="auto"/>
        <w:rPr>
          <w:rFonts w:hint="eastAsia" w:ascii="宋体" w:hAnsi="宋体" w:cs="宋体"/>
          <w:color w:val="auto"/>
          <w:szCs w:val="22"/>
          <w:highlight w:val="none"/>
        </w:rPr>
      </w:pP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p>
      <w:pPr>
        <w:rPr>
          <w:rFonts w:hint="eastAsia" w:ascii="宋体" w:hAnsi="宋体" w:cs="宋体"/>
          <w:color w:val="auto"/>
          <w:highlight w:val="none"/>
        </w:rPr>
      </w:pPr>
      <w:r>
        <w:rPr>
          <w:rFonts w:hint="eastAsia" w:ascii="宋体" w:hAnsi="宋体" w:cs="宋体"/>
          <w:color w:val="auto"/>
          <w:highlight w:val="none"/>
        </w:rPr>
        <w:br w:type="page"/>
      </w:r>
      <w:bookmarkStart w:id="205" w:name="_Toc476177436"/>
      <w:bookmarkStart w:id="206" w:name="_Toc455417787"/>
      <w:bookmarkStart w:id="207" w:name="_Toc476177995"/>
      <w:bookmarkStart w:id="208" w:name="_Toc118018369"/>
      <w:r>
        <w:rPr>
          <w:rFonts w:hint="eastAsia" w:ascii="宋体" w:hAnsi="宋体" w:cs="宋体"/>
          <w:b/>
          <w:bCs/>
          <w:color w:val="auto"/>
          <w:sz w:val="28"/>
          <w:szCs w:val="21"/>
          <w:highlight w:val="none"/>
          <w:lang w:val="en-US" w:eastAsia="zh-CN"/>
        </w:rPr>
        <w:t>五</w:t>
      </w:r>
      <w:r>
        <w:rPr>
          <w:rFonts w:hint="eastAsia" w:ascii="宋体" w:hAnsi="宋体" w:cs="宋体"/>
          <w:b/>
          <w:bCs/>
          <w:color w:val="auto"/>
          <w:sz w:val="28"/>
          <w:szCs w:val="21"/>
          <w:highlight w:val="none"/>
        </w:rPr>
        <w:t>、技术响应文件格式</w:t>
      </w:r>
      <w:bookmarkEnd w:id="205"/>
      <w:bookmarkEnd w:id="206"/>
      <w:bookmarkEnd w:id="207"/>
      <w:bookmarkEnd w:id="208"/>
    </w:p>
    <w:p>
      <w:pPr>
        <w:spacing w:before="240" w:line="360" w:lineRule="auto"/>
        <w:ind w:left="902" w:hanging="902"/>
        <w:rPr>
          <w:rFonts w:hint="eastAsia" w:ascii="宋体" w:hAnsi="宋体" w:cs="宋体"/>
          <w:color w:val="auto"/>
          <w:highlight w:val="none"/>
        </w:rPr>
      </w:pPr>
      <w:r>
        <w:rPr>
          <w:rFonts w:hint="eastAsia" w:ascii="宋体" w:hAnsi="宋体" w:cs="宋体"/>
          <w:b/>
          <w:color w:val="auto"/>
          <w:highlight w:val="none"/>
        </w:rPr>
        <w:t xml:space="preserve">[说明]  </w:t>
      </w:r>
      <w:r>
        <w:rPr>
          <w:rFonts w:hint="eastAsia" w:ascii="宋体" w:hAnsi="宋体" w:cs="宋体"/>
          <w:color w:val="auto"/>
          <w:highlight w:val="none"/>
          <w:lang w:eastAsia="zh-CN"/>
        </w:rPr>
        <w:t>供应商</w:t>
      </w:r>
      <w:r>
        <w:rPr>
          <w:rFonts w:hint="eastAsia" w:ascii="宋体" w:hAnsi="宋体" w:cs="宋体"/>
          <w:color w:val="auto"/>
          <w:highlight w:val="none"/>
        </w:rPr>
        <w:t>应按照招标文件的要求，根据《用户需求书》要求内容做出全面响应。其内容应包括但不限于本格式内各项要求。对必须响应的内容，必须完全响应，不允许有任何差异，对响应有差异的内容，提出说明和优化建议。</w:t>
      </w:r>
    </w:p>
    <w:p>
      <w:pPr>
        <w:shd w:val="clear"/>
        <w:spacing w:line="360" w:lineRule="auto"/>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.1   用户需求书中要求</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自行填写的表格内容</w:t>
      </w:r>
    </w:p>
    <w:p>
      <w:pPr>
        <w:shd w:val="clear"/>
        <w:spacing w:line="360" w:lineRule="auto"/>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.2   技术标评分细则需要提供的资料</w:t>
      </w:r>
    </w:p>
    <w:p>
      <w:pPr>
        <w:shd w:val="clear"/>
        <w:spacing w:line="360" w:lineRule="auto"/>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子包1：实施方案，实施进度计划和风控保障，服务质量保证措施，项目安全防护及应急方案，质保期服务方案等</w:t>
      </w:r>
    </w:p>
    <w:p>
      <w:pPr>
        <w:shd w:val="clear"/>
        <w:spacing w:line="360" w:lineRule="auto"/>
        <w:rPr>
          <w:rFonts w:hint="default"/>
          <w:lang w:val="en-US" w:eastAsia="zh-CN"/>
        </w:rPr>
      </w:pPr>
      <w:r>
        <w:rPr>
          <w:rFonts w:hint="eastAsia" w:ascii="宋体" w:hAnsi="宋体" w:cs="宋体"/>
          <w:color w:val="auto"/>
          <w:szCs w:val="22"/>
          <w:highlight w:val="none"/>
          <w:lang w:val="en-US" w:eastAsia="zh-CN"/>
        </w:rPr>
        <w:t>子包2：设备技术说明和系统集成方案、设备清单响应、多媒体深化图纸设计、实施进度计划和风控保障、质保</w:t>
      </w:r>
      <w:r>
        <w:rPr>
          <w:rFonts w:hint="eastAsia" w:ascii="宋体" w:hAnsi="宋体" w:cs="宋体"/>
          <w:color w:val="auto"/>
          <w:szCs w:val="21"/>
          <w:highlight w:val="none"/>
          <w:lang w:val="en-US" w:eastAsia="zh-CN"/>
        </w:rPr>
        <w:t>期服务方案等</w:t>
      </w:r>
    </w:p>
    <w:p>
      <w:pPr>
        <w:shd w:val="clear"/>
        <w:spacing w:line="360" w:lineRule="auto"/>
        <w:rPr>
          <w:rFonts w:hint="eastAsia" w:ascii="宋体" w:hAnsi="宋体" w:cs="宋体"/>
          <w:color w:val="auto"/>
          <w:highlight w:val="none"/>
        </w:rPr>
      </w:pPr>
      <w:r>
        <w:rPr>
          <w:rFonts w:hint="eastAsia" w:ascii="宋体" w:hAnsi="宋体" w:cs="宋体"/>
          <w:color w:val="auto"/>
          <w:highlight w:val="none"/>
        </w:rPr>
        <w:t>格式</w:t>
      </w:r>
      <w:r>
        <w:rPr>
          <w:rFonts w:hint="eastAsia" w:ascii="宋体" w:hAnsi="宋体" w:cs="宋体"/>
          <w:color w:val="auto"/>
          <w:szCs w:val="22"/>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 xml:space="preserve">   招标人配合内容（如有）</w:t>
      </w:r>
    </w:p>
    <w:p>
      <w:pPr>
        <w:shd w:val="clear"/>
        <w:spacing w:line="360" w:lineRule="auto"/>
        <w:rPr>
          <w:rFonts w:hint="eastAsia" w:ascii="宋体" w:hAnsi="宋体" w:cs="宋体"/>
          <w:color w:val="auto"/>
          <w:highlight w:val="none"/>
        </w:rPr>
      </w:pPr>
      <w:r>
        <w:rPr>
          <w:rFonts w:hint="eastAsia" w:ascii="宋体" w:hAnsi="宋体" w:cs="宋体"/>
          <w:color w:val="auto"/>
          <w:highlight w:val="none"/>
        </w:rPr>
        <w:t>格式</w:t>
      </w:r>
      <w:r>
        <w:rPr>
          <w:rFonts w:hint="eastAsia" w:ascii="宋体" w:hAnsi="宋体" w:cs="宋体"/>
          <w:color w:val="auto"/>
          <w:szCs w:val="22"/>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 xml:space="preserve">   </w:t>
      </w:r>
      <w:r>
        <w:rPr>
          <w:rFonts w:hint="eastAsia" w:ascii="宋体" w:hAnsi="宋体" w:cs="宋体"/>
          <w:color w:val="auto"/>
          <w:highlight w:val="none"/>
          <w:lang w:eastAsia="zh-CN"/>
        </w:rPr>
        <w:t>供应商</w:t>
      </w:r>
      <w:r>
        <w:rPr>
          <w:rFonts w:hint="eastAsia" w:ascii="宋体" w:hAnsi="宋体" w:cs="宋体"/>
          <w:color w:val="auto"/>
          <w:highlight w:val="none"/>
        </w:rPr>
        <w:t>认为有必要提供的其他文件（如有）</w:t>
      </w:r>
    </w:p>
    <w:p>
      <w:pPr>
        <w:spacing w:line="360" w:lineRule="auto"/>
        <w:rPr>
          <w:rFonts w:hint="eastAsia" w:ascii="宋体" w:hAnsi="宋体" w:cs="宋体"/>
          <w:color w:val="auto"/>
          <w:sz w:val="30"/>
          <w:szCs w:val="30"/>
          <w:highlight w:val="none"/>
        </w:rPr>
      </w:pPr>
      <w:bookmarkStart w:id="209" w:name="_Hlt42956379"/>
      <w:bookmarkEnd w:id="209"/>
      <w:r>
        <w:rPr>
          <w:rFonts w:hint="eastAsia" w:ascii="宋体" w:hAnsi="宋体" w:cs="宋体"/>
          <w:b/>
          <w:color w:val="auto"/>
          <w:sz w:val="24"/>
          <w:highlight w:val="none"/>
        </w:rPr>
        <w:br w:type="page"/>
      </w: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.1</w:t>
      </w:r>
      <w:bookmarkStart w:id="210" w:name="_Toc208723428"/>
      <w:bookmarkStart w:id="211" w:name="_Toc42956284"/>
      <w:bookmarkStart w:id="212" w:name="_Toc118018370"/>
      <w:bookmarkStart w:id="213" w:name="_Toc4471859"/>
      <w:bookmarkStart w:id="214" w:name="_Toc118015391"/>
      <w:r>
        <w:rPr>
          <w:rFonts w:hint="eastAsia" w:ascii="宋体" w:hAnsi="宋体" w:cs="宋体"/>
          <w:b/>
          <w:color w:val="auto"/>
          <w:sz w:val="24"/>
          <w:highlight w:val="none"/>
        </w:rPr>
        <w:t xml:space="preserve">.1  </w:t>
      </w:r>
      <w:bookmarkEnd w:id="210"/>
      <w:bookmarkEnd w:id="211"/>
      <w:bookmarkEnd w:id="212"/>
      <w:bookmarkEnd w:id="213"/>
      <w:bookmarkEnd w:id="214"/>
      <w:bookmarkStart w:id="215" w:name="_Hlt10564367"/>
      <w:bookmarkEnd w:id="215"/>
      <w:r>
        <w:rPr>
          <w:rFonts w:hint="eastAsia" w:ascii="宋体" w:hAnsi="宋体" w:cs="宋体"/>
          <w:b/>
          <w:color w:val="auto"/>
          <w:sz w:val="24"/>
          <w:highlight w:val="none"/>
        </w:rPr>
        <w:t xml:space="preserve"> </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技术响应表</w:t>
      </w:r>
    </w:p>
    <w:p>
      <w:pPr>
        <w:rPr>
          <w:rFonts w:hint="eastAsia" w:ascii="宋体" w:hAnsi="宋体" w:cs="宋体"/>
          <w:color w:val="auto"/>
          <w:highlight w:val="none"/>
        </w:rPr>
      </w:pPr>
    </w:p>
    <w:tbl>
      <w:tblPr>
        <w:tblStyle w:val="31"/>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60"/>
        <w:gridCol w:w="3045"/>
        <w:gridCol w:w="1453"/>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用户需求书相应序号</w:t>
            </w:r>
          </w:p>
        </w:tc>
        <w:tc>
          <w:tcPr>
            <w:tcW w:w="3045"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用户需求书相关内容</w:t>
            </w:r>
          </w:p>
        </w:tc>
        <w:tc>
          <w:tcPr>
            <w:tcW w:w="1453"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响应内容描述</w:t>
            </w:r>
          </w:p>
        </w:tc>
        <w:tc>
          <w:tcPr>
            <w:tcW w:w="2777"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260" w:type="dxa"/>
            <w:noWrap w:val="0"/>
            <w:vAlign w:val="center"/>
          </w:tcPr>
          <w:p>
            <w:pPr>
              <w:autoSpaceDE w:val="0"/>
              <w:autoSpaceDN w:val="0"/>
              <w:adjustRightInd w:val="0"/>
              <w:jc w:val="center"/>
              <w:rPr>
                <w:rFonts w:hint="eastAsia" w:ascii="宋体" w:hAnsi="宋体" w:cs="宋体"/>
                <w:color w:val="auto"/>
                <w:highlight w:val="none"/>
              </w:rPr>
            </w:pPr>
          </w:p>
        </w:tc>
        <w:tc>
          <w:tcPr>
            <w:tcW w:w="3045" w:type="dxa"/>
            <w:noWrap w:val="0"/>
            <w:vAlign w:val="center"/>
          </w:tcPr>
          <w:p>
            <w:pPr>
              <w:autoSpaceDE w:val="0"/>
              <w:autoSpaceDN w:val="0"/>
              <w:adjustRightInd w:val="0"/>
              <w:jc w:val="center"/>
              <w:rPr>
                <w:rFonts w:hint="eastAsia" w:ascii="宋体" w:hAnsi="宋体" w:cs="宋体"/>
                <w:color w:val="auto"/>
                <w:highlight w:val="none"/>
              </w:rPr>
            </w:pPr>
          </w:p>
        </w:tc>
        <w:tc>
          <w:tcPr>
            <w:tcW w:w="1453" w:type="dxa"/>
            <w:noWrap w:val="0"/>
            <w:vAlign w:val="center"/>
          </w:tcPr>
          <w:p>
            <w:pPr>
              <w:autoSpaceDE w:val="0"/>
              <w:autoSpaceDN w:val="0"/>
              <w:adjustRightInd w:val="0"/>
              <w:jc w:val="center"/>
              <w:rPr>
                <w:rFonts w:hint="eastAsia" w:ascii="宋体" w:hAnsi="宋体" w:cs="宋体"/>
                <w:color w:val="auto"/>
                <w:highlight w:val="none"/>
              </w:rPr>
            </w:pPr>
          </w:p>
        </w:tc>
        <w:tc>
          <w:tcPr>
            <w:tcW w:w="2777" w:type="dxa"/>
            <w:noWrap w:val="0"/>
            <w:vAlign w:val="center"/>
          </w:tcPr>
          <w:p>
            <w:pPr>
              <w:autoSpaceDE w:val="0"/>
              <w:autoSpaceDN w:val="0"/>
              <w:adjustRightInd w:val="0"/>
              <w:jc w:val="center"/>
              <w:rPr>
                <w:rFonts w:hint="eastAsia" w:ascii="宋体" w:hAnsi="宋体" w:cs="宋体"/>
                <w:color w:val="auto"/>
                <w:w w:val="80"/>
                <w:highlight w:val="none"/>
              </w:rPr>
            </w:pPr>
          </w:p>
        </w:tc>
      </w:tr>
    </w:tbl>
    <w:p>
      <w:pPr>
        <w:spacing w:line="360" w:lineRule="auto"/>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b/>
          <w:color w:val="auto"/>
          <w:highlight w:val="none"/>
        </w:rPr>
        <w:t>[说明]</w:t>
      </w:r>
      <w:r>
        <w:rPr>
          <w:rFonts w:hint="eastAsia" w:ascii="宋体" w:hAnsi="宋体" w:cs="宋体"/>
          <w:color w:val="auto"/>
          <w:highlight w:val="none"/>
        </w:rPr>
        <w:t xml:space="preserve"> </w:t>
      </w:r>
      <w:r>
        <w:rPr>
          <w:rFonts w:hint="eastAsia" w:ascii="宋体" w:hAnsi="宋体" w:cs="宋体"/>
          <w:color w:val="auto"/>
          <w:highlight w:val="none"/>
          <w:lang w:eastAsia="zh-CN"/>
        </w:rPr>
        <w:t>供应商</w:t>
      </w:r>
      <w:r>
        <w:rPr>
          <w:rFonts w:hint="eastAsia" w:ascii="宋体" w:hAnsi="宋体" w:cs="宋体"/>
          <w:color w:val="auto"/>
          <w:highlight w:val="none"/>
        </w:rPr>
        <w:t>应按照招标文件要求和“用户需求书”作出响应，如有差异的在“差异描述”栏中详细描述差异情况。</w:t>
      </w:r>
    </w:p>
    <w:p>
      <w:pPr>
        <w:rPr>
          <w:rFonts w:hint="eastAsia" w:ascii="宋体" w:hAnsi="宋体" w:cs="宋体"/>
          <w:color w:val="auto"/>
          <w:highlight w:val="none"/>
        </w:rPr>
      </w:pPr>
      <w:r>
        <w:rPr>
          <w:rFonts w:hint="eastAsia" w:ascii="宋体" w:hAnsi="宋体" w:cs="宋体"/>
          <w:color w:val="auto"/>
          <w:highlight w:val="none"/>
        </w:rPr>
        <w:t>若以上表格如为空白，则表示无偏离，即完全满足招标文件的用户需求书条款。</w:t>
      </w:r>
    </w:p>
    <w:p>
      <w:pPr>
        <w:rPr>
          <w:rFonts w:hint="eastAsia" w:ascii="宋体" w:hAnsi="宋体" w:cs="宋体"/>
          <w:color w:val="auto"/>
          <w:highlight w:val="none"/>
        </w:rPr>
      </w:pPr>
    </w:p>
    <w:p>
      <w:pPr>
        <w:tabs>
          <w:tab w:val="left" w:pos="676"/>
          <w:tab w:val="left" w:pos="2330"/>
          <w:tab w:val="left" w:pos="9230"/>
        </w:tabs>
        <w:autoSpaceDE w:val="0"/>
        <w:autoSpaceDN w:val="0"/>
        <w:adjustRightInd w:val="0"/>
        <w:spacing w:line="360" w:lineRule="auto"/>
        <w:ind w:left="4700" w:leftChars="2238"/>
        <w:rPr>
          <w:rFonts w:hint="eastAsia" w:ascii="宋体" w:hAnsi="宋体" w:cs="宋体"/>
          <w:color w:val="auto"/>
          <w:highlight w:val="none"/>
        </w:rPr>
      </w:pPr>
    </w:p>
    <w:p>
      <w:pPr>
        <w:tabs>
          <w:tab w:val="left" w:pos="676"/>
          <w:tab w:val="left" w:pos="2330"/>
          <w:tab w:val="left" w:pos="9230"/>
        </w:tabs>
        <w:autoSpaceDE w:val="0"/>
        <w:autoSpaceDN w:val="0"/>
        <w:adjustRightInd w:val="0"/>
        <w:spacing w:line="360" w:lineRule="auto"/>
        <w:ind w:left="4700" w:leftChars="2238"/>
        <w:rPr>
          <w:rFonts w:hint="eastAsia" w:ascii="宋体" w:hAnsi="宋体" w:cs="宋体"/>
          <w:color w:val="auto"/>
          <w:highlight w:val="none"/>
        </w:rPr>
      </w:pP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名称:（盖章）</w:t>
      </w: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rPr>
        <w:t>日期：    年   月   日</w:t>
      </w:r>
    </w:p>
    <w:p>
      <w:pPr>
        <w:tabs>
          <w:tab w:val="left" w:pos="676"/>
          <w:tab w:val="left" w:pos="2330"/>
          <w:tab w:val="left" w:pos="9230"/>
        </w:tabs>
        <w:autoSpaceDE w:val="0"/>
        <w:autoSpaceDN w:val="0"/>
        <w:adjustRightInd w:val="0"/>
        <w:jc w:val="center"/>
        <w:rPr>
          <w:rFonts w:hint="eastAsia" w:ascii="宋体" w:hAnsi="宋体" w:cs="宋体"/>
          <w:color w:val="auto"/>
          <w:highlight w:val="none"/>
        </w:rPr>
      </w:pPr>
    </w:p>
    <w:p>
      <w:pPr>
        <w:tabs>
          <w:tab w:val="left" w:pos="7200"/>
        </w:tabs>
        <w:autoSpaceDE w:val="0"/>
        <w:autoSpaceDN w:val="0"/>
        <w:adjustRightInd w:val="0"/>
        <w:spacing w:line="300" w:lineRule="auto"/>
        <w:jc w:val="left"/>
        <w:rPr>
          <w:rFonts w:hint="eastAsia"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.1.2</w:t>
      </w:r>
    </w:p>
    <w:p>
      <w:pPr>
        <w:spacing w:line="360" w:lineRule="auto"/>
        <w:jc w:val="center"/>
        <w:rPr>
          <w:rFonts w:hint="eastAsia" w:ascii="宋体" w:hAnsi="宋体" w:cs="宋体"/>
          <w:b/>
          <w:color w:val="auto"/>
          <w:sz w:val="32"/>
          <w:szCs w:val="36"/>
          <w:highlight w:val="none"/>
        </w:rPr>
      </w:pPr>
      <w:r>
        <w:rPr>
          <w:rFonts w:hint="eastAsia" w:ascii="宋体" w:hAnsi="宋体" w:cs="宋体"/>
          <w:b/>
          <w:color w:val="auto"/>
          <w:sz w:val="28"/>
          <w:szCs w:val="28"/>
          <w:highlight w:val="none"/>
        </w:rPr>
        <w:t>关键条款响应表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94"/>
        <w:gridCol w:w="2616"/>
        <w:gridCol w:w="1216"/>
        <w:gridCol w:w="121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用户需求书相应序号</w:t>
            </w:r>
          </w:p>
        </w:tc>
        <w:tc>
          <w:tcPr>
            <w:tcW w:w="2616"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关键条款（★条款）相关内容</w:t>
            </w:r>
          </w:p>
        </w:tc>
        <w:tc>
          <w:tcPr>
            <w:tcW w:w="1216"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kern w:val="1"/>
                <w:highlight w:val="none"/>
              </w:rPr>
              <w:t>偏离情况</w:t>
            </w:r>
          </w:p>
        </w:tc>
        <w:tc>
          <w:tcPr>
            <w:tcW w:w="1216"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响应内容描述</w:t>
            </w:r>
          </w:p>
        </w:tc>
        <w:tc>
          <w:tcPr>
            <w:tcW w:w="2318" w:type="dxa"/>
            <w:noWrap w:val="0"/>
            <w:vAlign w:val="center"/>
          </w:tcPr>
          <w:p>
            <w:pPr>
              <w:autoSpaceDE w:val="0"/>
              <w:autoSpaceDN w:val="0"/>
              <w:adjustRightInd w:val="0"/>
              <w:jc w:val="center"/>
              <w:rPr>
                <w:rFonts w:hint="eastAsia" w:ascii="宋体" w:hAnsi="宋体" w:cs="宋体"/>
                <w:color w:val="auto"/>
                <w:highlight w:val="none"/>
              </w:rPr>
            </w:pPr>
            <w:r>
              <w:rPr>
                <w:rFonts w:hint="eastAsia" w:ascii="宋体" w:hAnsi="宋体" w:cs="宋体"/>
                <w:color w:val="auto"/>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2" w:hRule="atLeast"/>
        </w:trPr>
        <w:tc>
          <w:tcPr>
            <w:tcW w:w="1194" w:type="dxa"/>
            <w:noWrap w:val="0"/>
            <w:vAlign w:val="center"/>
          </w:tcPr>
          <w:p>
            <w:pPr>
              <w:autoSpaceDE w:val="0"/>
              <w:autoSpaceDN w:val="0"/>
              <w:adjustRightInd w:val="0"/>
              <w:jc w:val="center"/>
              <w:rPr>
                <w:rFonts w:hint="eastAsia" w:ascii="宋体" w:hAnsi="宋体" w:cs="宋体"/>
                <w:color w:val="auto"/>
                <w:highlight w:val="none"/>
              </w:rPr>
            </w:pPr>
          </w:p>
        </w:tc>
        <w:tc>
          <w:tcPr>
            <w:tcW w:w="26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sz w:val="22"/>
                <w:szCs w:val="22"/>
                <w:highlight w:val="none"/>
                <w:lang w:bidi="ar"/>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1216" w:type="dxa"/>
            <w:noWrap w:val="0"/>
            <w:vAlign w:val="center"/>
          </w:tcPr>
          <w:p>
            <w:pPr>
              <w:autoSpaceDE w:val="0"/>
              <w:autoSpaceDN w:val="0"/>
              <w:adjustRightInd w:val="0"/>
              <w:jc w:val="center"/>
              <w:rPr>
                <w:rFonts w:hint="eastAsia" w:ascii="宋体" w:hAnsi="宋体" w:cs="宋体"/>
                <w:color w:val="auto"/>
                <w:highlight w:val="none"/>
              </w:rPr>
            </w:pPr>
          </w:p>
        </w:tc>
        <w:tc>
          <w:tcPr>
            <w:tcW w:w="2318" w:type="dxa"/>
            <w:noWrap w:val="0"/>
            <w:vAlign w:val="center"/>
          </w:tcPr>
          <w:p>
            <w:pPr>
              <w:autoSpaceDE w:val="0"/>
              <w:autoSpaceDN w:val="0"/>
              <w:adjustRightInd w:val="0"/>
              <w:jc w:val="center"/>
              <w:rPr>
                <w:rFonts w:hint="eastAsia" w:ascii="宋体" w:hAnsi="宋体" w:cs="宋体"/>
                <w:color w:val="auto"/>
                <w:w w:val="80"/>
                <w:highlight w:val="none"/>
              </w:rPr>
            </w:pPr>
          </w:p>
        </w:tc>
      </w:tr>
    </w:tbl>
    <w:p>
      <w:pPr>
        <w:spacing w:line="360" w:lineRule="auto"/>
        <w:rPr>
          <w:rFonts w:hint="eastAsia" w:ascii="宋体" w:hAnsi="宋体" w:cs="宋体"/>
          <w:color w:val="auto"/>
          <w:sz w:val="24"/>
          <w:highlight w:val="none"/>
        </w:rPr>
      </w:pPr>
    </w:p>
    <w:p>
      <w:pPr>
        <w:autoSpaceDE w:val="0"/>
        <w:autoSpaceDN w:val="0"/>
        <w:adjustRightInd w:val="0"/>
        <w:jc w:val="left"/>
        <w:rPr>
          <w:rFonts w:hint="eastAsia" w:ascii="宋体" w:hAnsi="宋体" w:cs="宋体"/>
          <w:color w:val="auto"/>
          <w:highlight w:val="none"/>
        </w:rPr>
      </w:pPr>
      <w:r>
        <w:rPr>
          <w:rFonts w:hint="eastAsia" w:ascii="宋体" w:hAnsi="宋体" w:cs="宋体"/>
          <w:b/>
          <w:color w:val="auto"/>
          <w:highlight w:val="none"/>
        </w:rPr>
        <w:t>[说明]</w:t>
      </w:r>
      <w:r>
        <w:rPr>
          <w:rFonts w:hint="eastAsia" w:ascii="宋体" w:hAnsi="宋体" w:cs="宋体"/>
          <w:color w:val="auto"/>
          <w:highlight w:val="none"/>
        </w:rPr>
        <w:t xml:space="preserve"> </w:t>
      </w:r>
      <w:r>
        <w:rPr>
          <w:rFonts w:hint="eastAsia" w:ascii="宋体" w:hAnsi="宋体" w:cs="宋体"/>
          <w:color w:val="auto"/>
          <w:highlight w:val="none"/>
          <w:lang w:eastAsia="zh-CN"/>
        </w:rPr>
        <w:t>供应商</w:t>
      </w:r>
      <w:r>
        <w:rPr>
          <w:rFonts w:hint="eastAsia" w:ascii="宋体" w:hAnsi="宋体" w:cs="宋体"/>
          <w:color w:val="auto"/>
          <w:highlight w:val="none"/>
        </w:rPr>
        <w:t>需按各</w:t>
      </w:r>
      <w:r>
        <w:rPr>
          <w:rFonts w:hint="eastAsia" w:ascii="宋体" w:hAnsi="宋体" w:cs="宋体"/>
          <w:color w:val="auto"/>
          <w:highlight w:val="none"/>
          <w:lang w:val="en-US" w:eastAsia="zh-CN"/>
        </w:rPr>
        <w:t>用户需求书</w:t>
      </w:r>
      <w:r>
        <w:rPr>
          <w:rFonts w:hint="eastAsia" w:ascii="宋体" w:hAnsi="宋体" w:cs="宋体"/>
          <w:color w:val="auto"/>
          <w:highlight w:val="none"/>
        </w:rPr>
        <w:t>中★技术条款逐一对应响应表填写（如有）</w:t>
      </w:r>
    </w:p>
    <w:p>
      <w:pPr>
        <w:autoSpaceDE w:val="0"/>
        <w:autoSpaceDN w:val="0"/>
        <w:adjustRightInd w:val="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必须逐项对★技术条款的偏离情况如实填写</w:t>
      </w:r>
      <w:r>
        <w:rPr>
          <w:rFonts w:hint="eastAsia" w:ascii="宋体" w:hAnsi="宋体" w:cs="宋体"/>
          <w:color w:val="auto"/>
          <w:kern w:val="1"/>
          <w:highlight w:val="none"/>
        </w:rPr>
        <w:t>，并在本表的“偏离情况”栏中注明“正偏离”或“负偏离”或“无偏离”。</w:t>
      </w:r>
      <w:r>
        <w:rPr>
          <w:rFonts w:hint="eastAsia" w:ascii="宋体" w:hAnsi="宋体" w:cs="宋体"/>
          <w:color w:val="auto"/>
          <w:highlight w:val="none"/>
        </w:rPr>
        <w:t>如有差异的在“差异描述”栏中详细描述差异情况。</w:t>
      </w:r>
    </w:p>
    <w:p>
      <w:pPr>
        <w:autoSpaceDE w:val="0"/>
        <w:autoSpaceDN w:val="0"/>
        <w:adjustRightInd w:val="0"/>
        <w:jc w:val="left"/>
        <w:rPr>
          <w:rFonts w:hint="eastAsia" w:ascii="宋体" w:hAnsi="宋体" w:cs="宋体"/>
          <w:color w:val="auto"/>
          <w:highlight w:val="none"/>
        </w:rPr>
      </w:pPr>
    </w:p>
    <w:p>
      <w:pPr>
        <w:autoSpaceDE w:val="0"/>
        <w:autoSpaceDN w:val="0"/>
        <w:adjustRightInd w:val="0"/>
        <w:jc w:val="left"/>
        <w:rPr>
          <w:rFonts w:hint="eastAsia" w:ascii="宋体" w:hAnsi="宋体"/>
        </w:rPr>
      </w:pPr>
      <w:r>
        <w:rPr>
          <w:rFonts w:hint="eastAsia" w:ascii="宋体" w:hAnsi="宋体"/>
        </w:rPr>
        <w:t>当招标文件中未设置“★”项条款时，应在此表中直接填写：本项目未设置“★”条款。</w:t>
      </w:r>
    </w:p>
    <w:p>
      <w:pPr>
        <w:spacing w:line="360" w:lineRule="auto"/>
        <w:jc w:val="left"/>
        <w:rPr>
          <w:rFonts w:hint="eastAsia" w:ascii="宋体" w:hAnsi="宋体" w:cs="宋体"/>
          <w:color w:val="auto"/>
          <w:sz w:val="24"/>
          <w:highlight w:val="none"/>
        </w:rPr>
      </w:pP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名称:（盖章）</w:t>
      </w:r>
    </w:p>
    <w:p>
      <w:pPr>
        <w:spacing w:line="480" w:lineRule="auto"/>
        <w:ind w:firstLine="3990" w:firstLineChars="1900"/>
        <w:rPr>
          <w:rFonts w:hint="eastAsia" w:ascii="宋体" w:hAnsi="宋体" w:cs="宋体"/>
          <w:color w:val="auto"/>
          <w:szCs w:val="22"/>
          <w:highlight w:val="none"/>
        </w:rPr>
      </w:pPr>
      <w:r>
        <w:rPr>
          <w:rFonts w:hint="eastAsia" w:ascii="宋体" w:hAnsi="宋体" w:cs="宋体"/>
          <w:color w:val="auto"/>
          <w:szCs w:val="22"/>
          <w:highlight w:val="none"/>
        </w:rPr>
        <w:t>日期：    年   月   日</w:t>
      </w:r>
    </w:p>
    <w:p>
      <w:pPr>
        <w:tabs>
          <w:tab w:val="left" w:pos="676"/>
          <w:tab w:val="left" w:pos="2330"/>
          <w:tab w:val="left" w:pos="9230"/>
        </w:tabs>
        <w:autoSpaceDE w:val="0"/>
        <w:autoSpaceDN w:val="0"/>
        <w:adjustRightInd w:val="0"/>
        <w:jc w:val="center"/>
        <w:rPr>
          <w:rFonts w:hint="eastAsia" w:ascii="宋体" w:hAnsi="宋体" w:cs="宋体"/>
          <w:color w:val="auto"/>
          <w:highlight w:val="none"/>
        </w:rPr>
      </w:pPr>
    </w:p>
    <w:p>
      <w:pPr>
        <w:tabs>
          <w:tab w:val="left" w:pos="676"/>
          <w:tab w:val="left" w:pos="2330"/>
          <w:tab w:val="left" w:pos="9230"/>
        </w:tabs>
        <w:autoSpaceDE w:val="0"/>
        <w:autoSpaceDN w:val="0"/>
        <w:adjustRightInd w:val="0"/>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.2</w:t>
      </w:r>
    </w:p>
    <w:p>
      <w:pPr>
        <w:pStyle w:val="2"/>
        <w:rPr>
          <w:rFonts w:hint="eastAsia" w:ascii="宋体" w:hAnsi="宋体" w:cs="宋体"/>
          <w:color w:val="auto"/>
          <w:highlight w:val="none"/>
        </w:rPr>
      </w:pP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技术标评分细则需要提供的资料</w:t>
      </w:r>
    </w:p>
    <w:p>
      <w:pPr>
        <w:spacing w:line="360" w:lineRule="auto"/>
        <w:jc w:val="center"/>
        <w:rPr>
          <w:rFonts w:hint="eastAsia" w:ascii="宋体" w:hAnsi="宋体" w:cs="宋体"/>
          <w:b/>
          <w:color w:val="auto"/>
          <w:sz w:val="28"/>
          <w:highlight w:val="none"/>
        </w:rPr>
      </w:pPr>
    </w:p>
    <w:p>
      <w:pPr>
        <w:spacing w:line="360" w:lineRule="auto"/>
        <w:jc w:val="left"/>
        <w:rPr>
          <w:rFonts w:hint="eastAsia" w:ascii="宋体" w:hAnsi="宋体" w:cs="宋体"/>
          <w:b/>
          <w:color w:val="auto"/>
          <w:sz w:val="24"/>
          <w:highlight w:val="none"/>
        </w:rPr>
      </w:pPr>
    </w:p>
    <w:p>
      <w:pPr>
        <w:spacing w:line="360" w:lineRule="auto"/>
        <w:jc w:val="left"/>
        <w:rPr>
          <w:rFonts w:hint="eastAsia" w:ascii="宋体" w:hAnsi="宋体" w:cs="宋体"/>
          <w:b/>
          <w:color w:val="auto"/>
          <w:sz w:val="24"/>
          <w:highlight w:val="none"/>
        </w:rPr>
      </w:pPr>
    </w:p>
    <w:p>
      <w:pPr>
        <w:spacing w:line="360" w:lineRule="auto"/>
        <w:jc w:val="left"/>
        <w:rPr>
          <w:rFonts w:hint="default" w:ascii="宋体" w:hAnsi="宋体" w:eastAsia="宋体" w:cs="宋体"/>
          <w:b/>
          <w:color w:val="auto"/>
          <w:sz w:val="28"/>
          <w:highlight w:val="none"/>
          <w:lang w:val="en-US" w:eastAsia="zh-CN"/>
        </w:rPr>
      </w:pP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5.3</w:t>
      </w: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招标人配合内容（如有）</w:t>
      </w:r>
    </w:p>
    <w:p>
      <w:pPr>
        <w:jc w:val="center"/>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请</w:t>
      </w:r>
      <w:r>
        <w:rPr>
          <w:rFonts w:hint="eastAsia" w:ascii="宋体" w:hAnsi="宋体" w:cs="宋体"/>
          <w:color w:val="auto"/>
          <w:highlight w:val="none"/>
          <w:lang w:eastAsia="zh-CN"/>
        </w:rPr>
        <w:t>供应商</w:t>
      </w:r>
      <w:r>
        <w:rPr>
          <w:rFonts w:hint="eastAsia" w:ascii="宋体" w:hAnsi="宋体" w:cs="宋体"/>
          <w:color w:val="auto"/>
          <w:highlight w:val="none"/>
        </w:rPr>
        <w:t>详细描述中标合同执行阶段需招标人配合的工作内容。</w:t>
      </w:r>
    </w:p>
    <w:p>
      <w:pPr>
        <w:spacing w:line="360" w:lineRule="auto"/>
        <w:rPr>
          <w:rFonts w:hint="eastAsia" w:ascii="宋体" w:hAnsi="宋体" w:cs="宋体"/>
          <w:color w:val="auto"/>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default" w:ascii="宋体" w:hAnsi="宋体" w:eastAsia="宋体" w:cs="宋体"/>
          <w:color w:val="auto"/>
          <w:highlight w:val="none"/>
          <w:lang w:val="en-US" w:eastAsia="zh-CN"/>
        </w:rPr>
      </w:pP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5.4</w:t>
      </w: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lang w:eastAsia="zh-CN"/>
        </w:rPr>
        <w:t>供应商</w:t>
      </w:r>
      <w:r>
        <w:rPr>
          <w:rFonts w:hint="eastAsia" w:ascii="宋体" w:hAnsi="宋体" w:cs="宋体"/>
          <w:b/>
          <w:color w:val="auto"/>
          <w:sz w:val="28"/>
          <w:highlight w:val="none"/>
        </w:rPr>
        <w:t>认为有必要提供的其他文件（如有）</w:t>
      </w:r>
    </w:p>
    <w:p>
      <w:pPr>
        <w:pStyle w:val="17"/>
        <w:rPr>
          <w:rFonts w:hint="eastAsia" w:hAnsi="宋体" w:cs="宋体"/>
          <w:color w:val="auto"/>
          <w:highlight w:val="none"/>
        </w:rPr>
      </w:pPr>
    </w:p>
    <w:p>
      <w:pPr>
        <w:spacing w:line="360" w:lineRule="auto"/>
        <w:rPr>
          <w:rFonts w:hint="eastAsia" w:ascii="宋体" w:hAnsi="宋体" w:cs="宋体"/>
          <w:color w:val="auto"/>
          <w:highlight w:val="none"/>
        </w:rPr>
      </w:pPr>
    </w:p>
    <w:p>
      <w:pPr>
        <w:tabs>
          <w:tab w:val="left" w:pos="2600"/>
        </w:tabs>
        <w:spacing w:line="300" w:lineRule="exact"/>
        <w:rPr>
          <w:rFonts w:hint="eastAsia" w:ascii="宋体" w:hAnsi="宋体" w:cs="宋体"/>
          <w:b/>
          <w:color w:val="auto"/>
          <w:sz w:val="24"/>
          <w:highlight w:val="none"/>
        </w:rPr>
      </w:pPr>
    </w:p>
    <w:p>
      <w:pPr>
        <w:pStyle w:val="17"/>
        <w:spacing w:line="360" w:lineRule="auto"/>
        <w:ind w:left="4700" w:leftChars="2238"/>
        <w:rPr>
          <w:rFonts w:hint="eastAsia" w:hAnsi="宋体" w:cs="宋体"/>
          <w:color w:val="auto"/>
          <w:highlight w:val="none"/>
        </w:rPr>
      </w:pPr>
    </w:p>
    <w:p>
      <w:pPr>
        <w:pStyle w:val="12"/>
        <w:rPr>
          <w:rFonts w:hint="eastAsia" w:ascii="宋体" w:hAnsi="宋体" w:cs="宋体"/>
          <w:color w:val="auto"/>
          <w:highlight w:val="none"/>
        </w:rPr>
        <w:sectPr>
          <w:headerReference r:id="rId10" w:type="default"/>
          <w:footerReference r:id="rId11" w:type="default"/>
          <w:pgSz w:w="11907" w:h="16840"/>
          <w:pgMar w:top="1418" w:right="1701" w:bottom="1418" w:left="1701" w:header="851" w:footer="851" w:gutter="0"/>
          <w:pgBorders>
            <w:top w:val="none" w:sz="0" w:space="0"/>
            <w:left w:val="none" w:sz="0" w:space="0"/>
            <w:bottom w:val="none" w:sz="0" w:space="0"/>
            <w:right w:val="none" w:sz="0" w:space="0"/>
          </w:pgBorders>
          <w:cols w:space="720" w:num="1"/>
          <w:docGrid w:linePitch="285" w:charSpace="0"/>
        </w:sectPr>
      </w:pPr>
    </w:p>
    <w:p>
      <w:pPr>
        <w:spacing w:line="360" w:lineRule="auto"/>
        <w:rPr>
          <w:rFonts w:hint="eastAsia" w:ascii="宋体" w:hAnsi="宋体" w:cs="宋体"/>
          <w:b/>
          <w:color w:val="auto"/>
          <w:sz w:val="30"/>
          <w:highlight w:val="none"/>
        </w:rPr>
      </w:pPr>
    </w:p>
    <w:p>
      <w:pPr>
        <w:pStyle w:val="6"/>
        <w:numPr>
          <w:ilvl w:val="0"/>
          <w:numId w:val="0"/>
        </w:numPr>
        <w:ind w:left="422"/>
        <w:rPr>
          <w:rFonts w:hint="eastAsia" w:hAnsi="宋体" w:cs="宋体"/>
          <w:color w:val="auto"/>
          <w:highlight w:val="none"/>
        </w:rPr>
      </w:pPr>
      <w:bookmarkStart w:id="216" w:name="_Toc477185972"/>
      <w:bookmarkStart w:id="217" w:name="_Toc476177994"/>
      <w:bookmarkStart w:id="218" w:name="_Toc477186333"/>
      <w:bookmarkStart w:id="219" w:name="_Toc455417786"/>
      <w:bookmarkStart w:id="220" w:name="_Toc118018368"/>
      <w:bookmarkStart w:id="221" w:name="_Toc496161878"/>
      <w:bookmarkStart w:id="222" w:name="_Toc476177435"/>
      <w:r>
        <w:rPr>
          <w:rFonts w:hint="eastAsia" w:hAnsi="宋体" w:cs="宋体"/>
          <w:color w:val="auto"/>
          <w:highlight w:val="none"/>
          <w:lang w:val="en-US" w:eastAsia="zh-CN"/>
        </w:rPr>
        <w:t>六</w:t>
      </w:r>
      <w:r>
        <w:rPr>
          <w:rFonts w:hint="eastAsia" w:hAnsi="宋体" w:cs="宋体"/>
          <w:color w:val="auto"/>
          <w:highlight w:val="none"/>
        </w:rPr>
        <w:t>、其他资料格式</w:t>
      </w:r>
      <w:bookmarkEnd w:id="216"/>
      <w:bookmarkEnd w:id="217"/>
      <w:bookmarkEnd w:id="218"/>
      <w:bookmarkEnd w:id="219"/>
      <w:bookmarkEnd w:id="220"/>
      <w:bookmarkEnd w:id="221"/>
      <w:bookmarkEnd w:id="222"/>
    </w:p>
    <w:p>
      <w:pPr>
        <w:tabs>
          <w:tab w:val="left" w:pos="824"/>
        </w:tabs>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  招标服务费承诺书</w:t>
      </w:r>
    </w:p>
    <w:p>
      <w:pPr>
        <w:tabs>
          <w:tab w:val="left" w:pos="824"/>
        </w:tabs>
        <w:spacing w:line="360" w:lineRule="auto"/>
        <w:ind w:firstLine="210" w:firstLineChars="1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.2  退保证金说明</w:t>
      </w:r>
    </w:p>
    <w:p>
      <w:pPr>
        <w:tabs>
          <w:tab w:val="left" w:pos="824"/>
        </w:tabs>
        <w:spacing w:line="360" w:lineRule="auto"/>
        <w:ind w:firstLine="210" w:firstLineChars="100"/>
        <w:rPr>
          <w:rFonts w:hint="eastAsia" w:ascii="宋体" w:hAnsi="宋体" w:cs="宋体"/>
          <w:color w:val="auto"/>
          <w:highlight w:val="none"/>
        </w:rPr>
      </w:pPr>
    </w:p>
    <w:p>
      <w:pPr>
        <w:rPr>
          <w:rFonts w:hint="eastAsia" w:ascii="宋体" w:hAnsi="宋体" w:cs="宋体"/>
          <w:b/>
          <w:color w:val="auto"/>
          <w:sz w:val="24"/>
          <w:highlight w:val="none"/>
        </w:rPr>
      </w:pPr>
      <w:r>
        <w:rPr>
          <w:rFonts w:hint="eastAsia" w:ascii="宋体" w:hAnsi="宋体" w:cs="宋体"/>
          <w:color w:val="auto"/>
          <w:highlight w:val="none"/>
        </w:rPr>
        <w:br w:type="page"/>
      </w:r>
      <w:r>
        <w:rPr>
          <w:rFonts w:hint="eastAsia" w:ascii="宋体" w:hAnsi="宋体" w:cs="宋体"/>
          <w:b/>
          <w:color w:val="auto"/>
          <w:sz w:val="24"/>
          <w:highlight w:val="none"/>
        </w:rPr>
        <w:t>7.1招标服务费承诺书</w:t>
      </w: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招标服务费承诺书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pPr>
        <w:spacing w:line="360" w:lineRule="auto"/>
        <w:rPr>
          <w:rFonts w:hint="eastAsia" w:ascii="宋体" w:hAnsi="宋体" w:cs="宋体"/>
          <w:b/>
          <w:color w:val="auto"/>
          <w:sz w:val="24"/>
          <w:highlight w:val="none"/>
        </w:rPr>
      </w:pPr>
      <w:r>
        <w:rPr>
          <w:rFonts w:hint="eastAsia" w:ascii="宋体" w:hAnsi="宋体" w:cs="宋体"/>
          <w:color w:val="auto"/>
          <w:highlight w:val="none"/>
        </w:rPr>
        <w:t>致</w:t>
      </w:r>
      <w:r>
        <w:rPr>
          <w:rFonts w:hint="eastAsia" w:ascii="宋体" w:hAnsi="宋体" w:cs="宋体"/>
          <w:color w:val="auto"/>
          <w:sz w:val="24"/>
          <w:highlight w:val="none"/>
        </w:rPr>
        <w:t>：</w:t>
      </w:r>
      <w:r>
        <w:rPr>
          <w:rFonts w:hint="eastAsia" w:ascii="宋体" w:hAnsi="宋体" w:cs="宋体"/>
          <w:b/>
          <w:color w:val="auto"/>
          <w:sz w:val="24"/>
          <w:highlight w:val="none"/>
        </w:rPr>
        <w:t>广东省机电设备招标有限公司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left="210" w:hanging="210" w:hangingChars="100"/>
        <w:jc w:val="left"/>
        <w:rPr>
          <w:rFonts w:hint="eastAsia" w:ascii="宋体" w:hAnsi="宋体" w:cs="宋体"/>
          <w:color w:val="auto"/>
          <w:highlight w:val="none"/>
        </w:rPr>
      </w:pPr>
      <w:r>
        <w:rPr>
          <w:rFonts w:hint="eastAsia" w:ascii="宋体" w:hAnsi="宋体" w:cs="宋体"/>
          <w:color w:val="auto"/>
          <w:highlight w:val="none"/>
        </w:rPr>
        <w:t xml:space="preserve">       如果我方</w:t>
      </w:r>
      <w:r>
        <w:rPr>
          <w:rFonts w:hint="eastAsia" w:ascii="宋体" w:hAnsi="宋体" w:cs="宋体"/>
          <w:color w:val="auto"/>
          <w:highlight w:val="none"/>
          <w:u w:val="single"/>
        </w:rPr>
        <w:t>（</w:t>
      </w:r>
      <w:r>
        <w:rPr>
          <w:rFonts w:hint="eastAsia" w:ascii="宋体" w:hAnsi="宋体" w:cs="宋体"/>
          <w:color w:val="auto"/>
          <w:highlight w:val="none"/>
          <w:u w:val="single"/>
          <w:lang w:eastAsia="zh-CN"/>
        </w:rPr>
        <w:t>供应商</w:t>
      </w:r>
      <w:r>
        <w:rPr>
          <w:rFonts w:hint="eastAsia" w:ascii="宋体" w:hAnsi="宋体" w:cs="宋体"/>
          <w:color w:val="auto"/>
          <w:highlight w:val="none"/>
          <w:u w:val="single"/>
        </w:rPr>
        <w:t>名称）</w:t>
      </w:r>
      <w:r>
        <w:rPr>
          <w:rFonts w:hint="eastAsia" w:ascii="宋体" w:hAnsi="宋体" w:cs="宋体"/>
          <w:color w:val="auto"/>
          <w:highlight w:val="none"/>
        </w:rPr>
        <w:t>在贵单位组织的（</w:t>
      </w:r>
      <w:r>
        <w:rPr>
          <w:rFonts w:hint="eastAsia" w:ascii="宋体" w:hAnsi="宋体" w:cs="宋体"/>
          <w:color w:val="auto"/>
          <w:highlight w:val="none"/>
          <w:u w:val="single"/>
        </w:rPr>
        <w:t>招标项目名称</w:t>
      </w:r>
      <w:r>
        <w:rPr>
          <w:rFonts w:hint="eastAsia" w:ascii="宋体" w:hAnsi="宋体" w:cs="宋体"/>
          <w:color w:val="auto"/>
          <w:highlight w:val="none"/>
        </w:rPr>
        <w:t>）</w:t>
      </w:r>
      <w:r>
        <w:rPr>
          <w:rFonts w:hint="eastAsia" w:ascii="宋体" w:hAnsi="宋体" w:cs="宋体"/>
          <w:color w:val="auto"/>
          <w:highlight w:val="none"/>
          <w:u w:val="single"/>
          <w:lang w:val="en-US" w:eastAsia="zh-CN"/>
        </w:rPr>
        <w:t>子包（）</w:t>
      </w:r>
      <w:r>
        <w:rPr>
          <w:rFonts w:hint="eastAsia" w:ascii="宋体" w:hAnsi="宋体" w:cs="宋体"/>
          <w:color w:val="auto"/>
          <w:highlight w:val="none"/>
        </w:rPr>
        <w:t>项目编号为</w:t>
      </w:r>
      <w:r>
        <w:rPr>
          <w:rFonts w:hint="eastAsia" w:ascii="宋体" w:hAnsi="宋体" w:cs="宋体"/>
          <w:color w:val="auto"/>
          <w:highlight w:val="none"/>
          <w:u w:val="single"/>
        </w:rPr>
        <w:t xml:space="preserve">                           </w:t>
      </w:r>
      <w:r>
        <w:rPr>
          <w:rFonts w:hint="eastAsia" w:ascii="宋体" w:hAnsi="宋体" w:cs="宋体"/>
          <w:color w:val="auto"/>
          <w:highlight w:val="none"/>
        </w:rPr>
        <w:t>的相关服务的招标中获中标，我方</w:t>
      </w:r>
      <w:r>
        <w:rPr>
          <w:rFonts w:hint="eastAsia" w:ascii="宋体" w:hAnsi="宋体" w:cs="宋体"/>
          <w:color w:val="auto"/>
          <w:spacing w:val="-6"/>
          <w:highlight w:val="none"/>
        </w:rPr>
        <w:t>保证在收到《中标通知书》的当日，按招标文件要求，向贵单位</w:t>
      </w:r>
      <w:r>
        <w:rPr>
          <w:rFonts w:hint="eastAsia" w:ascii="宋体" w:hAnsi="宋体" w:cs="宋体"/>
          <w:color w:val="auto"/>
          <w:highlight w:val="none"/>
        </w:rPr>
        <w:t>交纳招标服务费（按投标人须知执行）。</w:t>
      </w:r>
    </w:p>
    <w:p>
      <w:pPr>
        <w:spacing w:line="360" w:lineRule="auto"/>
        <w:jc w:val="left"/>
        <w:rPr>
          <w:rFonts w:hint="eastAsia" w:ascii="宋体" w:hAnsi="宋体" w:cs="宋体"/>
          <w:color w:val="auto"/>
          <w:highlight w:val="none"/>
        </w:rPr>
      </w:pPr>
    </w:p>
    <w:p>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       我方如违约，愿凭贵单位开出的违约通知，按上述承诺金额的200％在我方提交的投标保证金中扣付。</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特此承诺！</w:t>
      </w:r>
    </w:p>
    <w:p>
      <w:pPr>
        <w:spacing w:line="480" w:lineRule="auto"/>
        <w:rPr>
          <w:rFonts w:hint="eastAsia" w:ascii="宋体" w:hAnsi="宋体" w:cs="宋体"/>
          <w:color w:val="auto"/>
          <w:szCs w:val="22"/>
          <w:highlight w:val="none"/>
        </w:rPr>
      </w:pP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名称:（盖章）</w:t>
      </w:r>
    </w:p>
    <w:p>
      <w:pPr>
        <w:spacing w:line="360" w:lineRule="auto"/>
        <w:ind w:firstLine="3990" w:firstLineChars="1900"/>
        <w:rPr>
          <w:rFonts w:hint="eastAsia" w:ascii="宋体" w:hAnsi="宋体" w:cs="宋体"/>
          <w:color w:val="auto"/>
          <w:highlight w:val="none"/>
        </w:rPr>
      </w:pPr>
      <w:r>
        <w:rPr>
          <w:rFonts w:hint="eastAsia" w:ascii="宋体" w:hAnsi="宋体" w:cs="宋体"/>
          <w:color w:val="auto"/>
          <w:highlight w:val="none"/>
        </w:rPr>
        <w:t>日期：    年   月   日</w:t>
      </w:r>
    </w:p>
    <w:p>
      <w:pPr>
        <w:spacing w:line="480" w:lineRule="auto"/>
        <w:rPr>
          <w:rFonts w:hint="eastAsia" w:ascii="宋体" w:hAnsi="宋体" w:cs="宋体"/>
          <w:color w:val="auto"/>
          <w:highlight w:val="none"/>
        </w:rPr>
      </w:pPr>
    </w:p>
    <w:p>
      <w:pPr>
        <w:spacing w:line="300" w:lineRule="auto"/>
        <w:rPr>
          <w:rFonts w:hint="eastAsia" w:ascii="宋体" w:hAnsi="宋体" w:cs="宋体"/>
          <w:b/>
          <w:color w:val="auto"/>
          <w:sz w:val="24"/>
          <w:highlight w:val="none"/>
        </w:rPr>
      </w:pPr>
      <w:r>
        <w:rPr>
          <w:rFonts w:hint="eastAsia" w:ascii="宋体" w:hAnsi="宋体" w:cs="宋体"/>
          <w:color w:val="auto"/>
          <w:highlight w:val="none"/>
        </w:rPr>
        <w:br w:type="page"/>
      </w:r>
      <w:bookmarkStart w:id="223" w:name="_Toc496161880"/>
      <w:r>
        <w:rPr>
          <w:rFonts w:hint="eastAsia" w:ascii="宋体" w:hAnsi="宋体" w:cs="宋体"/>
          <w:b/>
          <w:color w:val="auto"/>
          <w:sz w:val="24"/>
          <w:highlight w:val="none"/>
        </w:rPr>
        <w:t>7.2投标保证金退还格式</w:t>
      </w:r>
      <w:bookmarkStart w:id="224" w:name="_Hlt523221392"/>
      <w:bookmarkEnd w:id="224"/>
      <w:r>
        <w:rPr>
          <w:rFonts w:hint="eastAsia" w:ascii="宋体" w:hAnsi="宋体" w:cs="宋体"/>
          <w:b/>
          <w:color w:val="auto"/>
          <w:sz w:val="24"/>
          <w:highlight w:val="none"/>
        </w:rPr>
        <w:t>（样本）</w:t>
      </w:r>
    </w:p>
    <w:p>
      <w:pPr>
        <w:snapToGrid w:val="0"/>
        <w:jc w:val="center"/>
        <w:rPr>
          <w:rStyle w:val="48"/>
          <w:rFonts w:hint="eastAsia" w:ascii="宋体" w:hAnsi="宋体" w:eastAsia="宋体" w:cs="宋体"/>
          <w:b/>
          <w:color w:val="auto"/>
          <w:spacing w:val="10"/>
          <w:sz w:val="21"/>
          <w:szCs w:val="21"/>
          <w:highlight w:val="none"/>
          <w:lang w:val="zh-CN"/>
        </w:rPr>
      </w:pPr>
      <w:r>
        <w:rPr>
          <w:rStyle w:val="48"/>
          <w:rFonts w:hint="eastAsia" w:ascii="宋体" w:hAnsi="宋体" w:eastAsia="宋体" w:cs="宋体"/>
          <w:b/>
          <w:color w:val="auto"/>
          <w:spacing w:val="10"/>
          <w:sz w:val="21"/>
          <w:szCs w:val="21"/>
          <w:highlight w:val="none"/>
          <w:lang w:val="zh-CN"/>
        </w:rPr>
        <w:t>退保证金说明</w:t>
      </w:r>
    </w:p>
    <w:p>
      <w:pPr>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p>
    <w:p>
      <w:pPr>
        <w:spacing w:line="360" w:lineRule="auto"/>
        <w:ind w:leftChars="-250" w:hanging="525" w:hangingChars="250"/>
        <w:rPr>
          <w:rFonts w:hint="eastAsia" w:ascii="宋体" w:hAnsi="宋体" w:cs="宋体"/>
          <w:color w:val="auto"/>
          <w:szCs w:val="21"/>
          <w:highlight w:val="none"/>
        </w:rPr>
      </w:pPr>
      <w:r>
        <w:rPr>
          <w:rFonts w:hint="eastAsia" w:ascii="宋体" w:hAnsi="宋体" w:cs="宋体"/>
          <w:color w:val="auto"/>
          <w:szCs w:val="21"/>
          <w:highlight w:val="none"/>
        </w:rPr>
        <w:t xml:space="preserve">         我方为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w:t>
      </w:r>
      <w:r>
        <w:rPr>
          <w:rFonts w:hint="eastAsia" w:ascii="宋体" w:hAnsi="宋体" w:cs="宋体"/>
          <w:color w:val="auto"/>
          <w:highlight w:val="none"/>
          <w:u w:val="none"/>
          <w:lang w:val="en-US" w:eastAsia="zh-CN"/>
        </w:rPr>
        <w:t>子包（）</w:t>
      </w:r>
      <w:r>
        <w:rPr>
          <w:rFonts w:hint="eastAsia" w:ascii="宋体" w:hAnsi="宋体" w:cs="宋体"/>
          <w:color w:val="auto"/>
          <w:szCs w:val="21"/>
          <w:highlight w:val="none"/>
        </w:rPr>
        <w:t xml:space="preserve">的投标，项目编号为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所提交的保证金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元，请贵单位退还时划到以下账户：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76"/>
        <w:gridCol w:w="1980"/>
        <w:gridCol w:w="162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2" w:type="dxa"/>
            <w:vMerge w:val="restart"/>
            <w:noWrap w:val="0"/>
            <w:vAlign w:val="center"/>
          </w:tcPr>
          <w:p>
            <w:pPr>
              <w:spacing w:line="360" w:lineRule="auto"/>
              <w:ind w:right="206" w:rightChars="98"/>
              <w:jc w:val="center"/>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收款单位</w:t>
            </w:r>
          </w:p>
        </w:tc>
        <w:tc>
          <w:tcPr>
            <w:tcW w:w="1976" w:type="dxa"/>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 xml:space="preserve"> 收款单位名称</w:t>
            </w:r>
          </w:p>
        </w:tc>
        <w:tc>
          <w:tcPr>
            <w:tcW w:w="5894" w:type="dxa"/>
            <w:gridSpan w:val="3"/>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2" w:type="dxa"/>
            <w:vMerge w:val="continue"/>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c>
          <w:tcPr>
            <w:tcW w:w="1976" w:type="dxa"/>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 xml:space="preserve"> 收款单位地址</w:t>
            </w:r>
          </w:p>
        </w:tc>
        <w:tc>
          <w:tcPr>
            <w:tcW w:w="5894" w:type="dxa"/>
            <w:gridSpan w:val="3"/>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2" w:type="dxa"/>
            <w:vMerge w:val="continue"/>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c>
          <w:tcPr>
            <w:tcW w:w="1976" w:type="dxa"/>
            <w:noWrap w:val="0"/>
            <w:vAlign w:val="top"/>
          </w:tcPr>
          <w:p>
            <w:pPr>
              <w:ind w:right="206" w:rightChars="98"/>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 xml:space="preserve">   开户银行</w:t>
            </w:r>
          </w:p>
          <w:p>
            <w:pPr>
              <w:ind w:right="206" w:rightChars="98"/>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（含汇入地点）</w:t>
            </w:r>
          </w:p>
        </w:tc>
        <w:tc>
          <w:tcPr>
            <w:tcW w:w="5894" w:type="dxa"/>
            <w:gridSpan w:val="3"/>
            <w:noWrap w:val="0"/>
            <w:vAlign w:val="center"/>
          </w:tcPr>
          <w:p>
            <w:pPr>
              <w:spacing w:line="360" w:lineRule="auto"/>
              <w:ind w:right="206" w:rightChars="98" w:firstLine="460" w:firstLineChars="200"/>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2" w:type="dxa"/>
            <w:vMerge w:val="continue"/>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c>
          <w:tcPr>
            <w:tcW w:w="1976" w:type="dxa"/>
            <w:noWrap w:val="0"/>
            <w:vAlign w:val="top"/>
          </w:tcPr>
          <w:p>
            <w:pPr>
              <w:spacing w:line="360" w:lineRule="auto"/>
              <w:ind w:right="206" w:rightChars="98"/>
              <w:jc w:val="center"/>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账  号</w:t>
            </w:r>
          </w:p>
        </w:tc>
        <w:tc>
          <w:tcPr>
            <w:tcW w:w="5894" w:type="dxa"/>
            <w:gridSpan w:val="3"/>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2" w:type="dxa"/>
            <w:vMerge w:val="continue"/>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c>
          <w:tcPr>
            <w:tcW w:w="1976" w:type="dxa"/>
            <w:noWrap w:val="0"/>
            <w:vAlign w:val="top"/>
          </w:tcPr>
          <w:p>
            <w:pPr>
              <w:spacing w:line="360" w:lineRule="auto"/>
              <w:ind w:right="206" w:rightChars="98" w:firstLine="460" w:firstLineChars="200"/>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联系人</w:t>
            </w:r>
          </w:p>
        </w:tc>
        <w:tc>
          <w:tcPr>
            <w:tcW w:w="1980" w:type="dxa"/>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c>
          <w:tcPr>
            <w:tcW w:w="1620" w:type="dxa"/>
            <w:noWrap w:val="0"/>
            <w:vAlign w:val="top"/>
          </w:tcPr>
          <w:p>
            <w:pPr>
              <w:spacing w:line="360" w:lineRule="auto"/>
              <w:ind w:right="206" w:rightChars="98" w:firstLine="230" w:firstLineChars="100"/>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手机号码</w:t>
            </w:r>
          </w:p>
        </w:tc>
        <w:tc>
          <w:tcPr>
            <w:tcW w:w="2294" w:type="dxa"/>
            <w:noWrap w:val="0"/>
            <w:vAlign w:val="top"/>
          </w:tcPr>
          <w:p>
            <w:pPr>
              <w:spacing w:line="360" w:lineRule="auto"/>
              <w:ind w:right="206" w:rightChars="98"/>
              <w:rPr>
                <w:rStyle w:val="48"/>
                <w:rFonts w:hint="eastAsia" w:ascii="宋体" w:hAnsi="宋体" w:eastAsia="宋体" w:cs="宋体"/>
                <w:color w:val="auto"/>
                <w:spacing w:val="10"/>
                <w:sz w:val="21"/>
                <w:szCs w:val="21"/>
                <w:highlight w:val="none"/>
                <w:lang w:val="zh-CN"/>
              </w:rPr>
            </w:pPr>
          </w:p>
        </w:tc>
      </w:tr>
    </w:tbl>
    <w:p>
      <w:pPr>
        <w:rPr>
          <w:rFonts w:hint="eastAsia" w:ascii="宋体" w:hAnsi="宋体" w:cs="宋体"/>
          <w:color w:val="auto"/>
          <w:szCs w:val="21"/>
          <w:highlight w:val="none"/>
        </w:rPr>
      </w:pPr>
    </w:p>
    <w:p>
      <w:pPr>
        <w:rPr>
          <w:rFonts w:hint="eastAsia" w:ascii="宋体" w:hAnsi="宋体" w:cs="宋体"/>
          <w:b/>
          <w:bCs/>
          <w:color w:val="auto"/>
          <w:szCs w:val="21"/>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 xml:space="preserve">(公章)：                                  </w:t>
      </w:r>
    </w:p>
    <w:p>
      <w:pPr>
        <w:rPr>
          <w:rFonts w:hint="eastAsia" w:ascii="宋体" w:hAnsi="宋体" w:cs="宋体"/>
          <w:b/>
          <w:color w:val="auto"/>
          <w:szCs w:val="21"/>
          <w:highlight w:val="none"/>
        </w:rPr>
      </w:pPr>
      <w:r>
        <w:rPr>
          <w:rFonts w:hint="eastAsia" w:ascii="宋体" w:hAnsi="宋体" w:cs="宋体"/>
          <w:b/>
          <w:bCs/>
          <w:color w:val="auto"/>
          <w:szCs w:val="21"/>
          <w:highlight w:val="none"/>
        </w:rPr>
        <w:t xml:space="preserve">日        期：  </w:t>
      </w:r>
      <w:r>
        <w:rPr>
          <w:rFonts w:hint="eastAsia" w:ascii="宋体" w:hAnsi="宋体" w:cs="宋体"/>
          <w:b/>
          <w:color w:val="auto"/>
          <w:szCs w:val="21"/>
          <w:highlight w:val="none"/>
        </w:rPr>
        <w:t xml:space="preserve">                                </w:t>
      </w:r>
    </w:p>
    <w:p>
      <w:pPr>
        <w:spacing w:line="360" w:lineRule="auto"/>
        <w:ind w:left="692" w:leftChars="220" w:right="206" w:rightChars="98" w:hanging="230" w:hangingChars="100"/>
        <w:rPr>
          <w:rStyle w:val="48"/>
          <w:rFonts w:hint="eastAsia" w:ascii="宋体" w:hAnsi="宋体" w:eastAsia="宋体" w:cs="宋体"/>
          <w:color w:val="auto"/>
          <w:spacing w:val="10"/>
          <w:sz w:val="21"/>
          <w:szCs w:val="21"/>
          <w:highlight w:val="none"/>
          <w:lang w:val="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8219" w:type="dxa"/>
            <w:noWrap w:val="0"/>
            <w:vAlign w:val="center"/>
          </w:tcPr>
          <w:p>
            <w:pPr>
              <w:spacing w:line="360" w:lineRule="auto"/>
              <w:ind w:right="206" w:rightChars="98"/>
              <w:jc w:val="center"/>
              <w:rPr>
                <w:rStyle w:val="48"/>
                <w:rFonts w:hint="eastAsia" w:ascii="宋体" w:hAnsi="宋体" w:eastAsia="宋体" w:cs="宋体"/>
                <w:color w:val="auto"/>
                <w:spacing w:val="10"/>
                <w:sz w:val="21"/>
                <w:szCs w:val="21"/>
                <w:highlight w:val="none"/>
                <w:lang w:val="zh-CN"/>
              </w:rPr>
            </w:pPr>
          </w:p>
          <w:p>
            <w:pPr>
              <w:ind w:right="206" w:rightChars="98"/>
              <w:jc w:val="center"/>
              <w:rPr>
                <w:rStyle w:val="48"/>
                <w:rFonts w:hint="eastAsia" w:ascii="宋体" w:hAnsi="宋体" w:eastAsia="宋体" w:cs="宋体"/>
                <w:color w:val="auto"/>
                <w:spacing w:val="10"/>
                <w:sz w:val="21"/>
                <w:szCs w:val="21"/>
                <w:highlight w:val="none"/>
                <w:lang w:val="zh-CN"/>
              </w:rPr>
            </w:pPr>
          </w:p>
          <w:p>
            <w:pPr>
              <w:ind w:right="206" w:rightChars="98"/>
              <w:jc w:val="center"/>
              <w:rPr>
                <w:rStyle w:val="48"/>
                <w:rFonts w:hint="eastAsia" w:ascii="宋体" w:hAnsi="宋体" w:eastAsia="宋体" w:cs="宋体"/>
                <w:color w:val="auto"/>
                <w:spacing w:val="10"/>
                <w:sz w:val="21"/>
                <w:szCs w:val="21"/>
                <w:highlight w:val="none"/>
                <w:lang w:val="zh-CN"/>
              </w:rPr>
            </w:pPr>
            <w:r>
              <w:rPr>
                <w:rStyle w:val="48"/>
                <w:rFonts w:hint="eastAsia" w:ascii="宋体" w:hAnsi="宋体" w:eastAsia="宋体" w:cs="宋体"/>
                <w:color w:val="auto"/>
                <w:spacing w:val="10"/>
                <w:sz w:val="21"/>
                <w:szCs w:val="21"/>
                <w:highlight w:val="none"/>
                <w:lang w:val="zh-CN"/>
              </w:rPr>
              <w:t>汇款凭证粘贴处</w:t>
            </w:r>
          </w:p>
          <w:p>
            <w:pPr>
              <w:spacing w:line="360" w:lineRule="auto"/>
              <w:ind w:right="206" w:rightChars="98"/>
              <w:jc w:val="center"/>
              <w:rPr>
                <w:rStyle w:val="48"/>
                <w:rFonts w:hint="eastAsia" w:ascii="宋体" w:hAnsi="宋体" w:eastAsia="宋体" w:cs="宋体"/>
                <w:color w:val="auto"/>
                <w:spacing w:val="10"/>
                <w:sz w:val="21"/>
                <w:szCs w:val="21"/>
                <w:highlight w:val="none"/>
                <w:lang w:val="zh-CN"/>
              </w:rPr>
            </w:pPr>
          </w:p>
          <w:p>
            <w:pPr>
              <w:spacing w:line="360" w:lineRule="auto"/>
              <w:ind w:right="206" w:rightChars="98"/>
              <w:jc w:val="center"/>
              <w:rPr>
                <w:rStyle w:val="48"/>
                <w:rFonts w:hint="eastAsia" w:ascii="宋体" w:hAnsi="宋体" w:eastAsia="宋体" w:cs="宋体"/>
                <w:color w:val="auto"/>
                <w:spacing w:val="10"/>
                <w:sz w:val="21"/>
                <w:szCs w:val="21"/>
                <w:highlight w:val="none"/>
                <w:lang w:val="zh-CN"/>
              </w:rPr>
            </w:pPr>
          </w:p>
          <w:p>
            <w:pPr>
              <w:spacing w:line="360" w:lineRule="auto"/>
              <w:ind w:right="206" w:rightChars="98"/>
              <w:jc w:val="center"/>
              <w:rPr>
                <w:rStyle w:val="48"/>
                <w:rFonts w:hint="eastAsia" w:ascii="宋体" w:hAnsi="宋体" w:eastAsia="宋体" w:cs="宋体"/>
                <w:color w:val="auto"/>
                <w:spacing w:val="10"/>
                <w:sz w:val="21"/>
                <w:szCs w:val="21"/>
                <w:highlight w:val="none"/>
                <w:lang w:val="zh-CN"/>
              </w:rPr>
            </w:pPr>
          </w:p>
        </w:tc>
      </w:tr>
    </w:tbl>
    <w:p>
      <w:pPr>
        <w:spacing w:line="360" w:lineRule="auto"/>
        <w:jc w:val="center"/>
        <w:rPr>
          <w:rStyle w:val="48"/>
          <w:rFonts w:hint="eastAsia" w:ascii="宋体" w:hAnsi="宋体" w:eastAsia="宋体" w:cs="宋体"/>
          <w:color w:val="auto"/>
          <w:spacing w:val="10"/>
          <w:szCs w:val="21"/>
          <w:highlight w:val="none"/>
          <w:lang w:val="zh-CN"/>
        </w:rPr>
      </w:pPr>
      <w:r>
        <w:rPr>
          <w:rStyle w:val="48"/>
          <w:rFonts w:hint="eastAsia" w:ascii="宋体" w:hAnsi="宋体" w:eastAsia="宋体" w:cs="宋体"/>
          <w:color w:val="auto"/>
          <w:spacing w:val="10"/>
          <w:szCs w:val="21"/>
          <w:highlight w:val="none"/>
          <w:lang w:val="zh-CN"/>
        </w:rPr>
        <w:br w:type="page"/>
      </w:r>
    </w:p>
    <w:bookmarkEnd w:id="223"/>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 w:val="left" w:pos="7679"/>
        </w:tabs>
        <w:spacing w:line="300" w:lineRule="auto"/>
        <w:ind w:left="1021" w:hanging="1021"/>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ab/>
      </w:r>
      <w:r>
        <w:rPr>
          <w:rFonts w:hint="eastAsia" w:ascii="宋体" w:hAnsi="宋体" w:cs="宋体"/>
          <w:b/>
          <w:color w:val="auto"/>
          <w:sz w:val="28"/>
          <w:szCs w:val="28"/>
          <w:highlight w:val="none"/>
        </w:rPr>
        <w:tab/>
      </w:r>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44"/>
          <w:highlight w:val="none"/>
        </w:rPr>
      </w:pPr>
    </w:p>
    <w:p>
      <w:pPr>
        <w:jc w:val="center"/>
        <w:outlineLvl w:val="0"/>
        <w:rPr>
          <w:rFonts w:hint="eastAsia" w:ascii="宋体" w:hAnsi="宋体" w:cs="宋体"/>
          <w:b/>
          <w:color w:val="auto"/>
          <w:sz w:val="44"/>
          <w:szCs w:val="44"/>
          <w:highlight w:val="none"/>
        </w:rPr>
      </w:pPr>
      <w:bookmarkStart w:id="225" w:name="_Toc5715"/>
      <w:r>
        <w:rPr>
          <w:rFonts w:hint="eastAsia" w:ascii="宋体" w:hAnsi="宋体" w:cs="宋体"/>
          <w:b/>
          <w:color w:val="auto"/>
          <w:sz w:val="44"/>
          <w:szCs w:val="44"/>
          <w:highlight w:val="none"/>
        </w:rPr>
        <w:t>第六章</w:t>
      </w:r>
      <w:bookmarkStart w:id="226" w:name="_Toc477186335"/>
      <w:r>
        <w:rPr>
          <w:rFonts w:hint="eastAsia" w:ascii="宋体" w:hAnsi="宋体" w:cs="宋体"/>
          <w:b/>
          <w:color w:val="auto"/>
          <w:sz w:val="44"/>
          <w:szCs w:val="44"/>
          <w:highlight w:val="none"/>
        </w:rPr>
        <w:t xml:space="preserve">  评标办法</w:t>
      </w:r>
      <w:bookmarkEnd w:id="225"/>
      <w:bookmarkEnd w:id="226"/>
    </w:p>
    <w:p>
      <w:pPr>
        <w:tabs>
          <w:tab w:val="left" w:pos="720"/>
        </w:tabs>
        <w:spacing w:line="300" w:lineRule="auto"/>
        <w:ind w:left="1021" w:hanging="1021"/>
        <w:jc w:val="center"/>
        <w:rPr>
          <w:rFonts w:hint="eastAsia" w:ascii="宋体" w:hAnsi="宋体" w:cs="宋体"/>
          <w:b/>
          <w:color w:val="auto"/>
          <w:sz w:val="28"/>
          <w:szCs w:val="28"/>
          <w:highlight w:val="none"/>
        </w:rPr>
      </w:pPr>
    </w:p>
    <w:p>
      <w:pPr>
        <w:tabs>
          <w:tab w:val="left" w:pos="720"/>
        </w:tabs>
        <w:spacing w:line="300" w:lineRule="auto"/>
        <w:ind w:left="1021" w:hanging="1021"/>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 xml:space="preserve"> </w:t>
      </w:r>
    </w:p>
    <w:p>
      <w:pPr>
        <w:tabs>
          <w:tab w:val="left" w:pos="720"/>
        </w:tabs>
        <w:spacing w:line="300" w:lineRule="auto"/>
        <w:ind w:left="1021" w:hanging="1021"/>
        <w:jc w:val="center"/>
        <w:rPr>
          <w:rFonts w:hint="eastAsia" w:ascii="宋体" w:hAnsi="宋体" w:cs="宋体"/>
          <w:b/>
          <w:color w:val="auto"/>
          <w:spacing w:val="10"/>
          <w:sz w:val="28"/>
          <w:szCs w:val="28"/>
          <w:highlight w:val="none"/>
        </w:rPr>
      </w:pPr>
      <w:bookmarkStart w:id="227" w:name="_Toc9981_WPSOffice_Level1"/>
      <w:bookmarkStart w:id="228" w:name="_Toc10591_WPSOffice_Level1"/>
      <w:bookmarkStart w:id="229" w:name="_Toc31126_WPSOffice_Level1"/>
      <w:r>
        <w:rPr>
          <w:rFonts w:hint="eastAsia" w:ascii="宋体" w:hAnsi="宋体" w:cs="宋体"/>
          <w:b/>
          <w:color w:val="auto"/>
          <w:sz w:val="28"/>
          <w:szCs w:val="28"/>
          <w:highlight w:val="none"/>
        </w:rPr>
        <w:t>评  标  办  法</w:t>
      </w:r>
      <w:bookmarkEnd w:id="227"/>
      <w:bookmarkEnd w:id="228"/>
      <w:bookmarkEnd w:id="229"/>
    </w:p>
    <w:p>
      <w:pPr>
        <w:pStyle w:val="5"/>
        <w:numPr>
          <w:ilvl w:val="0"/>
          <w:numId w:val="19"/>
        </w:numPr>
        <w:spacing w:before="120" w:after="120" w:line="360" w:lineRule="auto"/>
        <w:rPr>
          <w:rFonts w:hint="eastAsia" w:ascii="宋体" w:hAnsi="宋体" w:cs="宋体"/>
          <w:color w:val="auto"/>
          <w:sz w:val="28"/>
          <w:szCs w:val="28"/>
          <w:highlight w:val="none"/>
        </w:rPr>
      </w:pPr>
      <w:bookmarkStart w:id="230" w:name="_Toc95306153"/>
      <w:bookmarkStart w:id="231" w:name="_Toc476177438"/>
      <w:bookmarkStart w:id="232" w:name="_Toc2177_WPSOffice_Level1"/>
      <w:bookmarkStart w:id="233" w:name="_Toc476177998"/>
      <w:bookmarkStart w:id="234" w:name="_Toc4692_WPSOffice_Level1"/>
      <w:bookmarkStart w:id="235" w:name="_Toc95306013"/>
      <w:bookmarkStart w:id="236" w:name="_Toc95305931"/>
      <w:bookmarkStart w:id="237" w:name="_Toc477186336"/>
      <w:bookmarkStart w:id="238" w:name="_Toc95306105"/>
      <w:bookmarkStart w:id="239" w:name="_Toc11635_WPSOffice_Level1"/>
      <w:bookmarkStart w:id="240" w:name="_Toc477185975"/>
      <w:bookmarkStart w:id="241" w:name="_Toc99012603"/>
      <w:bookmarkStart w:id="242" w:name="_Toc8854"/>
      <w:bookmarkStart w:id="243" w:name="_Toc95298716"/>
      <w:r>
        <w:rPr>
          <w:rFonts w:hint="eastAsia" w:ascii="宋体" w:hAnsi="宋体" w:cs="宋体"/>
          <w:color w:val="auto"/>
          <w:sz w:val="28"/>
          <w:szCs w:val="28"/>
          <w:highlight w:val="none"/>
        </w:rPr>
        <w:t>说明</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tabs>
          <w:tab w:val="left" w:pos="840"/>
          <w:tab w:val="left" w:pos="1680"/>
          <w:tab w:val="left" w:pos="189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中华人民共和国招标投标法》、《中华人民共和国招标投标法实施条例》、《评标委员会和评标方法暂行规定》和国家及地方有关文件精神，在保证本项目招标公开、公平、公正的基础上，结合本项目的需求，制定本评标办法。内容包括本次评标的评审过程和方法。</w:t>
      </w:r>
    </w:p>
    <w:p>
      <w:pPr>
        <w:tabs>
          <w:tab w:val="left" w:pos="840"/>
        </w:tabs>
        <w:spacing w:line="360" w:lineRule="auto"/>
        <w:rPr>
          <w:rFonts w:hint="eastAsia" w:ascii="宋体" w:hAnsi="宋体" w:cs="宋体"/>
          <w:b/>
          <w:color w:val="auto"/>
          <w:spacing w:val="10"/>
          <w:sz w:val="24"/>
          <w:highlight w:val="none"/>
        </w:rPr>
      </w:pPr>
    </w:p>
    <w:p>
      <w:pPr>
        <w:pStyle w:val="5"/>
        <w:numPr>
          <w:ilvl w:val="0"/>
          <w:numId w:val="19"/>
        </w:numPr>
        <w:spacing w:before="120" w:after="120" w:line="360" w:lineRule="auto"/>
        <w:rPr>
          <w:rFonts w:hint="eastAsia" w:ascii="宋体" w:hAnsi="宋体" w:cs="宋体"/>
          <w:color w:val="auto"/>
          <w:sz w:val="28"/>
          <w:szCs w:val="28"/>
          <w:highlight w:val="none"/>
        </w:rPr>
      </w:pPr>
      <w:bookmarkStart w:id="244" w:name="_Toc4898_WPSOffice_Level1"/>
      <w:bookmarkStart w:id="245" w:name="_Toc477185976"/>
      <w:bookmarkStart w:id="246" w:name="_Toc21029_WPSOffice_Level1"/>
      <w:bookmarkStart w:id="247" w:name="_Toc99012604"/>
      <w:bookmarkStart w:id="248" w:name="_Toc476177999"/>
      <w:bookmarkStart w:id="249" w:name="_Toc15972"/>
      <w:bookmarkStart w:id="250" w:name="_Toc25791_WPSOffice_Level1"/>
      <w:bookmarkStart w:id="251" w:name="_Toc476177439"/>
      <w:bookmarkStart w:id="252" w:name="_Toc477186337"/>
      <w:r>
        <w:rPr>
          <w:rFonts w:hint="eastAsia" w:ascii="宋体" w:hAnsi="宋体" w:cs="宋体"/>
          <w:color w:val="auto"/>
          <w:sz w:val="28"/>
          <w:szCs w:val="28"/>
          <w:highlight w:val="none"/>
        </w:rPr>
        <w:t>评标须知</w:t>
      </w:r>
      <w:bookmarkEnd w:id="244"/>
      <w:bookmarkEnd w:id="245"/>
      <w:bookmarkEnd w:id="246"/>
      <w:bookmarkEnd w:id="247"/>
      <w:bookmarkEnd w:id="248"/>
      <w:bookmarkEnd w:id="249"/>
      <w:bookmarkEnd w:id="250"/>
      <w:bookmarkEnd w:id="251"/>
      <w:bookmarkEnd w:id="252"/>
    </w:p>
    <w:p>
      <w:pPr>
        <w:numPr>
          <w:ilvl w:val="1"/>
          <w:numId w:val="19"/>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关于评标方案</w:t>
      </w:r>
    </w:p>
    <w:p>
      <w:pPr>
        <w:tabs>
          <w:tab w:val="left" w:pos="0"/>
        </w:tabs>
        <w:spacing w:line="360" w:lineRule="auto"/>
        <w:ind w:left="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1</w:t>
      </w:r>
      <w:r>
        <w:rPr>
          <w:rFonts w:hint="eastAsia" w:ascii="宋体" w:hAnsi="宋体" w:cs="宋体"/>
          <w:color w:val="auto"/>
          <w:highlight w:val="none"/>
        </w:rPr>
        <w:t>评标委员会的每位成员（简称评委）应认真地阅读并确认已经正确理解了评标方案。</w:t>
      </w:r>
    </w:p>
    <w:p>
      <w:pPr>
        <w:numPr>
          <w:ilvl w:val="1"/>
          <w:numId w:val="19"/>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关于评标纪律</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2.2.1评标委员会成员不得与任何</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或者与招标结果有利害关系的人进行私下接触，不得收受</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、中介人、其他利害关系人的财物或者其他好处；</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2.2.2评委应本着客观、公正的原则独立给出评价意见；</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2.2.3评委之间不得相互串通进行评分；</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2.2.4评委不得试图影响其他评委的评价意见。</w:t>
      </w:r>
    </w:p>
    <w:p>
      <w:pPr>
        <w:numPr>
          <w:ilvl w:val="1"/>
          <w:numId w:val="19"/>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关于评标责任</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2.3.1评委应在其书面评审意见上签字确认；</w:t>
      </w:r>
    </w:p>
    <w:p>
      <w:pPr>
        <w:tabs>
          <w:tab w:val="left" w:pos="0"/>
        </w:tabs>
        <w:spacing w:line="360" w:lineRule="auto"/>
        <w:ind w:left="420"/>
        <w:rPr>
          <w:rFonts w:hint="eastAsia" w:ascii="宋体" w:hAnsi="宋体" w:cs="宋体"/>
          <w:color w:val="auto"/>
          <w:szCs w:val="22"/>
          <w:highlight w:val="none"/>
        </w:rPr>
      </w:pPr>
      <w:r>
        <w:rPr>
          <w:rFonts w:hint="eastAsia" w:ascii="宋体" w:hAnsi="宋体" w:cs="宋体"/>
          <w:color w:val="auto"/>
          <w:szCs w:val="22"/>
          <w:highlight w:val="none"/>
        </w:rPr>
        <w:t>2.3.2评委对其所提出的评审意见承担个人责任。</w:t>
      </w:r>
    </w:p>
    <w:p>
      <w:pPr>
        <w:numPr>
          <w:ilvl w:val="1"/>
          <w:numId w:val="19"/>
        </w:numPr>
        <w:tabs>
          <w:tab w:val="left" w:pos="0"/>
          <w:tab w:val="left" w:pos="945"/>
          <w:tab w:val="left" w:pos="168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关于回避</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有下列情形之一的，不得担任评标委员会成员，如事先不知情的，应在宣读</w:t>
      </w:r>
      <w:r>
        <w:rPr>
          <w:rFonts w:hint="eastAsia" w:ascii="宋体" w:hAnsi="宋体" w:cs="宋体"/>
          <w:color w:val="auto"/>
          <w:highlight w:val="none"/>
          <w:lang w:eastAsia="zh-CN"/>
        </w:rPr>
        <w:t>供应商</w:t>
      </w:r>
      <w:r>
        <w:rPr>
          <w:rFonts w:hint="eastAsia" w:ascii="宋体" w:hAnsi="宋体" w:cs="宋体"/>
          <w:color w:val="auto"/>
          <w:highlight w:val="none"/>
        </w:rPr>
        <w:t>名单及评标纪律后主动提出回避：</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（1）是</w:t>
      </w:r>
      <w:r>
        <w:rPr>
          <w:rFonts w:hint="eastAsia" w:ascii="宋体" w:hAnsi="宋体" w:cs="宋体"/>
          <w:color w:val="auto"/>
          <w:highlight w:val="none"/>
          <w:lang w:eastAsia="zh-CN"/>
        </w:rPr>
        <w:t>供应商</w:t>
      </w:r>
      <w:r>
        <w:rPr>
          <w:rFonts w:hint="eastAsia" w:ascii="宋体" w:hAnsi="宋体" w:cs="宋体"/>
          <w:color w:val="auto"/>
          <w:highlight w:val="none"/>
        </w:rPr>
        <w:t>或者</w:t>
      </w:r>
      <w:r>
        <w:rPr>
          <w:rFonts w:hint="eastAsia" w:ascii="宋体" w:hAnsi="宋体" w:cs="宋体"/>
          <w:color w:val="auto"/>
          <w:highlight w:val="none"/>
          <w:lang w:eastAsia="zh-CN"/>
        </w:rPr>
        <w:t>供应商</w:t>
      </w:r>
      <w:r>
        <w:rPr>
          <w:rFonts w:hint="eastAsia" w:ascii="宋体" w:hAnsi="宋体" w:cs="宋体"/>
          <w:color w:val="auto"/>
          <w:highlight w:val="none"/>
        </w:rPr>
        <w:t>主要负责人的近亲属；</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（2）是该</w:t>
      </w:r>
      <w:r>
        <w:rPr>
          <w:rFonts w:hint="eastAsia" w:ascii="宋体" w:hAnsi="宋体" w:cs="宋体"/>
          <w:color w:val="auto"/>
          <w:highlight w:val="none"/>
          <w:lang w:eastAsia="zh-CN"/>
        </w:rPr>
        <w:t>供应商</w:t>
      </w:r>
      <w:r>
        <w:rPr>
          <w:rFonts w:hint="eastAsia" w:ascii="宋体" w:hAnsi="宋体" w:cs="宋体"/>
          <w:color w:val="auto"/>
          <w:highlight w:val="none"/>
        </w:rPr>
        <w:t>的项目主管部门或是该</w:t>
      </w:r>
      <w:r>
        <w:rPr>
          <w:rFonts w:hint="eastAsia" w:ascii="宋体" w:hAnsi="宋体" w:cs="宋体"/>
          <w:color w:val="auto"/>
          <w:highlight w:val="none"/>
          <w:lang w:eastAsia="zh-CN"/>
        </w:rPr>
        <w:t>供应商</w:t>
      </w:r>
      <w:r>
        <w:rPr>
          <w:rFonts w:hint="eastAsia" w:ascii="宋体" w:hAnsi="宋体" w:cs="宋体"/>
          <w:color w:val="auto"/>
          <w:highlight w:val="none"/>
        </w:rPr>
        <w:t>的行政监督部门的人员；</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（3）与</w:t>
      </w:r>
      <w:r>
        <w:rPr>
          <w:rFonts w:hint="eastAsia" w:ascii="宋体" w:hAnsi="宋体" w:cs="宋体"/>
          <w:color w:val="auto"/>
          <w:highlight w:val="none"/>
          <w:lang w:eastAsia="zh-CN"/>
        </w:rPr>
        <w:t>供应商</w:t>
      </w:r>
      <w:r>
        <w:rPr>
          <w:rFonts w:hint="eastAsia" w:ascii="宋体" w:hAnsi="宋体" w:cs="宋体"/>
          <w:color w:val="auto"/>
          <w:highlight w:val="none"/>
        </w:rPr>
        <w:t>有经济利益关系，可能影响对投标公正评审的；</w:t>
      </w:r>
    </w:p>
    <w:p>
      <w:pPr>
        <w:numPr>
          <w:ilvl w:val="1"/>
          <w:numId w:val="19"/>
        </w:numPr>
        <w:tabs>
          <w:tab w:val="left" w:pos="0"/>
          <w:tab w:val="left" w:pos="840"/>
          <w:tab w:val="left" w:pos="1260"/>
          <w:tab w:val="left" w:pos="147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关于保密</w:t>
      </w:r>
    </w:p>
    <w:p>
      <w:pPr>
        <w:numPr>
          <w:ilvl w:val="0"/>
          <w:numId w:val="20"/>
        </w:numPr>
        <w:tabs>
          <w:tab w:val="left" w:pos="0"/>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评标委员会成员和与评标活动有关的工作人员不得透露对投标文件的评审和比较、中标候选人的推荐情况以及评标有关的其他情况。</w:t>
      </w:r>
    </w:p>
    <w:p>
      <w:pPr>
        <w:numPr>
          <w:ilvl w:val="0"/>
          <w:numId w:val="20"/>
        </w:numPr>
        <w:tabs>
          <w:tab w:val="left" w:pos="0"/>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前款所称与评标活动有关的工作人员，是指评标委员会成员以外的因参与评标监督工作或者事务性工作而知悉有关评标情况的所有人员。</w:t>
      </w:r>
    </w:p>
    <w:p>
      <w:pPr>
        <w:numPr>
          <w:ilvl w:val="1"/>
          <w:numId w:val="19"/>
        </w:numPr>
        <w:tabs>
          <w:tab w:val="left" w:pos="630"/>
          <w:tab w:val="left" w:pos="840"/>
          <w:tab w:val="clear" w:pos="567"/>
        </w:tabs>
        <w:spacing w:line="360" w:lineRule="auto"/>
        <w:ind w:left="105" w:firstLine="315"/>
        <w:rPr>
          <w:rFonts w:hint="eastAsia" w:ascii="宋体" w:hAnsi="宋体" w:cs="宋体"/>
          <w:color w:val="auto"/>
          <w:highlight w:val="none"/>
        </w:rPr>
      </w:pPr>
      <w:r>
        <w:rPr>
          <w:rFonts w:hint="eastAsia" w:ascii="宋体" w:hAnsi="宋体" w:cs="宋体"/>
          <w:color w:val="auto"/>
          <w:highlight w:val="none"/>
        </w:rPr>
        <w:t>罚则</w:t>
      </w:r>
    </w:p>
    <w:p>
      <w:pPr>
        <w:tabs>
          <w:tab w:val="left" w:pos="0"/>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（1）评标委员会成员在评标过程中擅离职守，影响评标程序正常进行，或者在评标过程中不能客观公正地履行职责的，一经核实，取消担任评标委员会成员的资格，并报有关部门经予法律追究和查处。</w:t>
      </w:r>
    </w:p>
    <w:p>
      <w:pPr>
        <w:tabs>
          <w:tab w:val="left" w:pos="0"/>
        </w:tabs>
        <w:spacing w:line="360" w:lineRule="auto"/>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（2）评标委员会成员收受</w:t>
      </w:r>
      <w:r>
        <w:rPr>
          <w:rFonts w:hint="eastAsia" w:ascii="宋体" w:hAnsi="宋体" w:cs="宋体"/>
          <w:color w:val="auto"/>
          <w:szCs w:val="22"/>
          <w:highlight w:val="none"/>
          <w:lang w:eastAsia="zh-CN"/>
        </w:rPr>
        <w:t>供应商</w:t>
      </w:r>
      <w:r>
        <w:rPr>
          <w:rFonts w:hint="eastAsia" w:ascii="宋体" w:hAnsi="宋体" w:cs="宋体"/>
          <w:color w:val="auto"/>
          <w:szCs w:val="22"/>
          <w:highlight w:val="none"/>
        </w:rPr>
        <w:t>、其他利害关系人的财物或者其他好处的，评标委员会成员或者与评标活动有关的工作人员向他人透露对投标文件的评审和比较、中标候选人的推荐以及与评标有关的其他情况的，一经核实，报有关部门经予法律追究和查处。</w:t>
      </w:r>
    </w:p>
    <w:p>
      <w:pPr>
        <w:tabs>
          <w:tab w:val="left" w:pos="0"/>
        </w:tabs>
        <w:spacing w:line="360" w:lineRule="auto"/>
        <w:ind w:firstLine="420" w:firstLineChars="200"/>
        <w:rPr>
          <w:rFonts w:hint="eastAsia" w:ascii="宋体" w:hAnsi="宋体" w:cs="宋体"/>
          <w:color w:val="auto"/>
          <w:szCs w:val="22"/>
          <w:highlight w:val="none"/>
        </w:rPr>
      </w:pPr>
    </w:p>
    <w:p>
      <w:pPr>
        <w:pStyle w:val="5"/>
        <w:numPr>
          <w:ilvl w:val="0"/>
          <w:numId w:val="19"/>
        </w:numPr>
        <w:spacing w:before="120" w:after="120" w:line="360" w:lineRule="auto"/>
        <w:rPr>
          <w:rFonts w:hint="eastAsia" w:ascii="宋体" w:hAnsi="宋体" w:cs="宋体"/>
          <w:color w:val="auto"/>
          <w:sz w:val="28"/>
          <w:szCs w:val="28"/>
          <w:highlight w:val="none"/>
        </w:rPr>
      </w:pPr>
      <w:bookmarkStart w:id="253" w:name="_Toc16705_WPSOffice_Level1"/>
      <w:bookmarkStart w:id="254" w:name="_Toc4691_WPSOffice_Level1"/>
      <w:bookmarkStart w:id="255" w:name="_Toc477185977"/>
      <w:bookmarkStart w:id="256" w:name="_Toc476177440"/>
      <w:bookmarkStart w:id="257" w:name="_Toc477186338"/>
      <w:bookmarkStart w:id="258" w:name="_Toc476178000"/>
      <w:bookmarkStart w:id="259" w:name="_Toc22791_WPSOffice_Level1"/>
      <w:bookmarkStart w:id="260" w:name="_Toc29737"/>
      <w:r>
        <w:rPr>
          <w:rFonts w:hint="eastAsia" w:ascii="宋体" w:hAnsi="宋体" w:cs="宋体"/>
          <w:color w:val="auto"/>
          <w:sz w:val="28"/>
          <w:szCs w:val="28"/>
          <w:highlight w:val="none"/>
        </w:rPr>
        <w:t>评标委员会</w:t>
      </w:r>
      <w:bookmarkEnd w:id="253"/>
      <w:bookmarkEnd w:id="254"/>
      <w:bookmarkEnd w:id="255"/>
      <w:bookmarkEnd w:id="256"/>
      <w:bookmarkEnd w:id="257"/>
      <w:bookmarkEnd w:id="258"/>
      <w:bookmarkEnd w:id="259"/>
      <w:bookmarkEnd w:id="260"/>
    </w:p>
    <w:p>
      <w:pPr>
        <w:numPr>
          <w:ilvl w:val="1"/>
          <w:numId w:val="19"/>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招标人和招标代理依照《中华人民共和国招投标法》、《中华人民共和国招标投标法实施条例》组建本项目评标委员会。评标委员会成员由技术、经济等方面的专家共5人组成。评标委员会成员享有同等的表决权。</w:t>
      </w:r>
    </w:p>
    <w:p>
      <w:pPr>
        <w:numPr>
          <w:ilvl w:val="1"/>
          <w:numId w:val="19"/>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评标委员会依据招标文件的规定对各投标文件进行评审，得出评标结果，提交评标报告。</w:t>
      </w:r>
    </w:p>
    <w:p>
      <w:pPr>
        <w:numPr>
          <w:ilvl w:val="1"/>
          <w:numId w:val="19"/>
        </w:numPr>
        <w:tabs>
          <w:tab w:val="left" w:pos="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评标委员会经评审，认为所有投标都不符合招标文件要求的，可以否决所有投标。</w:t>
      </w:r>
    </w:p>
    <w:p>
      <w:pPr>
        <w:spacing w:line="360" w:lineRule="auto"/>
        <w:rPr>
          <w:rFonts w:hint="eastAsia" w:ascii="宋体" w:hAnsi="宋体" w:cs="宋体"/>
          <w:color w:val="auto"/>
          <w:highlight w:val="none"/>
        </w:rPr>
      </w:pPr>
    </w:p>
    <w:p>
      <w:pPr>
        <w:pStyle w:val="5"/>
        <w:numPr>
          <w:ilvl w:val="0"/>
          <w:numId w:val="19"/>
        </w:numPr>
        <w:spacing w:before="120" w:after="120" w:line="360" w:lineRule="auto"/>
        <w:rPr>
          <w:rFonts w:hint="eastAsia" w:ascii="宋体" w:hAnsi="宋体" w:cs="宋体"/>
          <w:color w:val="auto"/>
          <w:sz w:val="28"/>
          <w:szCs w:val="28"/>
          <w:highlight w:val="none"/>
        </w:rPr>
      </w:pPr>
      <w:bookmarkStart w:id="261" w:name="_Toc5758"/>
      <w:bookmarkStart w:id="262" w:name="_Toc99012606"/>
      <w:bookmarkStart w:id="263" w:name="_Toc476177441"/>
      <w:bookmarkStart w:id="264" w:name="_Toc477186339"/>
      <w:bookmarkStart w:id="265" w:name="_Toc476178001"/>
      <w:bookmarkStart w:id="266" w:name="_Toc29107_WPSOffice_Level1"/>
      <w:bookmarkStart w:id="267" w:name="_Toc477185978"/>
      <w:bookmarkStart w:id="268" w:name="_Toc16947_WPSOffice_Level1"/>
      <w:bookmarkStart w:id="269" w:name="_Toc16217_WPSOffice_Level1"/>
      <w:r>
        <w:rPr>
          <w:rFonts w:hint="eastAsia" w:ascii="宋体" w:hAnsi="宋体" w:cs="宋体"/>
          <w:color w:val="auto"/>
          <w:sz w:val="28"/>
          <w:szCs w:val="28"/>
          <w:highlight w:val="none"/>
        </w:rPr>
        <w:t>投标文件的澄清</w:t>
      </w:r>
      <w:bookmarkEnd w:id="261"/>
      <w:bookmarkEnd w:id="262"/>
      <w:bookmarkEnd w:id="263"/>
      <w:bookmarkEnd w:id="264"/>
      <w:bookmarkEnd w:id="265"/>
      <w:bookmarkEnd w:id="266"/>
      <w:bookmarkEnd w:id="267"/>
      <w:bookmarkEnd w:id="268"/>
      <w:bookmarkEnd w:id="269"/>
    </w:p>
    <w:p>
      <w:pPr>
        <w:numPr>
          <w:ilvl w:val="1"/>
          <w:numId w:val="19"/>
        </w:numPr>
        <w:tabs>
          <w:tab w:val="left" w:pos="0"/>
          <w:tab w:val="left" w:pos="420"/>
          <w:tab w:val="left" w:pos="63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除评标委员会主动要求澄清外，从</w:t>
      </w:r>
      <w:r>
        <w:rPr>
          <w:rFonts w:hint="eastAsia" w:ascii="宋体" w:hAnsi="宋体" w:cs="宋体"/>
          <w:color w:val="auto"/>
          <w:highlight w:val="none"/>
          <w:lang w:eastAsia="zh-CN"/>
        </w:rPr>
        <w:t>投标截止</w:t>
      </w:r>
      <w:r>
        <w:rPr>
          <w:rFonts w:hint="eastAsia" w:ascii="宋体" w:hAnsi="宋体" w:cs="宋体"/>
          <w:color w:val="auto"/>
          <w:highlight w:val="none"/>
        </w:rPr>
        <w:t>后至授予合同期间，任何</w:t>
      </w:r>
      <w:r>
        <w:rPr>
          <w:rFonts w:hint="eastAsia" w:ascii="宋体" w:hAnsi="宋体" w:cs="宋体"/>
          <w:color w:val="auto"/>
          <w:highlight w:val="none"/>
          <w:lang w:eastAsia="zh-CN"/>
        </w:rPr>
        <w:t>供应商</w:t>
      </w:r>
      <w:r>
        <w:rPr>
          <w:rFonts w:hint="eastAsia" w:ascii="宋体" w:hAnsi="宋体" w:cs="宋体"/>
          <w:color w:val="auto"/>
          <w:highlight w:val="none"/>
        </w:rPr>
        <w:t>均不得就与其投标相关的任何问题与评标委员会联系。</w:t>
      </w:r>
    </w:p>
    <w:p>
      <w:pPr>
        <w:numPr>
          <w:ilvl w:val="1"/>
          <w:numId w:val="19"/>
        </w:numPr>
        <w:tabs>
          <w:tab w:val="left" w:pos="0"/>
          <w:tab w:val="left" w:pos="420"/>
          <w:tab w:val="left" w:pos="630"/>
          <w:tab w:val="left" w:pos="840"/>
          <w:tab w:val="clear" w:pos="567"/>
        </w:tabs>
        <w:spacing w:line="360" w:lineRule="auto"/>
        <w:ind w:left="0" w:firstLine="420"/>
        <w:rPr>
          <w:rFonts w:hint="eastAsia" w:ascii="宋体" w:hAnsi="宋体" w:cs="宋体"/>
          <w:color w:val="auto"/>
          <w:highlight w:val="none"/>
        </w:rPr>
      </w:pPr>
      <w:r>
        <w:rPr>
          <w:rFonts w:hint="eastAsia" w:ascii="宋体" w:hAnsi="宋体" w:cs="宋体"/>
          <w:color w:val="auto"/>
          <w:highlight w:val="none"/>
        </w:rPr>
        <w:t>为有利评标，在</w:t>
      </w:r>
      <w:r>
        <w:rPr>
          <w:rFonts w:hint="eastAsia" w:ascii="宋体" w:hAnsi="宋体" w:cs="宋体"/>
          <w:color w:val="auto"/>
          <w:highlight w:val="none"/>
          <w:lang w:eastAsia="zh-CN"/>
        </w:rPr>
        <w:t>投标截止</w:t>
      </w:r>
      <w:r>
        <w:rPr>
          <w:rFonts w:hint="eastAsia" w:ascii="宋体" w:hAnsi="宋体" w:cs="宋体"/>
          <w:color w:val="auto"/>
          <w:highlight w:val="none"/>
        </w:rPr>
        <w:t>后，可随时请</w:t>
      </w:r>
      <w:r>
        <w:rPr>
          <w:rFonts w:hint="eastAsia" w:ascii="宋体" w:hAnsi="宋体" w:cs="宋体"/>
          <w:color w:val="auto"/>
          <w:highlight w:val="none"/>
          <w:lang w:eastAsia="zh-CN"/>
        </w:rPr>
        <w:t>供应商</w:t>
      </w:r>
      <w:r>
        <w:rPr>
          <w:rFonts w:hint="eastAsia" w:ascii="宋体" w:hAnsi="宋体" w:cs="宋体"/>
          <w:color w:val="auto"/>
          <w:highlight w:val="none"/>
        </w:rPr>
        <w:t>就投标文件中某点加以澄清，澄清的内容不得对投标文件作实质性修改。以书面形式表达并加盖公章的答复经评标委员会认可后，可作为投标文件的一部分参与评标。</w:t>
      </w:r>
    </w:p>
    <w:p>
      <w:pPr>
        <w:spacing w:line="360" w:lineRule="auto"/>
        <w:rPr>
          <w:rFonts w:hint="eastAsia" w:ascii="宋体" w:hAnsi="宋体" w:cs="宋体"/>
          <w:color w:val="auto"/>
          <w:highlight w:val="none"/>
        </w:rPr>
      </w:pPr>
    </w:p>
    <w:p>
      <w:pPr>
        <w:pStyle w:val="5"/>
        <w:numPr>
          <w:ilvl w:val="0"/>
          <w:numId w:val="19"/>
        </w:numPr>
        <w:spacing w:before="120" w:after="120" w:line="360" w:lineRule="auto"/>
        <w:rPr>
          <w:rFonts w:hint="eastAsia" w:ascii="宋体" w:hAnsi="宋体" w:cs="宋体"/>
          <w:color w:val="auto"/>
          <w:sz w:val="28"/>
          <w:szCs w:val="28"/>
          <w:highlight w:val="none"/>
        </w:rPr>
      </w:pPr>
      <w:bookmarkStart w:id="270" w:name="_Toc99012607"/>
      <w:bookmarkStart w:id="271" w:name="_Toc477185979"/>
      <w:bookmarkStart w:id="272" w:name="_Toc1722_WPSOffice_Level1"/>
      <w:bookmarkStart w:id="273" w:name="_Toc13231_WPSOffice_Level1"/>
      <w:bookmarkStart w:id="274" w:name="_Toc477186340"/>
      <w:bookmarkStart w:id="275" w:name="_Toc26707_WPSOffice_Level1"/>
      <w:bookmarkStart w:id="276" w:name="_Toc476177442"/>
      <w:bookmarkStart w:id="277" w:name="_Toc476178002"/>
      <w:bookmarkStart w:id="278" w:name="_Toc1790"/>
      <w:r>
        <w:rPr>
          <w:rFonts w:hint="eastAsia" w:ascii="宋体" w:hAnsi="宋体" w:cs="宋体"/>
          <w:color w:val="auto"/>
          <w:sz w:val="28"/>
          <w:szCs w:val="28"/>
          <w:highlight w:val="none"/>
        </w:rPr>
        <w:t>评标原则和评标办法</w:t>
      </w:r>
      <w:bookmarkEnd w:id="270"/>
      <w:bookmarkEnd w:id="271"/>
      <w:bookmarkEnd w:id="272"/>
      <w:bookmarkEnd w:id="273"/>
      <w:bookmarkEnd w:id="274"/>
      <w:bookmarkEnd w:id="275"/>
      <w:bookmarkEnd w:id="276"/>
      <w:bookmarkEnd w:id="277"/>
      <w:bookmarkEnd w:id="278"/>
    </w:p>
    <w:p>
      <w:pPr>
        <w:numPr>
          <w:ilvl w:val="1"/>
          <w:numId w:val="19"/>
        </w:numPr>
        <w:tabs>
          <w:tab w:val="left" w:pos="0"/>
          <w:tab w:val="left" w:pos="420"/>
          <w:tab w:val="left" w:pos="630"/>
          <w:tab w:val="left" w:pos="840"/>
          <w:tab w:val="clear" w:pos="567"/>
        </w:tabs>
        <w:spacing w:line="360" w:lineRule="auto"/>
        <w:ind w:left="0" w:firstLine="420"/>
        <w:rPr>
          <w:rFonts w:ascii="宋体" w:hAnsi="宋体"/>
          <w:color w:val="auto"/>
          <w:highlight w:val="none"/>
        </w:rPr>
      </w:pPr>
      <w:bookmarkStart w:id="279" w:name="_Toc173140973"/>
      <w:bookmarkStart w:id="280" w:name="_Toc173256012"/>
      <w:bookmarkStart w:id="281" w:name="_Toc173262603"/>
      <w:r>
        <w:rPr>
          <w:rFonts w:ascii="宋体" w:hAnsi="宋体"/>
          <w:color w:val="auto"/>
          <w:highlight w:val="none"/>
        </w:rPr>
        <w:t>评标工作应依据《中华人民共和国招标投标法》</w:t>
      </w:r>
      <w:r>
        <w:rPr>
          <w:rFonts w:hint="eastAsia" w:ascii="宋体" w:hAnsi="宋体"/>
          <w:color w:val="auto"/>
          <w:highlight w:val="none"/>
        </w:rPr>
        <w:t>《中华人民共和国招标投标法实施条例》</w:t>
      </w:r>
      <w:r>
        <w:rPr>
          <w:rFonts w:ascii="宋体" w:hAnsi="宋体"/>
          <w:color w:val="auto"/>
          <w:highlight w:val="none"/>
        </w:rPr>
        <w:t>以及《评标委员会和评标方法暂行规定》以及国家和地方政府有关招标投标法规、实施办法的有关规定，遵循“公平、公正、科学、择优”的原则进行评标。</w:t>
      </w:r>
    </w:p>
    <w:p>
      <w:pPr>
        <w:numPr>
          <w:ilvl w:val="1"/>
          <w:numId w:val="19"/>
        </w:numPr>
        <w:tabs>
          <w:tab w:val="left" w:pos="0"/>
          <w:tab w:val="left" w:pos="420"/>
          <w:tab w:val="left" w:pos="630"/>
          <w:tab w:val="left" w:pos="840"/>
          <w:tab w:val="clear" w:pos="567"/>
        </w:tabs>
        <w:spacing w:line="360" w:lineRule="auto"/>
        <w:ind w:left="0" w:firstLine="420"/>
        <w:rPr>
          <w:rFonts w:ascii="宋体" w:hAnsi="宋体"/>
          <w:color w:val="auto"/>
          <w:highlight w:val="none"/>
        </w:rPr>
      </w:pPr>
      <w:r>
        <w:rPr>
          <w:rFonts w:ascii="宋体" w:hAnsi="宋体"/>
          <w:color w:val="auto"/>
          <w:highlight w:val="none"/>
        </w:rPr>
        <w:t>本次招标采用综合评分法，即评标委员会对各投标进行综合评价，根据评标细则的规定分别进行打分，统计得出评标结果，将评标结果写出评标报告。所有的评审资料及评分结果统计均须经评标委员会核实并签名确认。</w:t>
      </w:r>
    </w:p>
    <w:p>
      <w:pPr>
        <w:numPr>
          <w:ilvl w:val="1"/>
          <w:numId w:val="19"/>
        </w:numPr>
        <w:tabs>
          <w:tab w:val="left" w:pos="945"/>
        </w:tabs>
        <w:spacing w:line="360" w:lineRule="auto"/>
        <w:ind w:left="0" w:firstLine="525" w:firstLineChars="250"/>
        <w:rPr>
          <w:rFonts w:ascii="宋体" w:hAnsi="宋体"/>
          <w:color w:val="auto"/>
          <w:highlight w:val="none"/>
        </w:rPr>
      </w:pPr>
      <w:r>
        <w:rPr>
          <w:rFonts w:ascii="宋体" w:hAnsi="宋体"/>
          <w:color w:val="auto"/>
          <w:highlight w:val="none"/>
        </w:rPr>
        <w:t>评标委员会将按照规定只对通过初步评审的投标文件进行评价和比较。评标委员会有权根据有关规定否决所有投标。评标委员会不直接向落标方解释落标原因，不退回投标文件。</w:t>
      </w:r>
    </w:p>
    <w:p>
      <w:pPr>
        <w:numPr>
          <w:ilvl w:val="1"/>
          <w:numId w:val="19"/>
        </w:numPr>
        <w:tabs>
          <w:tab w:val="left" w:pos="945"/>
        </w:tabs>
        <w:spacing w:line="360" w:lineRule="auto"/>
        <w:ind w:left="0" w:firstLine="525" w:firstLineChars="250"/>
        <w:rPr>
          <w:rFonts w:ascii="宋体" w:hAnsi="宋体"/>
          <w:color w:val="auto"/>
          <w:highlight w:val="none"/>
        </w:rPr>
      </w:pPr>
      <w:r>
        <w:rPr>
          <w:rFonts w:ascii="宋体" w:hAnsi="宋体"/>
          <w:color w:val="auto"/>
          <w:highlight w:val="none"/>
        </w:rPr>
        <w:t>评标方法</w:t>
      </w:r>
    </w:p>
    <w:p>
      <w:pPr>
        <w:tabs>
          <w:tab w:val="left" w:pos="945"/>
        </w:tabs>
        <w:spacing w:line="360" w:lineRule="auto"/>
        <w:ind w:firstLine="525" w:firstLineChars="250"/>
        <w:rPr>
          <w:rFonts w:ascii="宋体" w:hAnsi="宋体"/>
          <w:b/>
          <w:color w:val="auto"/>
          <w:highlight w:val="none"/>
        </w:rPr>
      </w:pPr>
      <w:r>
        <w:rPr>
          <w:rFonts w:ascii="宋体" w:hAnsi="宋体"/>
          <w:color w:val="auto"/>
          <w:highlight w:val="none"/>
        </w:rPr>
        <w:t>5.4.1  本评标办法采用综合评分法。</w:t>
      </w:r>
    </w:p>
    <w:p>
      <w:pPr>
        <w:tabs>
          <w:tab w:val="left" w:pos="945"/>
        </w:tabs>
        <w:spacing w:line="360" w:lineRule="auto"/>
        <w:ind w:left="-23" w:leftChars="-11" w:firstLine="527" w:firstLineChars="250"/>
        <w:rPr>
          <w:rFonts w:hint="eastAsia" w:ascii="宋体" w:hAnsi="宋体"/>
          <w:color w:val="auto"/>
          <w:highlight w:val="none"/>
        </w:rPr>
      </w:pPr>
      <w:r>
        <w:rPr>
          <w:rFonts w:ascii="宋体" w:hAnsi="宋体"/>
          <w:b/>
          <w:bCs/>
          <w:color w:val="auto"/>
          <w:highlight w:val="none"/>
        </w:rPr>
        <w:t>5.4.2  评标步骤：先进行</w:t>
      </w:r>
      <w:r>
        <w:rPr>
          <w:rFonts w:hint="eastAsia" w:ascii="宋体" w:hAnsi="宋体"/>
          <w:b/>
          <w:bCs/>
          <w:color w:val="auto"/>
          <w:highlight w:val="none"/>
          <w:lang w:eastAsia="zh-CN"/>
        </w:rPr>
        <w:t>符合性审查（阶段一）</w:t>
      </w:r>
      <w:r>
        <w:rPr>
          <w:rFonts w:ascii="宋体" w:hAnsi="宋体"/>
          <w:b/>
          <w:bCs/>
          <w:color w:val="auto"/>
          <w:highlight w:val="none"/>
        </w:rPr>
        <w:t>(见附表1)，再进行技术商务的详细评审。只有通过</w:t>
      </w:r>
      <w:r>
        <w:rPr>
          <w:rFonts w:hint="eastAsia" w:ascii="宋体" w:hAnsi="宋体"/>
          <w:b/>
          <w:bCs/>
          <w:color w:val="auto"/>
          <w:highlight w:val="none"/>
          <w:lang w:val="en-US" w:eastAsia="zh-CN"/>
        </w:rPr>
        <w:t>符合性审查（阶段一）</w:t>
      </w:r>
      <w:r>
        <w:rPr>
          <w:rFonts w:ascii="宋体" w:hAnsi="宋体"/>
          <w:b/>
          <w:bCs/>
          <w:color w:val="auto"/>
          <w:highlight w:val="none"/>
        </w:rPr>
        <w:t>的投标才能进入</w:t>
      </w:r>
      <w:r>
        <w:rPr>
          <w:rFonts w:hint="eastAsia" w:ascii="宋体" w:hAnsi="宋体"/>
          <w:b/>
          <w:bCs/>
          <w:color w:val="auto"/>
          <w:highlight w:val="none"/>
        </w:rPr>
        <w:t>商务和技术的</w:t>
      </w:r>
      <w:r>
        <w:rPr>
          <w:rFonts w:ascii="宋体" w:hAnsi="宋体"/>
          <w:b/>
          <w:bCs/>
          <w:color w:val="auto"/>
          <w:highlight w:val="none"/>
        </w:rPr>
        <w:t>详细评审。</w:t>
      </w:r>
    </w:p>
    <w:p>
      <w:pPr>
        <w:tabs>
          <w:tab w:val="left" w:pos="945"/>
        </w:tabs>
        <w:spacing w:line="360" w:lineRule="auto"/>
        <w:ind w:left="-23" w:leftChars="-11" w:firstLine="527" w:firstLineChars="250"/>
        <w:rPr>
          <w:rFonts w:ascii="宋体" w:hAnsi="宋体"/>
          <w:color w:val="auto"/>
          <w:highlight w:val="none"/>
        </w:rPr>
      </w:pPr>
      <w:r>
        <w:rPr>
          <w:rFonts w:ascii="宋体" w:hAnsi="宋体"/>
          <w:b/>
          <w:bCs/>
          <w:color w:val="auto"/>
          <w:highlight w:val="none"/>
        </w:rPr>
        <w:t xml:space="preserve">5.4.3  </w:t>
      </w:r>
      <w:r>
        <w:rPr>
          <w:rFonts w:hint="eastAsia" w:ascii="宋体" w:hAnsi="宋体"/>
          <w:b/>
          <w:bCs/>
          <w:color w:val="auto"/>
          <w:highlight w:val="none"/>
        </w:rPr>
        <w:t>若子包1通过</w:t>
      </w:r>
      <w:r>
        <w:rPr>
          <w:rFonts w:hint="eastAsia" w:ascii="宋体" w:hAnsi="宋体"/>
          <w:b/>
          <w:bCs/>
          <w:color w:val="auto"/>
          <w:highlight w:val="none"/>
          <w:lang w:eastAsia="zh-CN"/>
        </w:rPr>
        <w:t>符合性审查（阶段一）</w:t>
      </w:r>
      <w:r>
        <w:rPr>
          <w:rFonts w:hint="eastAsia" w:ascii="宋体" w:hAnsi="宋体"/>
          <w:b/>
          <w:bCs/>
          <w:color w:val="auto"/>
          <w:highlight w:val="none"/>
        </w:rPr>
        <w:t>的</w:t>
      </w:r>
      <w:r>
        <w:rPr>
          <w:rFonts w:hint="eastAsia" w:ascii="宋体" w:hAnsi="宋体"/>
          <w:b/>
          <w:bCs/>
          <w:color w:val="auto"/>
          <w:highlight w:val="none"/>
          <w:lang w:eastAsia="zh-CN"/>
        </w:rPr>
        <w:t>供应商</w:t>
      </w:r>
      <w:r>
        <w:rPr>
          <w:rFonts w:hint="eastAsia" w:ascii="宋体" w:hAnsi="宋体"/>
          <w:b/>
          <w:bCs/>
          <w:color w:val="auto"/>
          <w:highlight w:val="none"/>
        </w:rPr>
        <w:t>不足</w:t>
      </w:r>
      <w:r>
        <w:rPr>
          <w:rFonts w:hint="eastAsia" w:ascii="宋体" w:hAnsi="宋体"/>
          <w:b/>
          <w:bCs/>
          <w:color w:val="auto"/>
          <w:highlight w:val="none"/>
          <w:lang w:val="en-US" w:eastAsia="zh-CN"/>
        </w:rPr>
        <w:t>6</w:t>
      </w:r>
      <w:r>
        <w:rPr>
          <w:rFonts w:hint="eastAsia" w:ascii="宋体" w:hAnsi="宋体"/>
          <w:b/>
          <w:bCs/>
          <w:color w:val="auto"/>
          <w:highlight w:val="none"/>
        </w:rPr>
        <w:t>家，子包</w:t>
      </w:r>
      <w:r>
        <w:rPr>
          <w:rFonts w:hint="eastAsia" w:ascii="宋体" w:hAnsi="宋体"/>
          <w:b/>
          <w:bCs/>
          <w:color w:val="auto"/>
          <w:highlight w:val="none"/>
          <w:lang w:val="en-US" w:eastAsia="zh-CN"/>
        </w:rPr>
        <w:t>2</w:t>
      </w:r>
      <w:r>
        <w:rPr>
          <w:rFonts w:hint="eastAsia" w:ascii="宋体" w:hAnsi="宋体"/>
          <w:b/>
          <w:bCs/>
          <w:color w:val="auto"/>
          <w:highlight w:val="none"/>
        </w:rPr>
        <w:t>通过</w:t>
      </w:r>
      <w:r>
        <w:rPr>
          <w:rFonts w:hint="eastAsia" w:ascii="宋体" w:hAnsi="宋体"/>
          <w:b/>
          <w:bCs/>
          <w:color w:val="auto"/>
          <w:highlight w:val="none"/>
          <w:lang w:eastAsia="zh-CN"/>
        </w:rPr>
        <w:t>符合性审查（阶段一）</w:t>
      </w:r>
      <w:r>
        <w:rPr>
          <w:rFonts w:hint="eastAsia" w:ascii="宋体" w:hAnsi="宋体"/>
          <w:b/>
          <w:bCs/>
          <w:color w:val="auto"/>
          <w:highlight w:val="none"/>
        </w:rPr>
        <w:t>的</w:t>
      </w:r>
      <w:r>
        <w:rPr>
          <w:rFonts w:hint="eastAsia" w:ascii="宋体" w:hAnsi="宋体"/>
          <w:b/>
          <w:bCs/>
          <w:color w:val="auto"/>
          <w:highlight w:val="none"/>
          <w:lang w:eastAsia="zh-CN"/>
        </w:rPr>
        <w:t>供应商</w:t>
      </w:r>
      <w:r>
        <w:rPr>
          <w:rFonts w:hint="eastAsia" w:ascii="宋体" w:hAnsi="宋体"/>
          <w:b/>
          <w:bCs/>
          <w:color w:val="auto"/>
          <w:highlight w:val="none"/>
        </w:rPr>
        <w:t>不足</w:t>
      </w:r>
      <w:r>
        <w:rPr>
          <w:rFonts w:hint="eastAsia" w:ascii="宋体" w:hAnsi="宋体"/>
          <w:b/>
          <w:bCs/>
          <w:color w:val="auto"/>
          <w:highlight w:val="none"/>
          <w:lang w:val="en-US" w:eastAsia="zh-CN"/>
        </w:rPr>
        <w:t>5</w:t>
      </w:r>
      <w:r>
        <w:rPr>
          <w:rFonts w:hint="eastAsia" w:ascii="宋体" w:hAnsi="宋体"/>
          <w:b/>
          <w:bCs/>
          <w:color w:val="auto"/>
          <w:highlight w:val="none"/>
        </w:rPr>
        <w:t>家</w:t>
      </w:r>
      <w:r>
        <w:rPr>
          <w:rFonts w:hint="eastAsia" w:ascii="宋体" w:hAnsi="宋体"/>
          <w:b/>
          <w:bCs/>
          <w:color w:val="auto"/>
          <w:highlight w:val="none"/>
          <w:lang w:eastAsia="zh-CN"/>
        </w:rPr>
        <w:t>，</w:t>
      </w:r>
      <w:r>
        <w:rPr>
          <w:rFonts w:hint="eastAsia" w:ascii="宋体" w:hAnsi="宋体"/>
          <w:b/>
          <w:bCs/>
          <w:color w:val="auto"/>
          <w:highlight w:val="none"/>
        </w:rPr>
        <w:t>则</w:t>
      </w:r>
      <w:r>
        <w:rPr>
          <w:rFonts w:hint="eastAsia" w:ascii="宋体" w:hAnsi="宋体"/>
          <w:b/>
          <w:bCs/>
          <w:color w:val="auto"/>
          <w:highlight w:val="none"/>
          <w:lang w:val="en-US" w:eastAsia="zh-CN"/>
        </w:rPr>
        <w:t>对应子包</w:t>
      </w:r>
      <w:r>
        <w:rPr>
          <w:rFonts w:hint="eastAsia" w:ascii="宋体" w:hAnsi="宋体"/>
          <w:b/>
          <w:bCs/>
          <w:color w:val="auto"/>
          <w:highlight w:val="none"/>
        </w:rPr>
        <w:t>招标失败。</w:t>
      </w:r>
    </w:p>
    <w:p>
      <w:pPr>
        <w:tabs>
          <w:tab w:val="left" w:pos="945"/>
        </w:tabs>
        <w:spacing w:line="360" w:lineRule="auto"/>
        <w:ind w:left="-23" w:leftChars="-11" w:firstLine="525" w:firstLineChars="250"/>
        <w:rPr>
          <w:rFonts w:hint="eastAsia" w:ascii="宋体" w:hAnsi="宋体"/>
          <w:color w:val="auto"/>
          <w:highlight w:val="none"/>
        </w:rPr>
      </w:pPr>
      <w:r>
        <w:rPr>
          <w:rFonts w:hint="eastAsia" w:ascii="宋体" w:hAnsi="宋体"/>
          <w:color w:val="auto"/>
          <w:highlight w:val="none"/>
        </w:rPr>
        <w:t>5.4.4  商务和技术的</w:t>
      </w:r>
      <w:r>
        <w:rPr>
          <w:rFonts w:ascii="宋体" w:hAnsi="宋体"/>
          <w:color w:val="auto"/>
          <w:highlight w:val="none"/>
        </w:rPr>
        <w:t>评分及其统计：按照评标程序、评分标准以及权重分配的规定，评标委员会各成员分别首先就各个</w:t>
      </w:r>
      <w:r>
        <w:rPr>
          <w:rFonts w:hint="eastAsia" w:ascii="宋体" w:hAnsi="宋体"/>
          <w:color w:val="auto"/>
          <w:highlight w:val="none"/>
          <w:lang w:eastAsia="zh-CN"/>
        </w:rPr>
        <w:t>供应商</w:t>
      </w:r>
      <w:r>
        <w:rPr>
          <w:rFonts w:ascii="宋体" w:hAnsi="宋体"/>
          <w:color w:val="auto"/>
          <w:highlight w:val="none"/>
        </w:rPr>
        <w:t>的技术</w:t>
      </w:r>
      <w:r>
        <w:rPr>
          <w:rFonts w:hint="eastAsia" w:ascii="宋体" w:hAnsi="宋体"/>
          <w:color w:val="auto"/>
          <w:highlight w:val="none"/>
        </w:rPr>
        <w:t>、</w:t>
      </w:r>
      <w:r>
        <w:rPr>
          <w:rFonts w:ascii="宋体" w:hAnsi="宋体"/>
          <w:color w:val="auto"/>
          <w:highlight w:val="none"/>
        </w:rPr>
        <w:t>商务状况及其对招标文件要求的响应情况进行评议和比较，评出其技术评分和商务评分</w:t>
      </w:r>
      <w:r>
        <w:rPr>
          <w:rFonts w:hint="eastAsia" w:ascii="宋体" w:hAnsi="宋体"/>
          <w:color w:val="auto"/>
          <w:highlight w:val="none"/>
        </w:rPr>
        <w:t>。</w:t>
      </w:r>
    </w:p>
    <w:p>
      <w:pPr>
        <w:tabs>
          <w:tab w:val="left" w:pos="945"/>
        </w:tabs>
        <w:spacing w:line="360" w:lineRule="auto"/>
        <w:ind w:left="-23" w:leftChars="-11" w:firstLine="525" w:firstLineChars="250"/>
        <w:rPr>
          <w:rFonts w:hint="eastAsia" w:ascii="宋体" w:hAnsi="宋体"/>
          <w:color w:val="auto"/>
          <w:highlight w:val="none"/>
        </w:rPr>
      </w:pPr>
      <w:r>
        <w:rPr>
          <w:rFonts w:ascii="宋体" w:hAnsi="宋体"/>
          <w:color w:val="auto"/>
          <w:highlight w:val="none"/>
        </w:rPr>
        <w:t>5.4.</w:t>
      </w:r>
      <w:r>
        <w:rPr>
          <w:rFonts w:hint="eastAsia" w:ascii="宋体" w:hAnsi="宋体"/>
          <w:color w:val="auto"/>
          <w:highlight w:val="none"/>
        </w:rPr>
        <w:t>5</w:t>
      </w:r>
      <w:r>
        <w:rPr>
          <w:rFonts w:ascii="宋体" w:hAnsi="宋体"/>
          <w:color w:val="auto"/>
          <w:highlight w:val="none"/>
        </w:rPr>
        <w:t xml:space="preserve">  技术评分</w:t>
      </w:r>
      <w:r>
        <w:rPr>
          <w:rFonts w:hint="eastAsia" w:ascii="宋体" w:hAnsi="宋体"/>
          <w:color w:val="auto"/>
          <w:highlight w:val="none"/>
        </w:rPr>
        <w:t>：</w:t>
      </w:r>
      <w:r>
        <w:rPr>
          <w:rFonts w:ascii="宋体" w:hAnsi="宋体"/>
          <w:color w:val="auto"/>
          <w:highlight w:val="none"/>
        </w:rPr>
        <w:t>汇集每一位评委的评分，进行算术平均，得出该</w:t>
      </w:r>
      <w:r>
        <w:rPr>
          <w:rFonts w:hint="eastAsia" w:ascii="宋体" w:hAnsi="宋体"/>
          <w:color w:val="auto"/>
          <w:highlight w:val="none"/>
          <w:lang w:eastAsia="zh-CN"/>
        </w:rPr>
        <w:t>供应商</w:t>
      </w:r>
      <w:r>
        <w:rPr>
          <w:rFonts w:ascii="宋体" w:hAnsi="宋体"/>
          <w:color w:val="auto"/>
          <w:highlight w:val="none"/>
        </w:rPr>
        <w:t>的</w:t>
      </w:r>
      <w:r>
        <w:rPr>
          <w:rFonts w:hint="eastAsia" w:ascii="宋体" w:hAnsi="宋体"/>
          <w:color w:val="auto"/>
          <w:highlight w:val="none"/>
        </w:rPr>
        <w:t>技术</w:t>
      </w:r>
      <w:r>
        <w:rPr>
          <w:rFonts w:ascii="宋体" w:hAnsi="宋体"/>
          <w:color w:val="auto"/>
          <w:highlight w:val="none"/>
        </w:rPr>
        <w:t>得分</w:t>
      </w:r>
      <w:r>
        <w:rPr>
          <w:rFonts w:hint="eastAsia" w:ascii="宋体" w:hAnsi="宋体"/>
          <w:color w:val="auto"/>
          <w:highlight w:val="none"/>
        </w:rPr>
        <w:t>（四舍五入，取小数点后两位）。</w:t>
      </w:r>
    </w:p>
    <w:p>
      <w:pPr>
        <w:tabs>
          <w:tab w:val="left" w:pos="945"/>
        </w:tabs>
        <w:spacing w:line="360" w:lineRule="auto"/>
        <w:ind w:left="-23" w:leftChars="-11" w:firstLine="525" w:firstLineChars="250"/>
        <w:rPr>
          <w:rFonts w:hint="eastAsia" w:ascii="宋体" w:hAnsi="宋体"/>
          <w:b w:val="0"/>
          <w:bCs w:val="0"/>
          <w:color w:val="auto"/>
          <w:highlight w:val="none"/>
        </w:rPr>
      </w:pPr>
      <w:r>
        <w:rPr>
          <w:rFonts w:ascii="宋体" w:hAnsi="宋体"/>
          <w:b w:val="0"/>
          <w:bCs w:val="0"/>
          <w:color w:val="auto"/>
          <w:highlight w:val="none"/>
        </w:rPr>
        <w:t>5.4.</w:t>
      </w:r>
      <w:r>
        <w:rPr>
          <w:rFonts w:hint="eastAsia" w:ascii="宋体" w:hAnsi="宋体"/>
          <w:b w:val="0"/>
          <w:bCs w:val="0"/>
          <w:color w:val="auto"/>
          <w:highlight w:val="none"/>
        </w:rPr>
        <w:t>6</w:t>
      </w:r>
      <w:r>
        <w:rPr>
          <w:rFonts w:ascii="宋体" w:hAnsi="宋体"/>
          <w:b w:val="0"/>
          <w:bCs w:val="0"/>
          <w:color w:val="auto"/>
          <w:highlight w:val="none"/>
        </w:rPr>
        <w:t xml:space="preserve">  商务评分</w:t>
      </w:r>
      <w:r>
        <w:rPr>
          <w:rFonts w:hint="eastAsia" w:ascii="宋体" w:hAnsi="宋体"/>
          <w:b w:val="0"/>
          <w:bCs w:val="0"/>
          <w:color w:val="auto"/>
          <w:highlight w:val="none"/>
        </w:rPr>
        <w:t>：</w:t>
      </w:r>
      <w:r>
        <w:rPr>
          <w:rFonts w:ascii="宋体" w:hAnsi="宋体"/>
          <w:b w:val="0"/>
          <w:bCs w:val="0"/>
          <w:color w:val="auto"/>
          <w:highlight w:val="none"/>
        </w:rPr>
        <w:t>汇集每一位评委的评分，进行算术平均，得出该</w:t>
      </w:r>
      <w:r>
        <w:rPr>
          <w:rFonts w:hint="eastAsia" w:ascii="宋体" w:hAnsi="宋体"/>
          <w:b w:val="0"/>
          <w:bCs w:val="0"/>
          <w:color w:val="auto"/>
          <w:highlight w:val="none"/>
          <w:lang w:eastAsia="zh-CN"/>
        </w:rPr>
        <w:t>供应商</w:t>
      </w:r>
      <w:r>
        <w:rPr>
          <w:rFonts w:ascii="宋体" w:hAnsi="宋体"/>
          <w:b w:val="0"/>
          <w:bCs w:val="0"/>
          <w:color w:val="auto"/>
          <w:highlight w:val="none"/>
        </w:rPr>
        <w:t>的</w:t>
      </w:r>
      <w:r>
        <w:rPr>
          <w:rFonts w:hint="eastAsia" w:ascii="宋体" w:hAnsi="宋体"/>
          <w:b w:val="0"/>
          <w:bCs w:val="0"/>
          <w:color w:val="auto"/>
          <w:highlight w:val="none"/>
        </w:rPr>
        <w:t>商务</w:t>
      </w:r>
      <w:r>
        <w:rPr>
          <w:rFonts w:ascii="宋体" w:hAnsi="宋体"/>
          <w:b w:val="0"/>
          <w:bCs w:val="0"/>
          <w:color w:val="auto"/>
          <w:highlight w:val="none"/>
        </w:rPr>
        <w:t>得分</w:t>
      </w:r>
      <w:r>
        <w:rPr>
          <w:rFonts w:hint="eastAsia" w:ascii="宋体" w:hAnsi="宋体"/>
          <w:b w:val="0"/>
          <w:bCs w:val="0"/>
          <w:color w:val="auto"/>
          <w:highlight w:val="none"/>
        </w:rPr>
        <w:t>（四舍五入，取小数点后两位）</w:t>
      </w:r>
    </w:p>
    <w:p>
      <w:pPr>
        <w:tabs>
          <w:tab w:val="left" w:pos="945"/>
        </w:tabs>
        <w:spacing w:line="360" w:lineRule="auto"/>
        <w:ind w:left="-23" w:leftChars="-11" w:firstLine="527" w:firstLineChars="250"/>
        <w:rPr>
          <w:rFonts w:hint="eastAsia" w:ascii="宋体" w:hAnsi="宋体"/>
          <w:b/>
          <w:bCs/>
          <w:highlight w:val="none"/>
        </w:rPr>
      </w:pPr>
      <w:r>
        <w:rPr>
          <w:rFonts w:ascii="宋体" w:hAnsi="宋体"/>
          <w:b/>
          <w:bCs/>
          <w:highlight w:val="none"/>
        </w:rPr>
        <w:t>5.4.</w:t>
      </w:r>
      <w:r>
        <w:rPr>
          <w:rFonts w:hint="eastAsia" w:ascii="宋体" w:hAnsi="宋体"/>
          <w:b/>
          <w:bCs/>
          <w:highlight w:val="none"/>
        </w:rPr>
        <w:t>7</w:t>
      </w:r>
      <w:r>
        <w:rPr>
          <w:rFonts w:ascii="宋体" w:hAnsi="宋体"/>
          <w:b/>
          <w:bCs/>
          <w:highlight w:val="none"/>
        </w:rPr>
        <w:t xml:space="preserve">  </w:t>
      </w:r>
      <w:r>
        <w:rPr>
          <w:rFonts w:hint="eastAsia" w:ascii="宋体" w:hAnsi="宋体"/>
          <w:b/>
          <w:bCs/>
          <w:highlight w:val="none"/>
        </w:rPr>
        <w:t>评标委员会</w:t>
      </w:r>
      <w:r>
        <w:rPr>
          <w:rFonts w:hint="eastAsia" w:ascii="宋体" w:hAnsi="宋体"/>
          <w:b/>
          <w:bCs/>
          <w:highlight w:val="none"/>
          <w:lang w:val="en-US" w:eastAsia="zh-CN"/>
        </w:rPr>
        <w:t>完成</w:t>
      </w:r>
      <w:r>
        <w:rPr>
          <w:rFonts w:hint="eastAsia" w:ascii="宋体" w:hAnsi="宋体"/>
          <w:b/>
          <w:bCs/>
          <w:highlight w:val="none"/>
        </w:rPr>
        <w:t>所有投标人的商务及技术</w:t>
      </w:r>
      <w:r>
        <w:rPr>
          <w:rFonts w:hint="eastAsia" w:ascii="宋体" w:hAnsi="宋体"/>
          <w:b/>
          <w:bCs/>
          <w:highlight w:val="none"/>
          <w:lang w:val="en-US" w:eastAsia="zh-CN"/>
        </w:rPr>
        <w:t>评审</w:t>
      </w:r>
      <w:r>
        <w:rPr>
          <w:rFonts w:hint="eastAsia" w:ascii="宋体" w:hAnsi="宋体"/>
          <w:b/>
          <w:bCs/>
          <w:highlight w:val="none"/>
        </w:rPr>
        <w:t>后，对投标人进行符合性审查（阶段二）</w:t>
      </w:r>
      <w:r>
        <w:rPr>
          <w:rFonts w:ascii="宋体" w:hAnsi="宋体"/>
          <w:b/>
          <w:bCs/>
          <w:highlight w:val="none"/>
        </w:rPr>
        <w:t>(见附表</w:t>
      </w:r>
      <w:r>
        <w:rPr>
          <w:rFonts w:hint="eastAsia" w:ascii="宋体" w:hAnsi="宋体"/>
          <w:b/>
          <w:bCs/>
          <w:highlight w:val="none"/>
        </w:rPr>
        <w:t>4）</w:t>
      </w:r>
      <w:r>
        <w:rPr>
          <w:rFonts w:ascii="宋体" w:hAnsi="宋体"/>
          <w:b/>
          <w:bCs/>
          <w:highlight w:val="none"/>
        </w:rPr>
        <w:t>。</w:t>
      </w:r>
    </w:p>
    <w:p>
      <w:pPr>
        <w:tabs>
          <w:tab w:val="left" w:pos="945"/>
        </w:tabs>
        <w:spacing w:line="360" w:lineRule="auto"/>
        <w:ind w:left="-23" w:leftChars="-11" w:firstLine="527" w:firstLineChars="250"/>
        <w:rPr>
          <w:rFonts w:ascii="宋体" w:hAnsi="宋体"/>
          <w:b/>
          <w:bCs/>
          <w:highlight w:val="none"/>
        </w:rPr>
      </w:pPr>
      <w:r>
        <w:rPr>
          <w:rFonts w:hint="eastAsia" w:ascii="宋体" w:hAnsi="宋体"/>
          <w:b/>
          <w:bCs/>
          <w:highlight w:val="none"/>
        </w:rPr>
        <w:t>5.4.8  若投标人出现商务评分低于商务得分的60%，评标委员会将否决该投标人的所有投标文件。</w:t>
      </w:r>
    </w:p>
    <w:p>
      <w:pPr>
        <w:tabs>
          <w:tab w:val="left" w:pos="945"/>
        </w:tabs>
        <w:spacing w:line="360" w:lineRule="auto"/>
        <w:ind w:left="-23" w:leftChars="-11" w:firstLine="527" w:firstLineChars="250"/>
        <w:rPr>
          <w:rFonts w:ascii="宋体" w:hAnsi="宋体"/>
          <w:b/>
          <w:bCs/>
          <w:highlight w:val="none"/>
        </w:rPr>
      </w:pPr>
      <w:r>
        <w:rPr>
          <w:rFonts w:hint="eastAsia" w:ascii="宋体" w:hAnsi="宋体"/>
          <w:b/>
          <w:bCs/>
          <w:highlight w:val="none"/>
        </w:rPr>
        <w:t xml:space="preserve">5.4.9  </w:t>
      </w:r>
      <w:r>
        <w:rPr>
          <w:rFonts w:hint="eastAsia" w:ascii="宋体" w:hAnsi="宋体"/>
          <w:b/>
          <w:bCs/>
          <w:color w:val="auto"/>
          <w:highlight w:val="none"/>
        </w:rPr>
        <w:t>若子包1通过</w:t>
      </w:r>
      <w:r>
        <w:rPr>
          <w:rFonts w:hint="eastAsia" w:ascii="宋体" w:hAnsi="宋体"/>
          <w:b/>
          <w:bCs/>
          <w:color w:val="auto"/>
          <w:highlight w:val="none"/>
          <w:lang w:eastAsia="zh-CN"/>
        </w:rPr>
        <w:t>符合性审查（阶段</w:t>
      </w:r>
      <w:r>
        <w:rPr>
          <w:rFonts w:hint="eastAsia" w:ascii="宋体" w:hAnsi="宋体"/>
          <w:b/>
          <w:bCs/>
          <w:color w:val="auto"/>
          <w:highlight w:val="none"/>
          <w:lang w:val="en-US" w:eastAsia="zh-CN"/>
        </w:rPr>
        <w:t>二</w:t>
      </w:r>
      <w:r>
        <w:rPr>
          <w:rFonts w:hint="eastAsia" w:ascii="宋体" w:hAnsi="宋体"/>
          <w:b/>
          <w:bCs/>
          <w:color w:val="auto"/>
          <w:highlight w:val="none"/>
          <w:lang w:eastAsia="zh-CN"/>
        </w:rPr>
        <w:t>）</w:t>
      </w:r>
      <w:r>
        <w:rPr>
          <w:rFonts w:hint="eastAsia" w:ascii="宋体" w:hAnsi="宋体"/>
          <w:b/>
          <w:bCs/>
          <w:color w:val="auto"/>
          <w:highlight w:val="none"/>
        </w:rPr>
        <w:t>的</w:t>
      </w:r>
      <w:r>
        <w:rPr>
          <w:rFonts w:hint="eastAsia" w:ascii="宋体" w:hAnsi="宋体"/>
          <w:b/>
          <w:bCs/>
          <w:color w:val="auto"/>
          <w:highlight w:val="none"/>
          <w:lang w:eastAsia="zh-CN"/>
        </w:rPr>
        <w:t>供应商</w:t>
      </w:r>
      <w:r>
        <w:rPr>
          <w:rFonts w:hint="eastAsia" w:ascii="宋体" w:hAnsi="宋体"/>
          <w:b/>
          <w:bCs/>
          <w:color w:val="auto"/>
          <w:highlight w:val="none"/>
        </w:rPr>
        <w:t>不足</w:t>
      </w:r>
      <w:r>
        <w:rPr>
          <w:rFonts w:hint="eastAsia" w:ascii="宋体" w:hAnsi="宋体"/>
          <w:b/>
          <w:bCs/>
          <w:color w:val="auto"/>
          <w:highlight w:val="none"/>
          <w:lang w:val="en-US" w:eastAsia="zh-CN"/>
        </w:rPr>
        <w:t>6</w:t>
      </w:r>
      <w:r>
        <w:rPr>
          <w:rFonts w:hint="eastAsia" w:ascii="宋体" w:hAnsi="宋体"/>
          <w:b/>
          <w:bCs/>
          <w:color w:val="auto"/>
          <w:highlight w:val="none"/>
        </w:rPr>
        <w:t>家，子包</w:t>
      </w:r>
      <w:r>
        <w:rPr>
          <w:rFonts w:hint="eastAsia" w:ascii="宋体" w:hAnsi="宋体"/>
          <w:b/>
          <w:bCs/>
          <w:color w:val="auto"/>
          <w:highlight w:val="none"/>
          <w:lang w:val="en-US" w:eastAsia="zh-CN"/>
        </w:rPr>
        <w:t>2</w:t>
      </w:r>
      <w:r>
        <w:rPr>
          <w:rFonts w:hint="eastAsia" w:ascii="宋体" w:hAnsi="宋体"/>
          <w:b/>
          <w:bCs/>
          <w:color w:val="auto"/>
          <w:highlight w:val="none"/>
        </w:rPr>
        <w:t>通过</w:t>
      </w:r>
      <w:r>
        <w:rPr>
          <w:rFonts w:hint="eastAsia" w:ascii="宋体" w:hAnsi="宋体"/>
          <w:b/>
          <w:bCs/>
          <w:color w:val="auto"/>
          <w:highlight w:val="none"/>
          <w:lang w:eastAsia="zh-CN"/>
        </w:rPr>
        <w:t>符合性审查（阶段</w:t>
      </w:r>
      <w:r>
        <w:rPr>
          <w:rFonts w:hint="eastAsia" w:ascii="宋体" w:hAnsi="宋体"/>
          <w:b/>
          <w:bCs/>
          <w:color w:val="auto"/>
          <w:highlight w:val="none"/>
          <w:lang w:val="en-US" w:eastAsia="zh-CN"/>
        </w:rPr>
        <w:t>二</w:t>
      </w:r>
      <w:r>
        <w:rPr>
          <w:rFonts w:hint="eastAsia" w:ascii="宋体" w:hAnsi="宋体"/>
          <w:b/>
          <w:bCs/>
          <w:color w:val="auto"/>
          <w:highlight w:val="none"/>
          <w:lang w:eastAsia="zh-CN"/>
        </w:rPr>
        <w:t>）</w:t>
      </w:r>
      <w:r>
        <w:rPr>
          <w:rFonts w:hint="eastAsia" w:ascii="宋体" w:hAnsi="宋体"/>
          <w:b/>
          <w:bCs/>
          <w:color w:val="auto"/>
          <w:highlight w:val="none"/>
        </w:rPr>
        <w:t>的</w:t>
      </w:r>
      <w:r>
        <w:rPr>
          <w:rFonts w:hint="eastAsia" w:ascii="宋体" w:hAnsi="宋体"/>
          <w:b/>
          <w:bCs/>
          <w:color w:val="auto"/>
          <w:highlight w:val="none"/>
          <w:lang w:eastAsia="zh-CN"/>
        </w:rPr>
        <w:t>供应商</w:t>
      </w:r>
      <w:r>
        <w:rPr>
          <w:rFonts w:hint="eastAsia" w:ascii="宋体" w:hAnsi="宋体"/>
          <w:b/>
          <w:bCs/>
          <w:color w:val="auto"/>
          <w:highlight w:val="none"/>
        </w:rPr>
        <w:t>不足</w:t>
      </w:r>
      <w:r>
        <w:rPr>
          <w:rFonts w:hint="eastAsia" w:ascii="宋体" w:hAnsi="宋体"/>
          <w:b/>
          <w:bCs/>
          <w:color w:val="auto"/>
          <w:highlight w:val="none"/>
          <w:lang w:val="en-US" w:eastAsia="zh-CN"/>
        </w:rPr>
        <w:t>5</w:t>
      </w:r>
      <w:r>
        <w:rPr>
          <w:rFonts w:hint="eastAsia" w:ascii="宋体" w:hAnsi="宋体"/>
          <w:b/>
          <w:bCs/>
          <w:color w:val="auto"/>
          <w:highlight w:val="none"/>
        </w:rPr>
        <w:t>家</w:t>
      </w:r>
      <w:r>
        <w:rPr>
          <w:rFonts w:hint="eastAsia" w:ascii="宋体" w:hAnsi="宋体"/>
          <w:b/>
          <w:bCs/>
          <w:color w:val="auto"/>
          <w:highlight w:val="none"/>
          <w:lang w:eastAsia="zh-CN"/>
        </w:rPr>
        <w:t>，</w:t>
      </w:r>
      <w:r>
        <w:rPr>
          <w:rFonts w:hint="eastAsia" w:ascii="宋体" w:hAnsi="宋体"/>
          <w:b/>
          <w:bCs/>
          <w:color w:val="auto"/>
          <w:highlight w:val="none"/>
        </w:rPr>
        <w:t>则</w:t>
      </w:r>
      <w:r>
        <w:rPr>
          <w:rFonts w:hint="eastAsia" w:ascii="宋体" w:hAnsi="宋体"/>
          <w:b/>
          <w:bCs/>
          <w:color w:val="auto"/>
          <w:highlight w:val="none"/>
          <w:lang w:val="en-US" w:eastAsia="zh-CN"/>
        </w:rPr>
        <w:t>对应子包</w:t>
      </w:r>
      <w:r>
        <w:rPr>
          <w:rFonts w:hint="eastAsia" w:ascii="宋体" w:hAnsi="宋体"/>
          <w:b/>
          <w:bCs/>
          <w:color w:val="auto"/>
          <w:highlight w:val="none"/>
        </w:rPr>
        <w:t>招标失败。</w:t>
      </w:r>
    </w:p>
    <w:p>
      <w:pPr>
        <w:tabs>
          <w:tab w:val="left" w:pos="945"/>
        </w:tabs>
        <w:spacing w:line="360" w:lineRule="auto"/>
        <w:ind w:left="-23" w:leftChars="-11" w:firstLine="525" w:firstLineChars="250"/>
        <w:rPr>
          <w:rFonts w:ascii="宋体" w:hAnsi="宋体"/>
          <w:b w:val="0"/>
          <w:bCs w:val="0"/>
          <w:color w:val="auto"/>
          <w:highlight w:val="none"/>
        </w:rPr>
      </w:pPr>
      <w:r>
        <w:rPr>
          <w:rFonts w:hint="eastAsia" w:ascii="宋体" w:hAnsi="宋体"/>
          <w:b w:val="0"/>
          <w:bCs w:val="0"/>
          <w:color w:val="auto"/>
          <w:highlight w:val="none"/>
          <w:lang w:val="en-US" w:eastAsia="zh-CN"/>
        </w:rPr>
        <w:t>5.4.10</w:t>
      </w:r>
      <w:r>
        <w:rPr>
          <w:rFonts w:hint="eastAsia" w:ascii="宋体" w:hAnsi="宋体"/>
          <w:b w:val="0"/>
          <w:bCs w:val="0"/>
          <w:color w:val="auto"/>
          <w:highlight w:val="none"/>
        </w:rPr>
        <w:t>评标委员会</w:t>
      </w:r>
      <w:r>
        <w:rPr>
          <w:rFonts w:ascii="宋体" w:hAnsi="宋体"/>
          <w:b w:val="0"/>
          <w:bCs w:val="0"/>
          <w:color w:val="auto"/>
          <w:highlight w:val="none"/>
        </w:rPr>
        <w:t>将各</w:t>
      </w:r>
      <w:r>
        <w:rPr>
          <w:rFonts w:hint="eastAsia" w:ascii="宋体" w:hAnsi="宋体"/>
          <w:b w:val="0"/>
          <w:bCs w:val="0"/>
          <w:color w:val="auto"/>
          <w:highlight w:val="none"/>
          <w:lang w:eastAsia="zh-CN"/>
        </w:rPr>
        <w:t>供应商</w:t>
      </w:r>
      <w:r>
        <w:rPr>
          <w:rFonts w:ascii="宋体" w:hAnsi="宋体"/>
          <w:b w:val="0"/>
          <w:bCs w:val="0"/>
          <w:color w:val="auto"/>
          <w:highlight w:val="none"/>
        </w:rPr>
        <w:t>的技术评分</w:t>
      </w:r>
      <w:r>
        <w:rPr>
          <w:rFonts w:hint="eastAsia" w:ascii="宋体" w:hAnsi="宋体"/>
          <w:b w:val="0"/>
          <w:bCs w:val="0"/>
          <w:color w:val="auto"/>
          <w:highlight w:val="none"/>
        </w:rPr>
        <w:t>、</w:t>
      </w:r>
      <w:r>
        <w:rPr>
          <w:rFonts w:ascii="宋体" w:hAnsi="宋体"/>
          <w:b w:val="0"/>
          <w:bCs w:val="0"/>
          <w:color w:val="auto"/>
          <w:highlight w:val="none"/>
        </w:rPr>
        <w:t>商务评分相加得出其综合得分。将各综合得分由高到低顺序排列，</w:t>
      </w:r>
      <w:r>
        <w:rPr>
          <w:rFonts w:hint="eastAsia" w:ascii="宋体" w:hAnsi="宋体"/>
          <w:b w:val="0"/>
          <w:bCs w:val="0"/>
          <w:color w:val="auto"/>
          <w:highlight w:val="none"/>
        </w:rPr>
        <w:t>推荐中标候选人</w:t>
      </w:r>
      <w:r>
        <w:rPr>
          <w:rFonts w:ascii="宋体" w:hAnsi="宋体"/>
          <w:b w:val="0"/>
          <w:bCs w:val="0"/>
          <w:color w:val="auto"/>
          <w:highlight w:val="none"/>
        </w:rPr>
        <w:t>。</w:t>
      </w:r>
    </w:p>
    <w:p>
      <w:pPr>
        <w:tabs>
          <w:tab w:val="left" w:pos="945"/>
        </w:tabs>
        <w:spacing w:before="124" w:beforeLines="40" w:after="124" w:afterLines="40" w:line="360" w:lineRule="auto"/>
        <w:ind w:firstLine="525" w:firstLineChars="250"/>
        <w:rPr>
          <w:rFonts w:ascii="宋体" w:hAnsi="宋体"/>
          <w:color w:val="auto"/>
          <w:highlight w:val="none"/>
        </w:rPr>
      </w:pPr>
      <w:r>
        <w:rPr>
          <w:rFonts w:ascii="宋体" w:hAnsi="宋体"/>
          <w:color w:val="auto"/>
          <w:highlight w:val="none"/>
        </w:rPr>
        <w:t>5.5</w:t>
      </w:r>
      <w:bookmarkStart w:id="282" w:name="_Toc99012608"/>
      <w:r>
        <w:rPr>
          <w:rFonts w:hint="eastAsia" w:ascii="宋体" w:hAnsi="宋体"/>
          <w:color w:val="auto"/>
          <w:highlight w:val="none"/>
          <w:lang w:eastAsia="zh-CN"/>
        </w:rPr>
        <w:t>、</w:t>
      </w:r>
      <w:r>
        <w:rPr>
          <w:rFonts w:ascii="宋体" w:hAnsi="宋体"/>
          <w:color w:val="auto"/>
          <w:szCs w:val="28"/>
          <w:highlight w:val="none"/>
        </w:rPr>
        <w:t>评标流程</w:t>
      </w:r>
      <w:bookmarkEnd w:id="282"/>
    </w:p>
    <w:p>
      <w:pPr>
        <w:tabs>
          <w:tab w:val="left" w:pos="945"/>
        </w:tabs>
        <w:spacing w:before="120" w:after="120" w:line="360" w:lineRule="auto"/>
        <w:ind w:firstLine="525" w:firstLineChars="250"/>
        <w:rPr>
          <w:rFonts w:ascii="宋体" w:hAnsi="宋体"/>
          <w:color w:val="auto"/>
          <w:highlight w:val="none"/>
        </w:rPr>
      </w:pPr>
      <w:bookmarkStart w:id="283" w:name="_Toc10388_WPSOffice_Level1"/>
      <w:bookmarkStart w:id="284" w:name="_Toc10564_WPSOffice_Level1"/>
      <w:bookmarkStart w:id="285" w:name="_Toc3202_WPSOffice_Level1"/>
      <w:r>
        <w:rPr>
          <w:rFonts w:ascii="宋体" w:hAnsi="宋体"/>
          <w:color w:val="auto"/>
          <w:highlight w:val="none"/>
        </w:rPr>
        <w:t>5.5.1</w:t>
      </w:r>
      <w:bookmarkEnd w:id="283"/>
      <w:bookmarkEnd w:id="284"/>
      <w:bookmarkEnd w:id="285"/>
      <w:r>
        <w:rPr>
          <w:rFonts w:hint="eastAsia" w:ascii="宋体" w:hAnsi="宋体"/>
          <w:b/>
          <w:bCs/>
          <w:color w:val="auto"/>
          <w:highlight w:val="none"/>
          <w:lang w:eastAsia="zh-CN"/>
        </w:rPr>
        <w:t>符合性审查（阶段一）</w:t>
      </w:r>
    </w:p>
    <w:p>
      <w:pPr>
        <w:tabs>
          <w:tab w:val="left" w:pos="945"/>
        </w:tabs>
        <w:spacing w:line="360" w:lineRule="auto"/>
        <w:ind w:left="-23" w:leftChars="-11" w:firstLine="527" w:firstLineChars="250"/>
        <w:rPr>
          <w:rFonts w:ascii="宋体" w:hAnsi="宋体"/>
          <w:b/>
          <w:bCs/>
          <w:color w:val="auto"/>
          <w:highlight w:val="none"/>
        </w:rPr>
      </w:pPr>
      <w:r>
        <w:rPr>
          <w:rFonts w:ascii="宋体" w:hAnsi="宋体"/>
          <w:b/>
          <w:bCs/>
          <w:color w:val="auto"/>
          <w:highlight w:val="none"/>
        </w:rPr>
        <w:t>a.评标委员会按照</w:t>
      </w:r>
      <w:r>
        <w:rPr>
          <w:rFonts w:hint="eastAsia" w:ascii="宋体" w:hAnsi="宋体"/>
          <w:b/>
          <w:bCs/>
          <w:color w:val="auto"/>
          <w:highlight w:val="none"/>
          <w:lang w:eastAsia="zh-CN"/>
        </w:rPr>
        <w:t>符合性审查（阶段一）</w:t>
      </w:r>
      <w:r>
        <w:rPr>
          <w:rFonts w:hint="eastAsia" w:ascii="宋体" w:hAnsi="宋体"/>
          <w:b/>
          <w:bCs/>
          <w:color w:val="auto"/>
          <w:highlight w:val="none"/>
        </w:rPr>
        <w:t>的</w:t>
      </w:r>
      <w:r>
        <w:rPr>
          <w:rFonts w:ascii="宋体" w:hAnsi="宋体"/>
          <w:b/>
          <w:bCs/>
          <w:color w:val="auto"/>
          <w:highlight w:val="none"/>
        </w:rPr>
        <w:t>内容</w:t>
      </w:r>
      <w:r>
        <w:rPr>
          <w:rFonts w:hint="eastAsia" w:ascii="宋体" w:hAnsi="宋体"/>
          <w:b/>
          <w:bCs/>
          <w:color w:val="auto"/>
          <w:highlight w:val="none"/>
        </w:rPr>
        <w:t>按评标方法</w:t>
      </w:r>
      <w:r>
        <w:rPr>
          <w:rFonts w:ascii="宋体" w:hAnsi="宋体"/>
          <w:b/>
          <w:bCs/>
          <w:color w:val="auto"/>
          <w:highlight w:val="none"/>
        </w:rPr>
        <w:t>对投标文件进行检查，</w:t>
      </w:r>
      <w:r>
        <w:rPr>
          <w:rFonts w:hint="eastAsia" w:ascii="宋体" w:hAnsi="宋体"/>
          <w:b/>
          <w:bCs/>
          <w:color w:val="auto"/>
          <w:highlight w:val="none"/>
        </w:rPr>
        <w:t>通过</w:t>
      </w:r>
      <w:r>
        <w:rPr>
          <w:rFonts w:hint="eastAsia" w:ascii="宋体" w:hAnsi="宋体"/>
          <w:b/>
          <w:bCs/>
          <w:color w:val="auto"/>
          <w:highlight w:val="none"/>
          <w:lang w:eastAsia="zh-CN"/>
        </w:rPr>
        <w:t>符合性审查（阶段一）</w:t>
      </w:r>
      <w:r>
        <w:rPr>
          <w:rFonts w:ascii="宋体" w:hAnsi="宋体"/>
          <w:b/>
          <w:bCs/>
          <w:color w:val="auto"/>
          <w:highlight w:val="none"/>
        </w:rPr>
        <w:t>所列各项作出实质性响应的投标文件才能</w:t>
      </w:r>
      <w:r>
        <w:rPr>
          <w:rFonts w:hint="eastAsia" w:ascii="宋体" w:hAnsi="宋体"/>
          <w:b/>
          <w:bCs/>
          <w:color w:val="auto"/>
          <w:highlight w:val="none"/>
        </w:rPr>
        <w:t>进入到商务、技术的详细评审当中</w:t>
      </w:r>
      <w:r>
        <w:rPr>
          <w:rFonts w:ascii="宋体" w:hAnsi="宋体"/>
          <w:b/>
          <w:bCs/>
          <w:color w:val="auto"/>
          <w:highlight w:val="none"/>
        </w:rPr>
        <w:t>。</w:t>
      </w:r>
    </w:p>
    <w:p>
      <w:pPr>
        <w:tabs>
          <w:tab w:val="left" w:pos="945"/>
        </w:tabs>
        <w:spacing w:line="360" w:lineRule="auto"/>
        <w:ind w:left="-23" w:leftChars="-11" w:firstLine="525" w:firstLineChars="250"/>
        <w:rPr>
          <w:color w:val="auto"/>
          <w:highlight w:val="none"/>
        </w:rPr>
      </w:pPr>
      <w:r>
        <w:rPr>
          <w:rFonts w:ascii="宋体" w:hAnsi="宋体"/>
          <w:color w:val="auto"/>
          <w:highlight w:val="none"/>
        </w:rPr>
        <w:t>注：如出现无效投标的争议时，各评委</w:t>
      </w:r>
      <w:r>
        <w:rPr>
          <w:rFonts w:hint="eastAsia" w:ascii="宋体" w:hAnsi="宋体"/>
          <w:color w:val="auto"/>
          <w:highlight w:val="none"/>
        </w:rPr>
        <w:t>按规定</w:t>
      </w:r>
      <w:r>
        <w:rPr>
          <w:rFonts w:ascii="宋体" w:hAnsi="宋体"/>
          <w:color w:val="auto"/>
          <w:highlight w:val="none"/>
        </w:rPr>
        <w:t>以少数服从多数的原则通过记名投票书面确认是否为无效投标。</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b.评标委员会将审查有关资格证明文件是否有效、是否提交投标保证金、文件签署是否合格、投标有效期是否满足要求等。</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c.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w:t>
      </w:r>
      <w:r>
        <w:rPr>
          <w:rFonts w:hint="eastAsia"/>
          <w:lang w:val="en-US" w:eastAsia="zh-CN"/>
        </w:rPr>
        <w:t>的服务要求事项、服务质量</w:t>
      </w:r>
      <w:r>
        <w:rPr>
          <w:rFonts w:ascii="宋体" w:hAnsi="宋体"/>
          <w:color w:val="auto"/>
          <w:highlight w:val="none"/>
        </w:rPr>
        <w:t>；或者实质上与招标文件不一致，而且限制了合同中招标人的权利或</w:t>
      </w:r>
      <w:r>
        <w:rPr>
          <w:rFonts w:hint="eastAsia" w:ascii="宋体" w:hAnsi="宋体"/>
          <w:color w:val="auto"/>
          <w:highlight w:val="none"/>
          <w:lang w:eastAsia="zh-CN"/>
        </w:rPr>
        <w:t>供应商</w:t>
      </w:r>
      <w:r>
        <w:rPr>
          <w:rFonts w:ascii="宋体" w:hAnsi="宋体"/>
          <w:color w:val="auto"/>
          <w:highlight w:val="none"/>
        </w:rPr>
        <w:t>的义务；纠正这些偏离或保留将会对其它实质上响应要求的</w:t>
      </w:r>
      <w:r>
        <w:rPr>
          <w:rFonts w:hint="eastAsia" w:ascii="宋体" w:hAnsi="宋体"/>
          <w:color w:val="auto"/>
          <w:highlight w:val="none"/>
          <w:lang w:eastAsia="zh-CN"/>
        </w:rPr>
        <w:t>供应商</w:t>
      </w:r>
      <w:r>
        <w:rPr>
          <w:rFonts w:ascii="宋体" w:hAnsi="宋体"/>
          <w:color w:val="auto"/>
          <w:highlight w:val="none"/>
        </w:rPr>
        <w:t>的竞争地位产生不公正的影响。评标委员会决定投标文件的响应性只根据投标文件本身的内容，而不寻找外部的证据。</w:t>
      </w:r>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d.无效投标的认定</w:t>
      </w:r>
    </w:p>
    <w:p>
      <w:pPr>
        <w:tabs>
          <w:tab w:val="left" w:pos="1030"/>
        </w:tabs>
        <w:spacing w:line="360" w:lineRule="auto"/>
        <w:ind w:firstLine="527" w:firstLineChars="250"/>
        <w:rPr>
          <w:rFonts w:ascii="宋体" w:hAnsi="宋体"/>
          <w:b/>
          <w:bCs/>
          <w:color w:val="auto"/>
          <w:highlight w:val="none"/>
        </w:rPr>
      </w:pPr>
      <w:r>
        <w:rPr>
          <w:rFonts w:ascii="宋体" w:hAnsi="宋体"/>
          <w:b/>
          <w:bCs/>
          <w:color w:val="auto"/>
          <w:highlight w:val="none"/>
        </w:rPr>
        <w:t>按</w:t>
      </w:r>
      <w:r>
        <w:rPr>
          <w:rFonts w:hint="eastAsia" w:ascii="宋体" w:hAnsi="宋体"/>
          <w:b/>
          <w:bCs/>
          <w:color w:val="auto"/>
          <w:highlight w:val="none"/>
          <w:lang w:eastAsia="zh-CN"/>
        </w:rPr>
        <w:t>符合性审查（阶段一）</w:t>
      </w:r>
      <w:r>
        <w:rPr>
          <w:rFonts w:ascii="宋体" w:hAnsi="宋体"/>
          <w:b/>
          <w:bCs/>
          <w:color w:val="auto"/>
          <w:highlight w:val="none"/>
        </w:rPr>
        <w:t>（见附表1）所列各项，评标委员会认为投标文件不满足招标文件要求的，将被认定为无效投标。</w:t>
      </w:r>
    </w:p>
    <w:p>
      <w:pPr>
        <w:spacing w:before="120" w:after="120" w:line="360" w:lineRule="auto"/>
        <w:ind w:firstLine="525" w:firstLineChars="250"/>
        <w:rPr>
          <w:rFonts w:ascii="宋体" w:hAnsi="宋体"/>
          <w:bCs/>
          <w:color w:val="auto"/>
          <w:highlight w:val="none"/>
        </w:rPr>
      </w:pPr>
      <w:bookmarkStart w:id="286" w:name="_Toc18377_WPSOffice_Level1"/>
      <w:bookmarkStart w:id="287" w:name="_Toc17602_WPSOffice_Level1"/>
      <w:bookmarkStart w:id="288" w:name="_Toc962_WPSOffice_Level1"/>
      <w:r>
        <w:rPr>
          <w:rFonts w:ascii="宋体" w:hAnsi="宋体"/>
          <w:bCs/>
          <w:color w:val="auto"/>
          <w:highlight w:val="none"/>
        </w:rPr>
        <w:t>5.5.2详细评审</w:t>
      </w:r>
      <w:bookmarkEnd w:id="286"/>
      <w:bookmarkEnd w:id="287"/>
      <w:bookmarkEnd w:id="288"/>
    </w:p>
    <w:p>
      <w:pPr>
        <w:tabs>
          <w:tab w:val="left" w:pos="945"/>
        </w:tabs>
        <w:spacing w:line="360" w:lineRule="auto"/>
        <w:ind w:firstLine="525" w:firstLineChars="250"/>
        <w:rPr>
          <w:rFonts w:ascii="宋体" w:hAnsi="宋体"/>
          <w:color w:val="auto"/>
          <w:highlight w:val="none"/>
        </w:rPr>
      </w:pPr>
      <w:r>
        <w:rPr>
          <w:rFonts w:ascii="宋体" w:hAnsi="宋体"/>
          <w:color w:val="auto"/>
          <w:highlight w:val="none"/>
        </w:rPr>
        <w:t>a.详细评审是对通过</w:t>
      </w:r>
      <w:r>
        <w:rPr>
          <w:rFonts w:hint="eastAsia" w:ascii="宋体" w:hAnsi="宋体"/>
          <w:color w:val="auto"/>
          <w:highlight w:val="none"/>
          <w:lang w:eastAsia="zh-CN"/>
        </w:rPr>
        <w:t>符合性审查（阶段一）</w:t>
      </w:r>
      <w:r>
        <w:rPr>
          <w:rFonts w:ascii="宋体" w:hAnsi="宋体"/>
          <w:color w:val="auto"/>
          <w:highlight w:val="none"/>
        </w:rPr>
        <w:t>的投标进行技术</w:t>
      </w:r>
      <w:r>
        <w:rPr>
          <w:rFonts w:hint="eastAsia" w:ascii="宋体" w:hAnsi="宋体"/>
          <w:color w:val="auto"/>
          <w:highlight w:val="none"/>
        </w:rPr>
        <w:t>评审、</w:t>
      </w:r>
      <w:r>
        <w:rPr>
          <w:rFonts w:ascii="宋体" w:hAnsi="宋体"/>
          <w:color w:val="auto"/>
          <w:highlight w:val="none"/>
        </w:rPr>
        <w:t>商务</w:t>
      </w:r>
      <w:r>
        <w:rPr>
          <w:rFonts w:hint="eastAsia" w:ascii="宋体" w:hAnsi="宋体"/>
          <w:color w:val="auto"/>
          <w:highlight w:val="none"/>
        </w:rPr>
        <w:t>评审</w:t>
      </w:r>
      <w:r>
        <w:rPr>
          <w:rFonts w:ascii="宋体" w:hAnsi="宋体"/>
          <w:color w:val="auto"/>
          <w:highlight w:val="none"/>
        </w:rPr>
        <w:t>。</w:t>
      </w:r>
    </w:p>
    <w:p>
      <w:pPr>
        <w:tabs>
          <w:tab w:val="left" w:pos="945"/>
        </w:tabs>
        <w:spacing w:line="360" w:lineRule="auto"/>
        <w:ind w:firstLine="525" w:firstLineChars="250"/>
        <w:rPr>
          <w:rFonts w:hint="default"/>
          <w:lang w:val="en-US" w:eastAsia="zh-CN"/>
        </w:rPr>
      </w:pPr>
      <w:r>
        <w:rPr>
          <w:rFonts w:ascii="宋体" w:hAnsi="宋体"/>
          <w:color w:val="auto"/>
          <w:highlight w:val="none"/>
        </w:rPr>
        <w:t>b.技术、商务评分：评标委员会就</w:t>
      </w:r>
      <w:r>
        <w:rPr>
          <w:rFonts w:hint="eastAsia" w:ascii="宋体" w:hAnsi="宋体"/>
          <w:color w:val="auto"/>
          <w:highlight w:val="none"/>
        </w:rPr>
        <w:t>技术评分表、商务评分表的评审</w:t>
      </w:r>
      <w:r>
        <w:rPr>
          <w:rFonts w:ascii="宋体" w:hAnsi="宋体"/>
          <w:color w:val="auto"/>
          <w:highlight w:val="none"/>
        </w:rPr>
        <w:t>因素进行评分，各因素所占权重比例见《技术</w:t>
      </w:r>
      <w:r>
        <w:rPr>
          <w:rFonts w:hint="eastAsia" w:ascii="宋体" w:hAnsi="宋体"/>
          <w:color w:val="auto"/>
          <w:highlight w:val="none"/>
        </w:rPr>
        <w:t>评分</w:t>
      </w:r>
      <w:r>
        <w:rPr>
          <w:rFonts w:ascii="宋体" w:hAnsi="宋体"/>
          <w:color w:val="auto"/>
          <w:highlight w:val="none"/>
        </w:rPr>
        <w:t>表》（附表2）及《商务评</w:t>
      </w:r>
      <w:r>
        <w:rPr>
          <w:rFonts w:hint="eastAsia" w:ascii="宋体" w:hAnsi="宋体"/>
          <w:color w:val="auto"/>
          <w:highlight w:val="none"/>
        </w:rPr>
        <w:t>分</w:t>
      </w:r>
      <w:r>
        <w:rPr>
          <w:rFonts w:ascii="宋体" w:hAnsi="宋体"/>
          <w:color w:val="auto"/>
          <w:highlight w:val="none"/>
        </w:rPr>
        <w:t>表》（附表3），评分统计按本评标方法</w:t>
      </w:r>
      <w:r>
        <w:rPr>
          <w:rFonts w:hint="eastAsia" w:ascii="宋体" w:hAnsi="宋体"/>
          <w:color w:val="auto"/>
          <w:highlight w:val="none"/>
        </w:rPr>
        <w:t>的</w:t>
      </w:r>
      <w:r>
        <w:rPr>
          <w:rFonts w:ascii="宋体" w:hAnsi="宋体"/>
          <w:color w:val="auto"/>
          <w:highlight w:val="none"/>
        </w:rPr>
        <w:t>规定进行。</w:t>
      </w:r>
      <w:bookmarkEnd w:id="279"/>
      <w:bookmarkEnd w:id="280"/>
      <w:bookmarkEnd w:id="281"/>
    </w:p>
    <w:p>
      <w:pPr>
        <w:tabs>
          <w:tab w:val="left" w:pos="945"/>
        </w:tabs>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lang w:val="en-US" w:eastAsia="zh-CN"/>
        </w:rPr>
        <w:t>c.</w:t>
      </w:r>
      <w:r>
        <w:rPr>
          <w:rFonts w:hint="eastAsia" w:ascii="宋体" w:hAnsi="宋体" w:cs="宋体"/>
          <w:color w:val="auto"/>
          <w:highlight w:val="none"/>
        </w:rPr>
        <w:t>技术、商务权重分配：</w:t>
      </w:r>
    </w:p>
    <w:tbl>
      <w:tblPr>
        <w:tblStyle w:val="31"/>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10"/>
        <w:gridCol w:w="2483"/>
        <w:gridCol w:w="2406"/>
        <w:gridCol w:w="23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69" w:type="pc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评分项目</w:t>
            </w:r>
          </w:p>
        </w:tc>
        <w:tc>
          <w:tcPr>
            <w:tcW w:w="1313" w:type="pc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技术评分</w:t>
            </w:r>
          </w:p>
        </w:tc>
        <w:tc>
          <w:tcPr>
            <w:tcW w:w="1272" w:type="pc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商务评分</w:t>
            </w:r>
          </w:p>
        </w:tc>
        <w:tc>
          <w:tcPr>
            <w:tcW w:w="1245" w:type="pc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总分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69" w:type="pc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分值</w:t>
            </w:r>
          </w:p>
        </w:tc>
        <w:tc>
          <w:tcPr>
            <w:tcW w:w="1313" w:type="pct"/>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w:t>
            </w:r>
          </w:p>
        </w:tc>
        <w:tc>
          <w:tcPr>
            <w:tcW w:w="1272" w:type="pct"/>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w:t>
            </w:r>
          </w:p>
        </w:tc>
        <w:tc>
          <w:tcPr>
            <w:tcW w:w="1245" w:type="pct"/>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100</w:t>
            </w:r>
          </w:p>
        </w:tc>
      </w:tr>
    </w:tbl>
    <w:p>
      <w:pPr>
        <w:spacing w:before="120" w:after="120" w:line="360" w:lineRule="auto"/>
        <w:ind w:firstLine="525" w:firstLineChars="250"/>
        <w:rPr>
          <w:rFonts w:hint="default" w:ascii="宋体" w:hAnsi="宋体" w:eastAsia="宋体" w:cs="Times New Roman"/>
          <w:bCs/>
          <w:color w:val="auto"/>
          <w:highlight w:val="none"/>
          <w:lang w:val="en-US" w:eastAsia="zh-CN"/>
        </w:rPr>
      </w:pPr>
      <w:bookmarkStart w:id="289" w:name="_Toc32248_WPSOffice_Level1"/>
      <w:bookmarkStart w:id="290" w:name="_Toc32432_WPSOffice_Level1"/>
      <w:bookmarkStart w:id="291" w:name="_Toc12541_WPSOffice_Level1"/>
      <w:r>
        <w:rPr>
          <w:rFonts w:hint="eastAsia" w:ascii="宋体" w:hAnsi="宋体" w:eastAsia="宋体" w:cs="Times New Roman"/>
          <w:bCs/>
          <w:color w:val="auto"/>
          <w:highlight w:val="none"/>
          <w:lang w:val="en-US" w:eastAsia="zh-CN"/>
        </w:rPr>
        <w:t>5.5.3</w:t>
      </w:r>
      <w:r>
        <w:rPr>
          <w:rFonts w:hint="eastAsia" w:ascii="宋体" w:hAnsi="宋体" w:eastAsia="宋体" w:cs="Times New Roman"/>
          <w:bCs/>
          <w:color w:val="auto"/>
          <w:highlight w:val="none"/>
          <w:lang w:eastAsia="zh-CN"/>
        </w:rPr>
        <w:t>符合性审查（阶段</w:t>
      </w:r>
      <w:r>
        <w:rPr>
          <w:rFonts w:hint="eastAsia" w:ascii="宋体" w:hAnsi="宋体" w:eastAsia="宋体" w:cs="Times New Roman"/>
          <w:bCs/>
          <w:color w:val="auto"/>
          <w:highlight w:val="none"/>
          <w:lang w:val="en-US" w:eastAsia="zh-CN"/>
        </w:rPr>
        <w:t>二</w:t>
      </w:r>
      <w:r>
        <w:rPr>
          <w:rFonts w:hint="eastAsia" w:ascii="宋体" w:hAnsi="宋体" w:eastAsia="宋体" w:cs="Times New Roman"/>
          <w:bCs/>
          <w:color w:val="auto"/>
          <w:highlight w:val="none"/>
          <w:lang w:eastAsia="zh-CN"/>
        </w:rPr>
        <w:t>）</w:t>
      </w:r>
    </w:p>
    <w:p>
      <w:pPr>
        <w:spacing w:before="120" w:after="120" w:line="360" w:lineRule="auto"/>
        <w:ind w:firstLine="525" w:firstLineChars="250"/>
        <w:rPr>
          <w:rFonts w:hint="eastAsia" w:ascii="宋体" w:hAnsi="宋体" w:eastAsia="宋体" w:cs="Times New Roman"/>
          <w:bCs/>
          <w:color w:val="auto"/>
          <w:highlight w:val="none"/>
          <w:lang w:eastAsia="zh-CN"/>
        </w:rPr>
      </w:pPr>
      <w:r>
        <w:rPr>
          <w:rFonts w:ascii="宋体" w:hAnsi="宋体" w:eastAsia="宋体" w:cs="Times New Roman"/>
          <w:bCs/>
          <w:color w:val="auto"/>
          <w:highlight w:val="none"/>
        </w:rPr>
        <w:t>评标委员会按照</w:t>
      </w:r>
      <w:r>
        <w:rPr>
          <w:rFonts w:hint="eastAsia" w:ascii="宋体" w:hAnsi="宋体" w:eastAsia="宋体" w:cs="Times New Roman"/>
          <w:bCs/>
          <w:color w:val="auto"/>
          <w:highlight w:val="none"/>
          <w:lang w:eastAsia="zh-CN"/>
        </w:rPr>
        <w:t>符合性审查（阶段</w:t>
      </w:r>
      <w:r>
        <w:rPr>
          <w:rFonts w:hint="eastAsia" w:ascii="宋体" w:hAnsi="宋体" w:eastAsia="宋体" w:cs="Times New Roman"/>
          <w:bCs/>
          <w:color w:val="auto"/>
          <w:highlight w:val="none"/>
          <w:lang w:val="en-US" w:eastAsia="zh-CN"/>
        </w:rPr>
        <w:t>二</w:t>
      </w:r>
      <w:r>
        <w:rPr>
          <w:rFonts w:hint="eastAsia" w:ascii="宋体" w:hAnsi="宋体" w:eastAsia="宋体" w:cs="Times New Roman"/>
          <w:b w:val="0"/>
          <w:bCs/>
          <w:color w:val="auto"/>
          <w:highlight w:val="none"/>
          <w:lang w:eastAsia="zh-CN"/>
        </w:rPr>
        <w:t>）</w:t>
      </w:r>
      <w:r>
        <w:rPr>
          <w:rFonts w:ascii="宋体" w:hAnsi="宋体"/>
          <w:b w:val="0"/>
          <w:bCs/>
          <w:color w:val="auto"/>
          <w:highlight w:val="none"/>
        </w:rPr>
        <w:t>（见附表</w:t>
      </w:r>
      <w:r>
        <w:rPr>
          <w:rFonts w:hint="eastAsia" w:ascii="宋体" w:hAnsi="宋体"/>
          <w:b w:val="0"/>
          <w:bCs/>
          <w:color w:val="auto"/>
          <w:highlight w:val="none"/>
          <w:lang w:val="en-US" w:eastAsia="zh-CN"/>
        </w:rPr>
        <w:t>4</w:t>
      </w:r>
      <w:r>
        <w:rPr>
          <w:rFonts w:ascii="宋体" w:hAnsi="宋体"/>
          <w:b w:val="0"/>
          <w:bCs/>
          <w:color w:val="auto"/>
          <w:highlight w:val="none"/>
        </w:rPr>
        <w:t>）</w:t>
      </w:r>
      <w:r>
        <w:rPr>
          <w:rFonts w:hint="eastAsia" w:ascii="宋体" w:hAnsi="宋体" w:eastAsia="宋体" w:cs="Times New Roman"/>
          <w:b w:val="0"/>
          <w:bCs/>
          <w:color w:val="auto"/>
          <w:highlight w:val="none"/>
        </w:rPr>
        <w:t>的</w:t>
      </w:r>
      <w:r>
        <w:rPr>
          <w:rFonts w:ascii="宋体" w:hAnsi="宋体" w:eastAsia="宋体" w:cs="Times New Roman"/>
          <w:bCs/>
          <w:color w:val="auto"/>
          <w:highlight w:val="none"/>
        </w:rPr>
        <w:t>内容</w:t>
      </w:r>
      <w:r>
        <w:rPr>
          <w:rFonts w:hint="eastAsia" w:ascii="宋体" w:hAnsi="宋体" w:eastAsia="宋体" w:cs="Times New Roman"/>
          <w:bCs/>
          <w:color w:val="auto"/>
          <w:highlight w:val="none"/>
        </w:rPr>
        <w:t>按评标方法</w:t>
      </w:r>
      <w:r>
        <w:rPr>
          <w:rFonts w:ascii="宋体" w:hAnsi="宋体" w:eastAsia="宋体" w:cs="Times New Roman"/>
          <w:bCs/>
          <w:color w:val="auto"/>
          <w:highlight w:val="none"/>
        </w:rPr>
        <w:t>对投标文件进行检查，</w:t>
      </w:r>
      <w:r>
        <w:rPr>
          <w:rFonts w:hint="eastAsia" w:ascii="宋体" w:hAnsi="宋体" w:eastAsia="宋体" w:cs="Times New Roman"/>
          <w:bCs/>
          <w:color w:val="auto"/>
          <w:highlight w:val="none"/>
          <w:lang w:val="en-US" w:eastAsia="zh-CN"/>
        </w:rPr>
        <w:t>审查投标人商务</w:t>
      </w:r>
      <w:r>
        <w:rPr>
          <w:rFonts w:hint="eastAsia" w:ascii="宋体" w:hAnsi="宋体" w:eastAsia="宋体" w:cs="Times New Roman"/>
          <w:bCs/>
          <w:color w:val="auto"/>
          <w:highlight w:val="none"/>
        </w:rPr>
        <w:t>评分</w:t>
      </w:r>
      <w:r>
        <w:rPr>
          <w:rFonts w:hint="eastAsia" w:ascii="宋体" w:hAnsi="宋体" w:eastAsia="宋体" w:cs="Times New Roman"/>
          <w:bCs/>
          <w:color w:val="auto"/>
          <w:highlight w:val="none"/>
          <w:lang w:val="en-US" w:eastAsia="zh-CN"/>
        </w:rPr>
        <w:t>是否</w:t>
      </w:r>
      <w:r>
        <w:rPr>
          <w:rFonts w:hint="eastAsia" w:ascii="宋体" w:hAnsi="宋体" w:eastAsia="宋体" w:cs="Times New Roman"/>
          <w:bCs/>
          <w:color w:val="auto"/>
          <w:highlight w:val="none"/>
        </w:rPr>
        <w:t>低于商务得分的60%</w:t>
      </w:r>
      <w:r>
        <w:rPr>
          <w:rFonts w:hint="eastAsia" w:ascii="宋体" w:hAnsi="宋体" w:eastAsia="宋体" w:cs="Times New Roman"/>
          <w:bCs/>
          <w:color w:val="auto"/>
          <w:highlight w:val="none"/>
          <w:lang w:eastAsia="zh-CN"/>
        </w:rPr>
        <w:t>。</w:t>
      </w:r>
    </w:p>
    <w:p>
      <w:pPr>
        <w:spacing w:before="120" w:after="120" w:line="360" w:lineRule="auto"/>
        <w:ind w:firstLine="525" w:firstLineChars="250"/>
        <w:rPr>
          <w:rFonts w:ascii="宋体" w:hAnsi="宋体"/>
          <w:color w:val="auto"/>
          <w:highlight w:val="none"/>
        </w:rPr>
      </w:pPr>
      <w:r>
        <w:rPr>
          <w:rFonts w:hint="eastAsia" w:ascii="宋体" w:hAnsi="宋体" w:eastAsia="宋体" w:cs="Times New Roman"/>
          <w:bCs/>
          <w:color w:val="auto"/>
          <w:highlight w:val="none"/>
          <w:lang w:val="en-US" w:eastAsia="zh-CN"/>
        </w:rPr>
        <w:t>5.5.4对通过</w:t>
      </w:r>
      <w:r>
        <w:rPr>
          <w:rFonts w:hint="eastAsia" w:ascii="宋体" w:hAnsi="宋体" w:eastAsia="宋体" w:cs="Times New Roman"/>
          <w:bCs/>
          <w:color w:val="auto"/>
          <w:highlight w:val="none"/>
          <w:lang w:eastAsia="zh-CN"/>
        </w:rPr>
        <w:t>符合性审查（阶段</w:t>
      </w:r>
      <w:r>
        <w:rPr>
          <w:rFonts w:hint="eastAsia" w:ascii="宋体" w:hAnsi="宋体" w:eastAsia="宋体" w:cs="Times New Roman"/>
          <w:bCs/>
          <w:color w:val="auto"/>
          <w:highlight w:val="none"/>
          <w:lang w:val="en-US" w:eastAsia="zh-CN"/>
        </w:rPr>
        <w:t>二</w:t>
      </w:r>
      <w:r>
        <w:rPr>
          <w:rFonts w:hint="eastAsia" w:ascii="宋体" w:hAnsi="宋体" w:eastAsia="宋体" w:cs="Times New Roman"/>
          <w:bCs/>
          <w:color w:val="auto"/>
          <w:highlight w:val="none"/>
          <w:lang w:eastAsia="zh-CN"/>
        </w:rPr>
        <w:t>）</w:t>
      </w:r>
      <w:r>
        <w:rPr>
          <w:rFonts w:hint="eastAsia" w:ascii="宋体" w:hAnsi="宋体" w:eastAsia="宋体" w:cs="Times New Roman"/>
          <w:bCs/>
          <w:color w:val="auto"/>
          <w:highlight w:val="none"/>
          <w:lang w:val="en-US" w:eastAsia="zh-CN"/>
        </w:rPr>
        <w:t>的投标人，</w:t>
      </w:r>
      <w:r>
        <w:rPr>
          <w:rFonts w:ascii="宋体" w:hAnsi="宋体" w:eastAsia="宋体" w:cs="Times New Roman"/>
          <w:bCs/>
          <w:color w:val="auto"/>
          <w:highlight w:val="none"/>
        </w:rPr>
        <w:t>根据上述技术、商务的综合评分及其权重分配，代入下列公式计算各</w:t>
      </w:r>
      <w:r>
        <w:rPr>
          <w:rFonts w:hint="eastAsia" w:ascii="宋体" w:hAnsi="宋体" w:eastAsia="宋体" w:cs="Times New Roman"/>
          <w:bCs/>
          <w:color w:val="auto"/>
          <w:highlight w:val="none"/>
          <w:lang w:eastAsia="zh-CN"/>
        </w:rPr>
        <w:t>供应商</w:t>
      </w:r>
      <w:r>
        <w:rPr>
          <w:rFonts w:ascii="宋体" w:hAnsi="宋体" w:eastAsia="宋体" w:cs="Times New Roman"/>
          <w:bCs/>
          <w:color w:val="auto"/>
          <w:highlight w:val="none"/>
        </w:rPr>
        <w:t>的总得分。得分统计保留小数点后两位，第</w:t>
      </w:r>
      <w:r>
        <w:rPr>
          <w:rFonts w:ascii="宋体" w:hAnsi="宋体"/>
          <w:color w:val="auto"/>
          <w:highlight w:val="none"/>
        </w:rPr>
        <w:t>三位四舍五入。各</w:t>
      </w:r>
      <w:r>
        <w:rPr>
          <w:rFonts w:hint="eastAsia" w:ascii="宋体" w:hAnsi="宋体"/>
          <w:color w:val="auto"/>
          <w:highlight w:val="none"/>
          <w:lang w:eastAsia="zh-CN"/>
        </w:rPr>
        <w:t>供应商</w:t>
      </w:r>
      <w:r>
        <w:rPr>
          <w:rFonts w:ascii="宋体" w:hAnsi="宋体"/>
          <w:color w:val="auto"/>
          <w:highlight w:val="none"/>
        </w:rPr>
        <w:t>的</w:t>
      </w:r>
      <w:r>
        <w:rPr>
          <w:rFonts w:hint="eastAsia" w:ascii="宋体" w:hAnsi="宋体"/>
          <w:color w:val="auto"/>
          <w:highlight w:val="none"/>
          <w:lang w:val="en-US" w:eastAsia="zh-CN"/>
        </w:rPr>
        <w:t>评标总</w:t>
      </w:r>
      <w:r>
        <w:rPr>
          <w:rFonts w:ascii="宋体" w:hAnsi="宋体"/>
          <w:color w:val="auto"/>
          <w:highlight w:val="none"/>
        </w:rPr>
        <w:t>得分，按得分从高到低排名。</w:t>
      </w:r>
    </w:p>
    <w:p>
      <w:pPr>
        <w:spacing w:line="360" w:lineRule="auto"/>
        <w:ind w:firstLine="420" w:firstLineChars="200"/>
        <w:rPr>
          <w:rFonts w:ascii="宋体" w:hAnsi="宋体"/>
          <w:color w:val="auto"/>
          <w:highlight w:val="none"/>
        </w:rPr>
      </w:pPr>
      <w:r>
        <w:rPr>
          <w:rFonts w:ascii="宋体" w:hAnsi="宋体"/>
          <w:color w:val="auto"/>
          <w:highlight w:val="none"/>
        </w:rPr>
        <w:t xml:space="preserve">评标总得分=F1+ F2 </w:t>
      </w:r>
    </w:p>
    <w:p>
      <w:pPr>
        <w:spacing w:line="360" w:lineRule="auto"/>
        <w:ind w:firstLine="420" w:firstLineChars="200"/>
        <w:rPr>
          <w:rFonts w:ascii="宋体" w:hAnsi="宋体"/>
          <w:color w:val="auto"/>
          <w:highlight w:val="none"/>
        </w:rPr>
      </w:pPr>
      <w:r>
        <w:rPr>
          <w:rFonts w:ascii="宋体" w:hAnsi="宋体"/>
          <w:color w:val="auto"/>
          <w:highlight w:val="none"/>
        </w:rPr>
        <w:t>其中，F1、F2别为技术、商务</w:t>
      </w:r>
      <w:r>
        <w:rPr>
          <w:rFonts w:hint="eastAsia" w:ascii="宋体" w:hAnsi="宋体"/>
          <w:color w:val="auto"/>
          <w:highlight w:val="none"/>
          <w:lang w:val="en-US" w:eastAsia="zh-CN"/>
        </w:rPr>
        <w:t>总</w:t>
      </w:r>
      <w:r>
        <w:rPr>
          <w:rFonts w:ascii="宋体" w:hAnsi="宋体"/>
          <w:color w:val="auto"/>
          <w:highlight w:val="none"/>
        </w:rPr>
        <w:t>评分的汇总得分。</w:t>
      </w:r>
    </w:p>
    <w:p>
      <w:pPr>
        <w:spacing w:line="360" w:lineRule="auto"/>
        <w:ind w:firstLine="420" w:firstLineChars="200"/>
        <w:rPr>
          <w:rFonts w:ascii="宋体" w:hAnsi="宋体"/>
          <w:color w:val="auto"/>
          <w:highlight w:val="none"/>
        </w:rPr>
      </w:pPr>
      <w:r>
        <w:rPr>
          <w:rFonts w:ascii="宋体" w:hAnsi="宋体"/>
          <w:color w:val="auto"/>
          <w:highlight w:val="none"/>
        </w:rPr>
        <w:t>评分统计验算：评分统计的结果数据须经评标委员会验算并确认。</w:t>
      </w:r>
    </w:p>
    <w:p>
      <w:pPr>
        <w:spacing w:before="120" w:after="120" w:line="360" w:lineRule="auto"/>
        <w:ind w:firstLine="525" w:firstLineChars="250"/>
        <w:rPr>
          <w:rFonts w:ascii="宋体" w:hAnsi="宋体"/>
          <w:bCs/>
          <w:color w:val="auto"/>
          <w:highlight w:val="none"/>
        </w:rPr>
      </w:pPr>
      <w:bookmarkStart w:id="292" w:name="_Toc9514_WPSOffice_Level1"/>
      <w:bookmarkStart w:id="293" w:name="_Toc13353_WPSOffice_Level1"/>
      <w:bookmarkStart w:id="294" w:name="_Toc27012_WPSOffice_Level1"/>
      <w:r>
        <w:rPr>
          <w:rFonts w:ascii="宋体" w:hAnsi="宋体"/>
          <w:bCs/>
          <w:color w:val="auto"/>
          <w:highlight w:val="none"/>
        </w:rPr>
        <w:t>5.5.</w:t>
      </w:r>
      <w:r>
        <w:rPr>
          <w:rFonts w:hint="eastAsia" w:ascii="宋体" w:hAnsi="宋体"/>
          <w:bCs/>
          <w:color w:val="auto"/>
          <w:highlight w:val="none"/>
          <w:lang w:val="en-US" w:eastAsia="zh-CN"/>
        </w:rPr>
        <w:t>5</w:t>
      </w:r>
      <w:r>
        <w:rPr>
          <w:rFonts w:ascii="宋体" w:hAnsi="宋体"/>
          <w:bCs/>
          <w:color w:val="auto"/>
          <w:highlight w:val="none"/>
        </w:rPr>
        <w:t>中标候选人</w:t>
      </w:r>
      <w:bookmarkEnd w:id="292"/>
      <w:bookmarkEnd w:id="293"/>
      <w:bookmarkEnd w:id="294"/>
    </w:p>
    <w:p>
      <w:pPr>
        <w:spacing w:line="360" w:lineRule="auto"/>
        <w:ind w:left="300" w:leftChars="143" w:firstLine="210" w:firstLineChars="100"/>
        <w:rPr>
          <w:rFonts w:ascii="宋体" w:hAnsi="宋体"/>
          <w:color w:val="auto"/>
          <w:highlight w:val="none"/>
        </w:rPr>
      </w:pPr>
      <w:r>
        <w:rPr>
          <w:rFonts w:ascii="宋体" w:hAnsi="宋体"/>
          <w:color w:val="auto"/>
          <w:highlight w:val="none"/>
        </w:rPr>
        <w:t>评标委员会按各</w:t>
      </w:r>
      <w:r>
        <w:rPr>
          <w:rFonts w:hint="eastAsia" w:ascii="宋体" w:hAnsi="宋体"/>
          <w:color w:val="auto"/>
          <w:highlight w:val="none"/>
          <w:lang w:val="en-US" w:eastAsia="zh-CN"/>
        </w:rPr>
        <w:t>子包</w:t>
      </w:r>
      <w:r>
        <w:rPr>
          <w:rFonts w:hint="eastAsia" w:ascii="宋体" w:hAnsi="宋体"/>
          <w:color w:val="auto"/>
          <w:highlight w:val="none"/>
          <w:lang w:eastAsia="zh-CN"/>
        </w:rPr>
        <w:t>供应商</w:t>
      </w:r>
      <w:r>
        <w:rPr>
          <w:rFonts w:ascii="宋体" w:hAnsi="宋体"/>
          <w:color w:val="auto"/>
          <w:highlight w:val="none"/>
        </w:rPr>
        <w:t>的评标总得分由高到低顺序排列，</w:t>
      </w:r>
      <w:r>
        <w:rPr>
          <w:rFonts w:hint="eastAsia" w:ascii="宋体" w:hAnsi="宋体"/>
          <w:color w:val="auto"/>
          <w:sz w:val="21"/>
          <w:szCs w:val="21"/>
          <w:highlight w:val="none"/>
          <w:lang w:val="en-US" w:eastAsia="zh-CN"/>
        </w:rPr>
        <w:t>综合</w:t>
      </w:r>
      <w:r>
        <w:rPr>
          <w:rFonts w:hint="eastAsia" w:ascii="宋体" w:hAnsi="宋体"/>
          <w:color w:val="auto"/>
          <w:sz w:val="21"/>
          <w:szCs w:val="21"/>
          <w:highlight w:val="none"/>
        </w:rPr>
        <w:t>得分低于60分的，不得推荐</w:t>
      </w:r>
      <w:r>
        <w:rPr>
          <w:rFonts w:hint="eastAsia" w:ascii="宋体" w:hAnsi="宋体"/>
          <w:color w:val="auto"/>
          <w:sz w:val="21"/>
          <w:szCs w:val="21"/>
          <w:highlight w:val="none"/>
          <w:lang w:val="en-US" w:eastAsia="zh-CN"/>
        </w:rPr>
        <w:t>为中标候选人。</w:t>
      </w:r>
      <w:r>
        <w:rPr>
          <w:rFonts w:hint="eastAsia" w:ascii="宋体" w:hAnsi="宋体"/>
          <w:color w:val="auto"/>
          <w:highlight w:val="none"/>
          <w:lang w:val="en-US" w:eastAsia="zh-CN"/>
        </w:rPr>
        <w:t>子包1符合</w:t>
      </w:r>
      <w:r>
        <w:rPr>
          <w:rFonts w:hint="eastAsia" w:ascii="宋体" w:hAnsi="宋体"/>
          <w:color w:val="auto"/>
          <w:highlight w:val="none"/>
          <w:lang w:eastAsia="zh-CN"/>
        </w:rPr>
        <w:t>推荐</w:t>
      </w:r>
      <w:r>
        <w:rPr>
          <w:rFonts w:hint="eastAsia" w:ascii="宋体" w:hAnsi="宋体"/>
          <w:color w:val="auto"/>
          <w:highlight w:val="none"/>
          <w:lang w:val="en-US" w:eastAsia="zh-CN"/>
        </w:rPr>
        <w:t>中标候选人标准</w:t>
      </w:r>
      <w:r>
        <w:rPr>
          <w:rFonts w:hint="eastAsia" w:ascii="宋体" w:hAnsi="宋体"/>
          <w:color w:val="auto"/>
          <w:highlight w:val="none"/>
          <w:lang w:eastAsia="zh-CN"/>
        </w:rPr>
        <w:t>的</w:t>
      </w:r>
      <w:r>
        <w:rPr>
          <w:rFonts w:hint="eastAsia" w:ascii="宋体" w:hAnsi="宋体"/>
          <w:color w:val="auto"/>
          <w:highlight w:val="none"/>
          <w:lang w:val="en-US" w:eastAsia="zh-CN"/>
        </w:rPr>
        <w:t>供应商少于3家，本子包招标失败，</w:t>
      </w:r>
      <w:r>
        <w:rPr>
          <w:rFonts w:hint="eastAsia" w:ascii="宋体" w:hAnsi="宋体"/>
          <w:color w:val="auto"/>
          <w:highlight w:val="none"/>
          <w:lang w:eastAsia="zh-CN"/>
        </w:rPr>
        <w:t>符合推荐</w:t>
      </w:r>
      <w:r>
        <w:rPr>
          <w:rFonts w:hint="eastAsia" w:ascii="宋体" w:hAnsi="宋体"/>
          <w:color w:val="auto"/>
          <w:highlight w:val="none"/>
          <w:lang w:val="en-US" w:eastAsia="zh-CN"/>
        </w:rPr>
        <w:t>中标候选人标准</w:t>
      </w:r>
      <w:r>
        <w:rPr>
          <w:rFonts w:hint="eastAsia" w:ascii="宋体" w:hAnsi="宋体"/>
          <w:color w:val="auto"/>
          <w:highlight w:val="none"/>
          <w:lang w:eastAsia="zh-CN"/>
        </w:rPr>
        <w:t>的</w:t>
      </w:r>
      <w:r>
        <w:rPr>
          <w:rFonts w:hint="eastAsia" w:ascii="宋体" w:hAnsi="宋体"/>
          <w:color w:val="auto"/>
          <w:highlight w:val="none"/>
          <w:lang w:val="en-US" w:eastAsia="zh-CN"/>
        </w:rPr>
        <w:t>供应商</w:t>
      </w:r>
      <w:r>
        <w:rPr>
          <w:rFonts w:hint="eastAsia" w:ascii="宋体" w:hAnsi="宋体"/>
          <w:color w:val="auto"/>
          <w:highlight w:val="none"/>
          <w:lang w:eastAsia="zh-CN"/>
        </w:rPr>
        <w:t>大于</w:t>
      </w:r>
      <w:r>
        <w:rPr>
          <w:rFonts w:hint="eastAsia" w:ascii="宋体" w:hAnsi="宋体"/>
          <w:color w:val="auto"/>
          <w:highlight w:val="none"/>
          <w:lang w:val="en-US" w:eastAsia="zh-CN"/>
        </w:rPr>
        <w:t>等于</w:t>
      </w:r>
      <w:r>
        <w:rPr>
          <w:rFonts w:hint="default" w:ascii="宋体" w:hAnsi="宋体"/>
          <w:color w:val="auto"/>
          <w:highlight w:val="none"/>
          <w:lang w:val="en-US" w:eastAsia="zh-CN"/>
        </w:rPr>
        <w:t>3</w:t>
      </w:r>
      <w:r>
        <w:rPr>
          <w:rFonts w:hint="eastAsia" w:ascii="宋体" w:hAnsi="宋体"/>
          <w:color w:val="auto"/>
          <w:highlight w:val="none"/>
          <w:lang w:eastAsia="zh-CN"/>
        </w:rPr>
        <w:t>家但少于</w:t>
      </w:r>
      <w:r>
        <w:rPr>
          <w:rFonts w:hint="eastAsia" w:ascii="宋体" w:hAnsi="宋体"/>
          <w:color w:val="auto"/>
          <w:highlight w:val="none"/>
          <w:lang w:val="en-US" w:eastAsia="zh-CN"/>
        </w:rPr>
        <w:t>等于8</w:t>
      </w:r>
      <w:r>
        <w:rPr>
          <w:rFonts w:hint="eastAsia" w:ascii="宋体" w:hAnsi="宋体"/>
          <w:color w:val="auto"/>
          <w:highlight w:val="none"/>
          <w:lang w:eastAsia="zh-CN"/>
        </w:rPr>
        <w:t>家时，全部推荐</w:t>
      </w:r>
      <w:r>
        <w:rPr>
          <w:rFonts w:hint="eastAsia" w:ascii="宋体" w:hAnsi="宋体"/>
          <w:color w:val="auto"/>
          <w:highlight w:val="none"/>
          <w:lang w:val="en-US" w:eastAsia="zh-CN"/>
        </w:rPr>
        <w:t>为中标候选人，</w:t>
      </w:r>
      <w:r>
        <w:rPr>
          <w:rFonts w:hint="eastAsia" w:ascii="宋体" w:hAnsi="宋体"/>
          <w:color w:val="auto"/>
          <w:highlight w:val="none"/>
          <w:lang w:eastAsia="zh-CN"/>
        </w:rPr>
        <w:t>符合推荐</w:t>
      </w:r>
      <w:r>
        <w:rPr>
          <w:rFonts w:hint="eastAsia" w:ascii="宋体" w:hAnsi="宋体"/>
          <w:color w:val="auto"/>
          <w:highlight w:val="none"/>
          <w:lang w:val="en-US" w:eastAsia="zh-CN"/>
        </w:rPr>
        <w:t>中标候选人标准</w:t>
      </w:r>
      <w:r>
        <w:rPr>
          <w:rFonts w:hint="eastAsia" w:ascii="宋体" w:hAnsi="宋体"/>
          <w:color w:val="auto"/>
          <w:highlight w:val="none"/>
          <w:lang w:eastAsia="zh-CN"/>
        </w:rPr>
        <w:t>的</w:t>
      </w:r>
      <w:r>
        <w:rPr>
          <w:rFonts w:hint="eastAsia" w:ascii="宋体" w:hAnsi="宋体"/>
          <w:color w:val="auto"/>
          <w:highlight w:val="none"/>
          <w:lang w:val="en-US" w:eastAsia="zh-CN"/>
        </w:rPr>
        <w:t>供应商大于</w:t>
      </w:r>
      <w:r>
        <w:rPr>
          <w:rFonts w:hint="eastAsia" w:ascii="宋体" w:hAnsi="宋体"/>
          <w:color w:val="auto"/>
          <w:szCs w:val="21"/>
          <w:highlight w:val="none"/>
          <w:lang w:val="en-US" w:eastAsia="zh-CN"/>
        </w:rPr>
        <w:t>8家</w:t>
      </w:r>
      <w:r>
        <w:rPr>
          <w:rFonts w:hint="eastAsia" w:ascii="宋体" w:hAnsi="宋体"/>
          <w:color w:val="auto"/>
          <w:szCs w:val="21"/>
          <w:highlight w:val="none"/>
        </w:rPr>
        <w:t>，根据</w:t>
      </w:r>
      <w:r>
        <w:rPr>
          <w:rFonts w:ascii="宋体" w:hAnsi="宋体"/>
          <w:color w:val="auto"/>
          <w:highlight w:val="none"/>
        </w:rPr>
        <w:t>评标总得分</w:t>
      </w:r>
      <w:r>
        <w:rPr>
          <w:rFonts w:hint="eastAsia" w:ascii="宋体" w:hAnsi="宋体"/>
          <w:color w:val="auto"/>
          <w:szCs w:val="21"/>
          <w:highlight w:val="none"/>
        </w:rPr>
        <w:t>由高到低排名</w:t>
      </w:r>
      <w:r>
        <w:rPr>
          <w:rFonts w:hint="eastAsia" w:ascii="宋体" w:hAnsi="宋体"/>
          <w:color w:val="auto"/>
          <w:szCs w:val="21"/>
          <w:highlight w:val="none"/>
          <w:lang w:val="en-US" w:eastAsia="zh-CN"/>
        </w:rPr>
        <w:t>推荐</w:t>
      </w:r>
      <w:r>
        <w:rPr>
          <w:rFonts w:hint="eastAsia" w:ascii="宋体" w:hAnsi="宋体"/>
          <w:color w:val="auto"/>
          <w:szCs w:val="21"/>
          <w:highlight w:val="none"/>
        </w:rPr>
        <w:t>前</w:t>
      </w:r>
      <w:r>
        <w:rPr>
          <w:rFonts w:hint="eastAsia" w:ascii="宋体" w:hAnsi="宋体"/>
          <w:color w:val="auto"/>
          <w:szCs w:val="21"/>
          <w:highlight w:val="none"/>
          <w:lang w:val="en-US" w:eastAsia="zh-CN"/>
        </w:rPr>
        <w:t>8</w:t>
      </w:r>
      <w:r>
        <w:rPr>
          <w:rFonts w:hint="eastAsia" w:ascii="宋体" w:hAnsi="宋体"/>
          <w:color w:val="auto"/>
          <w:szCs w:val="21"/>
          <w:highlight w:val="none"/>
        </w:rPr>
        <w:t>名为</w:t>
      </w:r>
      <w:r>
        <w:rPr>
          <w:rFonts w:hint="eastAsia" w:ascii="宋体" w:hAnsi="宋体"/>
          <w:color w:val="auto"/>
          <w:szCs w:val="21"/>
          <w:highlight w:val="none"/>
          <w:lang w:eastAsia="zh-CN"/>
        </w:rPr>
        <w:t>中标候选</w:t>
      </w:r>
      <w:r>
        <w:rPr>
          <w:rFonts w:hint="eastAsia" w:ascii="宋体" w:hAnsi="宋体"/>
          <w:color w:val="auto"/>
          <w:szCs w:val="21"/>
          <w:highlight w:val="none"/>
          <w:lang w:val="en-US" w:eastAsia="zh-CN"/>
        </w:rPr>
        <w:t>人</w:t>
      </w:r>
      <w:r>
        <w:rPr>
          <w:rFonts w:hint="eastAsia" w:ascii="宋体" w:hAnsi="宋体"/>
          <w:color w:val="auto"/>
          <w:highlight w:val="none"/>
          <w:lang w:eastAsia="zh-CN"/>
        </w:rPr>
        <w:t>。</w:t>
      </w:r>
      <w:r>
        <w:rPr>
          <w:rFonts w:hint="eastAsia" w:ascii="宋体" w:hAnsi="宋体"/>
          <w:color w:val="auto"/>
          <w:highlight w:val="none"/>
          <w:lang w:val="en-US" w:eastAsia="zh-CN"/>
        </w:rPr>
        <w:t>子包2符合</w:t>
      </w:r>
      <w:r>
        <w:rPr>
          <w:rFonts w:hint="eastAsia" w:ascii="宋体" w:hAnsi="宋体"/>
          <w:color w:val="auto"/>
          <w:highlight w:val="none"/>
          <w:lang w:eastAsia="zh-CN"/>
        </w:rPr>
        <w:t>推荐</w:t>
      </w:r>
      <w:r>
        <w:rPr>
          <w:rFonts w:hint="eastAsia" w:ascii="宋体" w:hAnsi="宋体"/>
          <w:color w:val="auto"/>
          <w:highlight w:val="none"/>
          <w:lang w:val="en-US" w:eastAsia="zh-CN"/>
        </w:rPr>
        <w:t>中标候选人标准</w:t>
      </w:r>
      <w:r>
        <w:rPr>
          <w:rFonts w:hint="eastAsia" w:ascii="宋体" w:hAnsi="宋体"/>
          <w:color w:val="auto"/>
          <w:highlight w:val="none"/>
          <w:lang w:eastAsia="zh-CN"/>
        </w:rPr>
        <w:t>的</w:t>
      </w:r>
      <w:r>
        <w:rPr>
          <w:rFonts w:hint="eastAsia" w:ascii="宋体" w:hAnsi="宋体"/>
          <w:color w:val="auto"/>
          <w:highlight w:val="none"/>
          <w:lang w:val="en-US" w:eastAsia="zh-CN"/>
        </w:rPr>
        <w:t>供应商少于3家，本子包招标失败，</w:t>
      </w:r>
      <w:r>
        <w:rPr>
          <w:rFonts w:hint="eastAsia" w:ascii="宋体" w:hAnsi="宋体"/>
          <w:color w:val="auto"/>
          <w:highlight w:val="none"/>
          <w:lang w:eastAsia="zh-CN"/>
        </w:rPr>
        <w:t>符合推荐</w:t>
      </w:r>
      <w:r>
        <w:rPr>
          <w:rFonts w:hint="eastAsia" w:ascii="宋体" w:hAnsi="宋体"/>
          <w:color w:val="auto"/>
          <w:highlight w:val="none"/>
          <w:lang w:val="en-US" w:eastAsia="zh-CN"/>
        </w:rPr>
        <w:t>中标候选人标准</w:t>
      </w:r>
      <w:r>
        <w:rPr>
          <w:rFonts w:hint="eastAsia" w:ascii="宋体" w:hAnsi="宋体"/>
          <w:color w:val="auto"/>
          <w:highlight w:val="none"/>
          <w:lang w:eastAsia="zh-CN"/>
        </w:rPr>
        <w:t>的</w:t>
      </w:r>
      <w:r>
        <w:rPr>
          <w:rFonts w:hint="eastAsia" w:ascii="宋体" w:hAnsi="宋体"/>
          <w:color w:val="auto"/>
          <w:highlight w:val="none"/>
          <w:lang w:val="en-US" w:eastAsia="zh-CN"/>
        </w:rPr>
        <w:t>供应商</w:t>
      </w:r>
      <w:r>
        <w:rPr>
          <w:rFonts w:hint="eastAsia" w:ascii="宋体" w:hAnsi="宋体"/>
          <w:color w:val="auto"/>
          <w:highlight w:val="none"/>
          <w:lang w:eastAsia="zh-CN"/>
        </w:rPr>
        <w:t>大于</w:t>
      </w:r>
      <w:r>
        <w:rPr>
          <w:rFonts w:hint="eastAsia" w:ascii="宋体" w:hAnsi="宋体"/>
          <w:color w:val="auto"/>
          <w:highlight w:val="none"/>
          <w:lang w:val="en-US" w:eastAsia="zh-CN"/>
        </w:rPr>
        <w:t>等于</w:t>
      </w:r>
      <w:r>
        <w:rPr>
          <w:rFonts w:hint="default" w:ascii="宋体" w:hAnsi="宋体"/>
          <w:color w:val="auto"/>
          <w:highlight w:val="none"/>
          <w:lang w:val="en-US" w:eastAsia="zh-CN"/>
        </w:rPr>
        <w:t>3</w:t>
      </w:r>
      <w:r>
        <w:rPr>
          <w:rFonts w:hint="eastAsia" w:ascii="宋体" w:hAnsi="宋体"/>
          <w:color w:val="auto"/>
          <w:highlight w:val="none"/>
          <w:lang w:eastAsia="zh-CN"/>
        </w:rPr>
        <w:t>家但少于</w:t>
      </w:r>
      <w:r>
        <w:rPr>
          <w:rFonts w:hint="eastAsia" w:ascii="宋体" w:hAnsi="宋体"/>
          <w:color w:val="auto"/>
          <w:highlight w:val="none"/>
          <w:lang w:val="en-US" w:eastAsia="zh-CN"/>
        </w:rPr>
        <w:t>等于7</w:t>
      </w:r>
      <w:r>
        <w:rPr>
          <w:rFonts w:hint="eastAsia" w:ascii="宋体" w:hAnsi="宋体"/>
          <w:color w:val="auto"/>
          <w:highlight w:val="none"/>
          <w:lang w:eastAsia="zh-CN"/>
        </w:rPr>
        <w:t>家时，全部推荐</w:t>
      </w:r>
      <w:r>
        <w:rPr>
          <w:rFonts w:hint="eastAsia" w:ascii="宋体" w:hAnsi="宋体"/>
          <w:color w:val="auto"/>
          <w:highlight w:val="none"/>
          <w:lang w:val="en-US" w:eastAsia="zh-CN"/>
        </w:rPr>
        <w:t>为中标候选人，</w:t>
      </w:r>
      <w:r>
        <w:rPr>
          <w:rFonts w:hint="eastAsia" w:ascii="宋体" w:hAnsi="宋体"/>
          <w:color w:val="auto"/>
          <w:highlight w:val="none"/>
          <w:lang w:eastAsia="zh-CN"/>
        </w:rPr>
        <w:t>符合推荐</w:t>
      </w:r>
      <w:r>
        <w:rPr>
          <w:rFonts w:hint="eastAsia" w:ascii="宋体" w:hAnsi="宋体"/>
          <w:color w:val="auto"/>
          <w:highlight w:val="none"/>
          <w:lang w:val="en-US" w:eastAsia="zh-CN"/>
        </w:rPr>
        <w:t>中标候选人标准</w:t>
      </w:r>
      <w:r>
        <w:rPr>
          <w:rFonts w:hint="eastAsia" w:ascii="宋体" w:hAnsi="宋体"/>
          <w:color w:val="auto"/>
          <w:highlight w:val="none"/>
          <w:lang w:eastAsia="zh-CN"/>
        </w:rPr>
        <w:t>的</w:t>
      </w:r>
      <w:r>
        <w:rPr>
          <w:rFonts w:hint="eastAsia" w:ascii="宋体" w:hAnsi="宋体"/>
          <w:color w:val="auto"/>
          <w:highlight w:val="none"/>
          <w:lang w:val="en-US" w:eastAsia="zh-CN"/>
        </w:rPr>
        <w:t>供应商大于</w:t>
      </w:r>
      <w:r>
        <w:rPr>
          <w:rFonts w:hint="eastAsia" w:ascii="宋体" w:hAnsi="宋体"/>
          <w:color w:val="auto"/>
          <w:szCs w:val="21"/>
          <w:highlight w:val="none"/>
          <w:lang w:val="en-US" w:eastAsia="zh-CN"/>
        </w:rPr>
        <w:t>7家</w:t>
      </w:r>
      <w:r>
        <w:rPr>
          <w:rFonts w:hint="eastAsia" w:ascii="宋体" w:hAnsi="宋体"/>
          <w:color w:val="auto"/>
          <w:szCs w:val="21"/>
          <w:highlight w:val="none"/>
        </w:rPr>
        <w:t>，根据</w:t>
      </w:r>
      <w:r>
        <w:rPr>
          <w:rFonts w:ascii="宋体" w:hAnsi="宋体"/>
          <w:color w:val="auto"/>
          <w:highlight w:val="none"/>
        </w:rPr>
        <w:t>评标总得分</w:t>
      </w:r>
      <w:r>
        <w:rPr>
          <w:rFonts w:hint="eastAsia" w:ascii="宋体" w:hAnsi="宋体"/>
          <w:color w:val="auto"/>
          <w:szCs w:val="21"/>
          <w:highlight w:val="none"/>
        </w:rPr>
        <w:t>由高到低排名</w:t>
      </w:r>
      <w:r>
        <w:rPr>
          <w:rFonts w:hint="eastAsia" w:ascii="宋体" w:hAnsi="宋体"/>
          <w:color w:val="auto"/>
          <w:szCs w:val="21"/>
          <w:highlight w:val="none"/>
          <w:lang w:val="en-US" w:eastAsia="zh-CN"/>
        </w:rPr>
        <w:t>推荐</w:t>
      </w:r>
      <w:r>
        <w:rPr>
          <w:rFonts w:hint="eastAsia" w:ascii="宋体" w:hAnsi="宋体"/>
          <w:color w:val="auto"/>
          <w:szCs w:val="21"/>
          <w:highlight w:val="none"/>
        </w:rPr>
        <w:t>前</w:t>
      </w:r>
      <w:r>
        <w:rPr>
          <w:rFonts w:hint="eastAsia" w:ascii="宋体" w:hAnsi="宋体"/>
          <w:color w:val="auto"/>
          <w:szCs w:val="21"/>
          <w:highlight w:val="none"/>
          <w:lang w:val="en-US" w:eastAsia="zh-CN"/>
        </w:rPr>
        <w:t>7</w:t>
      </w:r>
      <w:r>
        <w:rPr>
          <w:rFonts w:hint="eastAsia" w:ascii="宋体" w:hAnsi="宋体"/>
          <w:color w:val="auto"/>
          <w:szCs w:val="21"/>
          <w:highlight w:val="none"/>
        </w:rPr>
        <w:t>名为</w:t>
      </w:r>
      <w:r>
        <w:rPr>
          <w:rFonts w:hint="eastAsia" w:ascii="宋体" w:hAnsi="宋体"/>
          <w:color w:val="auto"/>
          <w:szCs w:val="21"/>
          <w:highlight w:val="none"/>
          <w:lang w:eastAsia="zh-CN"/>
        </w:rPr>
        <w:t>中标候选</w:t>
      </w:r>
      <w:r>
        <w:rPr>
          <w:rFonts w:hint="eastAsia" w:ascii="宋体" w:hAnsi="宋体"/>
          <w:color w:val="auto"/>
          <w:szCs w:val="21"/>
          <w:highlight w:val="none"/>
          <w:lang w:val="en-US" w:eastAsia="zh-CN"/>
        </w:rPr>
        <w:t>人</w:t>
      </w:r>
      <w:r>
        <w:rPr>
          <w:rFonts w:hint="eastAsia" w:ascii="宋体" w:hAnsi="宋体"/>
          <w:color w:val="auto"/>
          <w:highlight w:val="none"/>
          <w:lang w:eastAsia="zh-CN"/>
        </w:rPr>
        <w:t>。</w:t>
      </w:r>
      <w:r>
        <w:rPr>
          <w:rFonts w:ascii="宋体" w:hAnsi="宋体"/>
          <w:color w:val="auto"/>
          <w:highlight w:val="none"/>
        </w:rPr>
        <w:t>排名第一的</w:t>
      </w:r>
      <w:r>
        <w:rPr>
          <w:rFonts w:hint="eastAsia" w:ascii="宋体" w:hAnsi="宋体"/>
          <w:color w:val="auto"/>
          <w:highlight w:val="none"/>
          <w:lang w:val="en-US" w:eastAsia="zh-CN"/>
        </w:rPr>
        <w:t>供应商</w:t>
      </w:r>
      <w:r>
        <w:rPr>
          <w:rFonts w:ascii="宋体" w:hAnsi="宋体"/>
          <w:color w:val="auto"/>
          <w:highlight w:val="none"/>
        </w:rPr>
        <w:t>为第一中标候选人，排名第二的</w:t>
      </w:r>
      <w:r>
        <w:rPr>
          <w:rFonts w:hint="eastAsia" w:ascii="宋体" w:hAnsi="宋体"/>
          <w:color w:val="auto"/>
          <w:highlight w:val="none"/>
          <w:lang w:val="en-US" w:eastAsia="zh-CN"/>
        </w:rPr>
        <w:t>供应商</w:t>
      </w:r>
      <w:r>
        <w:rPr>
          <w:rFonts w:ascii="宋体" w:hAnsi="宋体"/>
          <w:color w:val="auto"/>
          <w:highlight w:val="none"/>
        </w:rPr>
        <w:t>为第二中标候选人，排名第三的</w:t>
      </w:r>
      <w:r>
        <w:rPr>
          <w:rFonts w:hint="eastAsia" w:ascii="宋体" w:hAnsi="宋体"/>
          <w:color w:val="auto"/>
          <w:highlight w:val="none"/>
          <w:lang w:val="en-US" w:eastAsia="zh-CN"/>
        </w:rPr>
        <w:t>供应商</w:t>
      </w:r>
      <w:r>
        <w:rPr>
          <w:rFonts w:ascii="宋体" w:hAnsi="宋体"/>
          <w:color w:val="auto"/>
          <w:highlight w:val="none"/>
        </w:rPr>
        <w:t>为第三中标候选人</w:t>
      </w:r>
      <w:r>
        <w:rPr>
          <w:rFonts w:hint="eastAsia" w:ascii="宋体" w:hAnsi="宋体"/>
          <w:color w:val="auto"/>
          <w:highlight w:val="none"/>
          <w:lang w:eastAsia="zh-CN"/>
        </w:rPr>
        <w:t>，</w:t>
      </w:r>
      <w:r>
        <w:rPr>
          <w:rFonts w:hint="eastAsia" w:ascii="宋体" w:hAnsi="宋体"/>
          <w:color w:val="auto"/>
          <w:highlight w:val="none"/>
          <w:lang w:val="en-US" w:eastAsia="zh-CN"/>
        </w:rPr>
        <w:t>如此类推</w:t>
      </w:r>
      <w:r>
        <w:rPr>
          <w:rFonts w:ascii="宋体" w:hAnsi="宋体"/>
          <w:color w:val="auto"/>
          <w:highlight w:val="none"/>
        </w:rPr>
        <w:t>。评标总得分相同的，名次按技术分较高者排名靠前；评标总得分相同、</w:t>
      </w:r>
      <w:r>
        <w:rPr>
          <w:rFonts w:hint="eastAsia" w:ascii="宋体" w:hAnsi="宋体"/>
          <w:color w:val="auto"/>
          <w:highlight w:val="none"/>
        </w:rPr>
        <w:t>商务评分</w:t>
      </w:r>
      <w:r>
        <w:rPr>
          <w:rFonts w:ascii="宋体" w:hAnsi="宋体"/>
          <w:color w:val="auto"/>
          <w:highlight w:val="none"/>
        </w:rPr>
        <w:t>和技术评分均相同的，名次由评标委员会投票决定；最后，评标委员会写出评标报告，将推荐的中标候选人报招标人核准。</w:t>
      </w:r>
    </w:p>
    <w:p>
      <w:pPr>
        <w:spacing w:line="360" w:lineRule="auto"/>
        <w:rPr>
          <w:rFonts w:ascii="宋体" w:hAnsi="宋体"/>
          <w:color w:val="auto"/>
          <w:szCs w:val="21"/>
          <w:highlight w:val="none"/>
        </w:rPr>
      </w:pPr>
      <w:r>
        <w:rPr>
          <w:rFonts w:ascii="宋体" w:hAnsi="宋体"/>
          <w:color w:val="auto"/>
          <w:szCs w:val="21"/>
          <w:highlight w:val="none"/>
        </w:rPr>
        <w:t xml:space="preserve"> </w:t>
      </w:r>
    </w:p>
    <w:p>
      <w:pPr>
        <w:tabs>
          <w:tab w:val="left" w:pos="824"/>
        </w:tabs>
        <w:spacing w:line="360" w:lineRule="auto"/>
        <w:ind w:firstLine="525" w:firstLineChars="250"/>
        <w:rPr>
          <w:rFonts w:hint="eastAsia" w:ascii="宋体" w:hAnsi="宋体" w:eastAsia="宋体"/>
          <w:color w:val="auto"/>
          <w:highlight w:val="none"/>
          <w:lang w:eastAsia="zh-CN"/>
        </w:rPr>
      </w:pPr>
      <w:r>
        <w:rPr>
          <w:rFonts w:ascii="宋体" w:hAnsi="宋体"/>
          <w:color w:val="auto"/>
          <w:highlight w:val="none"/>
        </w:rPr>
        <w:t xml:space="preserve">附表1   </w:t>
      </w:r>
      <w:r>
        <w:rPr>
          <w:rFonts w:hint="eastAsia" w:ascii="宋体" w:hAnsi="宋体"/>
          <w:color w:val="auto"/>
          <w:highlight w:val="none"/>
          <w:lang w:val="en-US" w:eastAsia="zh-CN"/>
        </w:rPr>
        <w:t xml:space="preserve"> </w:t>
      </w:r>
      <w:r>
        <w:rPr>
          <w:rFonts w:hint="eastAsia" w:ascii="宋体" w:hAnsi="宋体"/>
          <w:color w:val="auto"/>
          <w:highlight w:val="none"/>
          <w:lang w:eastAsia="zh-CN"/>
        </w:rPr>
        <w:t>符合性审查表（阶段一）</w:t>
      </w:r>
    </w:p>
    <w:p>
      <w:pPr>
        <w:tabs>
          <w:tab w:val="left" w:pos="824"/>
        </w:tabs>
        <w:spacing w:line="360" w:lineRule="auto"/>
        <w:ind w:firstLine="525" w:firstLineChars="250"/>
        <w:rPr>
          <w:rFonts w:hint="eastAsia" w:ascii="宋体" w:hAnsi="宋体"/>
          <w:color w:val="auto"/>
          <w:highlight w:val="none"/>
        </w:rPr>
      </w:pPr>
      <w:r>
        <w:rPr>
          <w:rFonts w:ascii="宋体" w:hAnsi="宋体"/>
          <w:color w:val="auto"/>
          <w:highlight w:val="none"/>
        </w:rPr>
        <w:t xml:space="preserve">附表2    </w:t>
      </w:r>
      <w:r>
        <w:rPr>
          <w:rFonts w:hint="eastAsia" w:ascii="宋体" w:hAnsi="宋体"/>
          <w:color w:val="auto"/>
          <w:highlight w:val="none"/>
        </w:rPr>
        <w:t>技术评分表</w:t>
      </w:r>
    </w:p>
    <w:p>
      <w:pPr>
        <w:tabs>
          <w:tab w:val="left" w:pos="824"/>
        </w:tabs>
        <w:spacing w:line="360" w:lineRule="auto"/>
        <w:ind w:firstLine="525" w:firstLineChars="250"/>
        <w:rPr>
          <w:rFonts w:hint="eastAsia" w:ascii="宋体" w:hAnsi="宋体"/>
          <w:color w:val="auto"/>
          <w:highlight w:val="none"/>
        </w:rPr>
      </w:pPr>
      <w:r>
        <w:rPr>
          <w:rFonts w:ascii="宋体" w:hAnsi="宋体"/>
          <w:color w:val="auto"/>
          <w:highlight w:val="none"/>
        </w:rPr>
        <w:t>附表3    商务</w:t>
      </w:r>
      <w:r>
        <w:rPr>
          <w:rFonts w:hint="eastAsia" w:ascii="宋体" w:hAnsi="宋体"/>
          <w:color w:val="auto"/>
          <w:highlight w:val="none"/>
        </w:rPr>
        <w:t>评分表</w:t>
      </w:r>
    </w:p>
    <w:p>
      <w:pPr>
        <w:tabs>
          <w:tab w:val="left" w:pos="824"/>
        </w:tabs>
        <w:spacing w:line="360" w:lineRule="auto"/>
        <w:ind w:firstLine="525" w:firstLineChars="250"/>
        <w:rPr>
          <w:rFonts w:hint="eastAsia" w:ascii="宋体" w:hAnsi="宋体" w:eastAsia="宋体"/>
          <w:color w:val="auto"/>
          <w:highlight w:val="none"/>
          <w:lang w:eastAsia="zh-CN"/>
        </w:rPr>
      </w:pPr>
      <w:r>
        <w:rPr>
          <w:rFonts w:ascii="宋体" w:hAnsi="宋体"/>
          <w:color w:val="auto"/>
          <w:highlight w:val="none"/>
        </w:rPr>
        <w:t>附表</w:t>
      </w:r>
      <w:r>
        <w:rPr>
          <w:rFonts w:hint="eastAsia" w:ascii="宋体" w:hAnsi="宋体"/>
          <w:color w:val="auto"/>
          <w:highlight w:val="none"/>
          <w:lang w:val="en-US" w:eastAsia="zh-CN"/>
        </w:rPr>
        <w:t>4</w:t>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lang w:eastAsia="zh-CN"/>
        </w:rPr>
        <w:t>符合性审查表（阶段</w:t>
      </w:r>
      <w:r>
        <w:rPr>
          <w:rFonts w:hint="eastAsia" w:ascii="宋体" w:hAnsi="宋体"/>
          <w:color w:val="auto"/>
          <w:highlight w:val="none"/>
          <w:lang w:val="en-US" w:eastAsia="zh-CN"/>
        </w:rPr>
        <w:t>二</w:t>
      </w:r>
      <w:r>
        <w:rPr>
          <w:rFonts w:hint="eastAsia" w:ascii="宋体" w:hAnsi="宋体"/>
          <w:color w:val="auto"/>
          <w:highlight w:val="none"/>
          <w:lang w:eastAsia="zh-CN"/>
        </w:rPr>
        <w:t>）</w:t>
      </w:r>
    </w:p>
    <w:p>
      <w:pPr>
        <w:pStyle w:val="2"/>
      </w:pPr>
    </w:p>
    <w:bookmarkEnd w:id="289"/>
    <w:bookmarkEnd w:id="290"/>
    <w:bookmarkEnd w:id="291"/>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br w:type="page"/>
      </w:r>
    </w:p>
    <w:p>
      <w:pPr>
        <w:spacing w:line="360" w:lineRule="auto"/>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附表1：</w:t>
      </w:r>
      <w:r>
        <w:rPr>
          <w:rFonts w:hint="eastAsia" w:ascii="宋体" w:hAnsi="宋体"/>
          <w:b/>
          <w:color w:val="auto"/>
          <w:szCs w:val="24"/>
          <w:highlight w:val="none"/>
          <w:lang w:eastAsia="zh-CN"/>
        </w:rPr>
        <w:t>符合性审查表（阶段一）</w:t>
      </w:r>
    </w:p>
    <w:p>
      <w:pPr>
        <w:jc w:val="center"/>
        <w:rPr>
          <w:rFonts w:hint="eastAsia" w:ascii="宋体" w:hAnsi="宋体" w:eastAsia="宋体"/>
          <w:b/>
          <w:color w:val="auto"/>
          <w:sz w:val="28"/>
          <w:szCs w:val="28"/>
          <w:highlight w:val="none"/>
          <w:lang w:eastAsia="zh-CN"/>
        </w:rPr>
      </w:pPr>
      <w:bookmarkStart w:id="295" w:name="_Toc2981_WPSOffice_Level1"/>
      <w:bookmarkStart w:id="296" w:name="_Toc18088_WPSOffice_Level1"/>
      <w:bookmarkStart w:id="297" w:name="_Toc23841_WPSOffice_Level1"/>
      <w:r>
        <w:rPr>
          <w:rFonts w:hint="eastAsia" w:ascii="宋体" w:hAnsi="宋体"/>
          <w:b/>
          <w:color w:val="auto"/>
          <w:sz w:val="28"/>
          <w:szCs w:val="28"/>
          <w:highlight w:val="none"/>
          <w:lang w:eastAsia="zh-CN"/>
        </w:rPr>
        <w:t>符合性审查表（阶段一）（</w:t>
      </w:r>
      <w:r>
        <w:rPr>
          <w:rFonts w:hint="eastAsia" w:ascii="宋体" w:hAnsi="宋体"/>
          <w:b/>
          <w:color w:val="auto"/>
          <w:sz w:val="28"/>
          <w:szCs w:val="28"/>
          <w:highlight w:val="none"/>
          <w:lang w:val="en-US" w:eastAsia="zh-CN"/>
        </w:rPr>
        <w:t>适用于各子包</w:t>
      </w:r>
      <w:r>
        <w:rPr>
          <w:rFonts w:hint="eastAsia" w:ascii="宋体" w:hAnsi="宋体"/>
          <w:b/>
          <w:color w:val="auto"/>
          <w:sz w:val="28"/>
          <w:szCs w:val="28"/>
          <w:highlight w:val="none"/>
          <w:lang w:eastAsia="zh-CN"/>
        </w:rPr>
        <w:t>）</w:t>
      </w:r>
    </w:p>
    <w:tbl>
      <w:tblPr>
        <w:tblStyle w:val="31"/>
        <w:tblW w:w="0" w:type="auto"/>
        <w:tblInd w:w="0" w:type="dxa"/>
        <w:tblLayout w:type="fixed"/>
        <w:tblCellMar>
          <w:top w:w="0" w:type="dxa"/>
          <w:left w:w="0" w:type="dxa"/>
          <w:bottom w:w="0" w:type="dxa"/>
          <w:right w:w="0" w:type="dxa"/>
        </w:tblCellMar>
      </w:tblPr>
      <w:tblGrid>
        <w:gridCol w:w="559"/>
        <w:gridCol w:w="4225"/>
        <w:gridCol w:w="746"/>
        <w:gridCol w:w="744"/>
        <w:gridCol w:w="744"/>
        <w:gridCol w:w="744"/>
        <w:gridCol w:w="744"/>
        <w:gridCol w:w="766"/>
      </w:tblGrid>
      <w:tr>
        <w:tblPrEx>
          <w:tblCellMar>
            <w:top w:w="0" w:type="dxa"/>
            <w:left w:w="0" w:type="dxa"/>
            <w:bottom w:w="0" w:type="dxa"/>
            <w:right w:w="0" w:type="dxa"/>
          </w:tblCellMar>
        </w:tblPrEx>
        <w:trPr>
          <w:trHeight w:val="90" w:hRule="atLeast"/>
        </w:trPr>
        <w:tc>
          <w:tcPr>
            <w:tcW w:w="559"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bookmarkStart w:id="298" w:name="OLE_LINK2"/>
            <w:r>
              <w:rPr>
                <w:rFonts w:hint="eastAsia" w:ascii="宋体" w:hAnsi="宋体" w:cs="宋体"/>
                <w:color w:val="auto"/>
                <w:szCs w:val="21"/>
                <w:highlight w:val="none"/>
              </w:rPr>
              <w:t>序号</w:t>
            </w:r>
          </w:p>
        </w:tc>
        <w:tc>
          <w:tcPr>
            <w:tcW w:w="4225" w:type="dxa"/>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审查项目</w:t>
            </w:r>
          </w:p>
        </w:tc>
        <w:tc>
          <w:tcPr>
            <w:tcW w:w="4488"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供应商</w:t>
            </w:r>
          </w:p>
        </w:tc>
      </w:tr>
      <w:tr>
        <w:tblPrEx>
          <w:tblCellMar>
            <w:top w:w="0" w:type="dxa"/>
            <w:left w:w="0" w:type="dxa"/>
            <w:bottom w:w="0" w:type="dxa"/>
            <w:right w:w="0" w:type="dxa"/>
          </w:tblCellMar>
        </w:tblPrEx>
        <w:trPr>
          <w:trHeight w:val="211" w:hRule="atLeast"/>
        </w:trPr>
        <w:tc>
          <w:tcPr>
            <w:tcW w:w="559"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4225" w:type="dxa"/>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C</w:t>
            </w: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D</w:t>
            </w: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E</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bCs/>
                <w:color w:val="auto"/>
                <w:kern w:val="0"/>
                <w:szCs w:val="21"/>
                <w:highlight w:val="none"/>
              </w:rPr>
              <w:t>...</w:t>
            </w:r>
          </w:p>
        </w:tc>
      </w:tr>
      <w:tr>
        <w:tblPrEx>
          <w:tblCellMar>
            <w:top w:w="0" w:type="dxa"/>
            <w:left w:w="0" w:type="dxa"/>
            <w:bottom w:w="0" w:type="dxa"/>
            <w:right w:w="0" w:type="dxa"/>
          </w:tblCellMar>
        </w:tblPrEx>
        <w:trPr>
          <w:trHeight w:val="609" w:hRule="atLeast"/>
        </w:trPr>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2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符合合格</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资格条件；</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投标文件按招标文件规定要求签署及盖章，由授权代表签署时有</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出具的授权委托书；</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投标有效期满足招标文件要求；</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03"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按招标文件要求提交投标保证金；</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招标文件</w:t>
            </w:r>
            <w:r>
              <w:rPr>
                <w:rFonts w:hint="eastAsia" w:ascii="宋体" w:hAnsi="宋体" w:cs="宋体"/>
                <w:b/>
                <w:color w:val="auto"/>
                <w:szCs w:val="21"/>
                <w:highlight w:val="none"/>
              </w:rPr>
              <w:t>★</w:t>
            </w:r>
            <w:r>
              <w:rPr>
                <w:rFonts w:hint="eastAsia" w:ascii="宋体" w:hAnsi="宋体" w:cs="宋体"/>
                <w:color w:val="auto"/>
                <w:szCs w:val="21"/>
                <w:highlight w:val="none"/>
              </w:rPr>
              <w:t>号条款要求必须满足，投标文件的内容实质性满足招标文件无重大偏离或保留，否则按废标处理，没有出现违反法律、法规规定的情形；</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609" w:hRule="atLeast"/>
        </w:trPr>
        <w:tc>
          <w:tcPr>
            <w:tcW w:w="55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422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投标文件未附有招标人不能接受的条件的。</w:t>
            </w:r>
          </w:p>
        </w:tc>
        <w:tc>
          <w:tcPr>
            <w:tcW w:w="7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766"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356" w:hRule="atLeast"/>
        </w:trPr>
        <w:tc>
          <w:tcPr>
            <w:tcW w:w="478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结      论</w:t>
            </w:r>
          </w:p>
        </w:tc>
        <w:tc>
          <w:tcPr>
            <w:tcW w:w="74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7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74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c>
          <w:tcPr>
            <w:tcW w:w="7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p>
        </w:tc>
      </w:tr>
      <w:bookmarkEnd w:id="298"/>
    </w:tbl>
    <w:p>
      <w:pPr>
        <w:jc w:val="left"/>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br w:type="page"/>
      </w:r>
    </w:p>
    <w:bookmarkEnd w:id="295"/>
    <w:bookmarkEnd w:id="296"/>
    <w:bookmarkEnd w:id="297"/>
    <w:p>
      <w:pPr>
        <w:spacing w:line="360" w:lineRule="auto"/>
        <w:ind w:firstLine="630"/>
        <w:rPr>
          <w:rFonts w:hint="eastAsia" w:hAnsi="宋体" w:cs="宋体"/>
          <w:color w:val="auto"/>
          <w:sz w:val="36"/>
          <w:szCs w:val="36"/>
          <w:highlight w:val="none"/>
        </w:rPr>
      </w:pPr>
      <w:bookmarkStart w:id="299" w:name="_Toc30424_WPSOffice_Level1"/>
      <w:bookmarkStart w:id="300" w:name="_Toc1778_WPSOffice_Level1"/>
      <w:bookmarkStart w:id="301" w:name="_Toc16973_WPSOffice_Level1"/>
      <w:bookmarkStart w:id="302" w:name="OLE_LINK10"/>
      <w:r>
        <w:rPr>
          <w:rFonts w:hint="eastAsia" w:hAnsi="宋体" w:cs="宋体"/>
          <w:b/>
          <w:color w:val="auto"/>
          <w:highlight w:val="none"/>
        </w:rPr>
        <w:t>附表2：</w:t>
      </w:r>
      <w:bookmarkEnd w:id="299"/>
      <w:bookmarkEnd w:id="300"/>
      <w:bookmarkEnd w:id="301"/>
      <w:r>
        <w:rPr>
          <w:rFonts w:hint="eastAsia" w:hAnsi="宋体" w:cs="宋体"/>
          <w:b/>
          <w:color w:val="auto"/>
          <w:highlight w:val="none"/>
        </w:rPr>
        <w:t>技术评分表</w:t>
      </w:r>
    </w:p>
    <w:bookmarkEnd w:id="302"/>
    <w:p>
      <w:pPr>
        <w:jc w:val="center"/>
        <w:rPr>
          <w:rFonts w:hint="eastAsia" w:ascii="宋体" w:hAnsi="宋体" w:eastAsia="宋体" w:cs="宋体"/>
          <w:b/>
          <w:color w:val="auto"/>
          <w:sz w:val="28"/>
          <w:szCs w:val="28"/>
          <w:highlight w:val="none"/>
          <w:lang w:eastAsia="zh-CN"/>
        </w:rPr>
      </w:pPr>
      <w:bookmarkStart w:id="303" w:name="_Toc23766_WPSOffice_Level1"/>
      <w:bookmarkStart w:id="304" w:name="_Toc13899_WPSOffice_Level1"/>
      <w:bookmarkStart w:id="305" w:name="_Toc15598_WPSOffice_Level1"/>
      <w:r>
        <w:rPr>
          <w:rFonts w:hint="eastAsia" w:ascii="宋体" w:hAnsi="宋体" w:cs="宋体"/>
          <w:b/>
          <w:color w:val="auto"/>
          <w:sz w:val="28"/>
          <w:szCs w:val="28"/>
          <w:highlight w:val="none"/>
        </w:rPr>
        <w:t>技术评分表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适用于子包1</w:t>
      </w:r>
      <w:r>
        <w:rPr>
          <w:rFonts w:hint="eastAsia" w:ascii="宋体" w:hAnsi="宋体" w:cs="宋体"/>
          <w:b/>
          <w:color w:val="auto"/>
          <w:sz w:val="28"/>
          <w:szCs w:val="28"/>
          <w:highlight w:val="none"/>
          <w:lang w:eastAsia="zh-CN"/>
        </w:rPr>
        <w:t>）</w:t>
      </w:r>
    </w:p>
    <w:tbl>
      <w:tblPr>
        <w:tblStyle w:val="3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3"/>
        <w:gridCol w:w="700"/>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评分项</w:t>
            </w:r>
          </w:p>
        </w:tc>
        <w:tc>
          <w:tcPr>
            <w:tcW w:w="6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技术</w:t>
            </w:r>
          </w:p>
        </w:tc>
        <w:tc>
          <w:tcPr>
            <w:tcW w:w="6675"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06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b/>
                <w:bCs/>
                <w:color w:val="auto"/>
                <w:szCs w:val="21"/>
              </w:rPr>
            </w:pPr>
            <w:r>
              <w:rPr>
                <w:rFonts w:hint="eastAsia" w:ascii="宋体" w:hAnsi="宋体" w:cs="宋体"/>
                <w:b/>
                <w:bCs/>
                <w:color w:val="auto"/>
                <w:szCs w:val="21"/>
                <w:lang w:eastAsia="zh-CN"/>
              </w:rPr>
              <w:t>供应商</w:t>
            </w:r>
            <w:r>
              <w:rPr>
                <w:rFonts w:hint="eastAsia" w:ascii="宋体" w:hAnsi="宋体" w:cs="宋体"/>
                <w:b/>
                <w:bCs/>
                <w:color w:val="auto"/>
                <w:szCs w:val="21"/>
              </w:rPr>
              <w:t>根据以下案例项目背景针对“实施方案”、“实施进度计划和风控保障”、“服务质量保证措施”、“项目安全防护及应急方案”、“质保期服务方案”评分项进行方案阐述。</w:t>
            </w:r>
          </w:p>
          <w:p>
            <w:pPr>
              <w:spacing w:line="360" w:lineRule="exact"/>
              <w:jc w:val="left"/>
              <w:rPr>
                <w:rFonts w:hint="eastAsia" w:ascii="宋体" w:hAnsi="宋体" w:cs="宋体"/>
                <w:b/>
                <w:bCs/>
                <w:color w:val="auto"/>
                <w:szCs w:val="21"/>
              </w:rPr>
            </w:pPr>
            <w:r>
              <w:rPr>
                <w:rFonts w:hint="eastAsia" w:ascii="宋体" w:hAnsi="宋体" w:cs="宋体"/>
                <w:b/>
                <w:bCs/>
                <w:color w:val="auto"/>
                <w:szCs w:val="21"/>
              </w:rPr>
              <w:t>具体内容如下：</w:t>
            </w:r>
          </w:p>
          <w:p>
            <w:pPr>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rPr>
              <w:t>一、项目基本情况</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树木科普展示馆，</w:t>
            </w:r>
            <w:r>
              <w:rPr>
                <w:rFonts w:hint="eastAsia" w:ascii="宋体" w:hAnsi="宋体" w:eastAsia="宋体" w:cs="宋体"/>
                <w:b w:val="0"/>
                <w:bCs w:val="0"/>
                <w:color w:val="auto"/>
                <w:sz w:val="21"/>
                <w:szCs w:val="21"/>
                <w:highlight w:val="none"/>
                <w:lang w:val="en-US" w:eastAsia="zh-CN"/>
              </w:rPr>
              <w:t>项目布展面积约330㎡</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需根据招标人提供的</w:t>
            </w:r>
            <w:r>
              <w:rPr>
                <w:rFonts w:hint="eastAsia" w:ascii="宋体" w:hAnsi="宋体" w:cs="宋体"/>
                <w:color w:val="auto"/>
                <w:sz w:val="21"/>
                <w:szCs w:val="21"/>
                <w:highlight w:val="none"/>
                <w:lang w:val="en-US" w:eastAsia="zh-CN"/>
              </w:rPr>
              <w:t>布展</w:t>
            </w:r>
            <w:r>
              <w:rPr>
                <w:rFonts w:hint="eastAsia" w:ascii="宋体" w:hAnsi="宋体" w:eastAsia="宋体" w:cs="宋体"/>
                <w:color w:val="auto"/>
                <w:sz w:val="21"/>
                <w:szCs w:val="21"/>
                <w:highlight w:val="none"/>
                <w:lang w:val="en-US" w:eastAsia="zh-CN"/>
              </w:rPr>
              <w:t>方案、施工图、</w:t>
            </w:r>
            <w:r>
              <w:rPr>
                <w:rFonts w:hint="eastAsia" w:ascii="宋体" w:hAnsi="宋体" w:cs="宋体"/>
                <w:color w:val="auto"/>
                <w:sz w:val="21"/>
                <w:szCs w:val="21"/>
                <w:highlight w:val="none"/>
                <w:lang w:val="en-US" w:eastAsia="zh-CN"/>
              </w:rPr>
              <w:t>实施清单</w:t>
            </w:r>
            <w:r>
              <w:rPr>
                <w:rFonts w:hint="eastAsia" w:ascii="宋体" w:hAnsi="宋体" w:eastAsia="宋体" w:cs="宋体"/>
                <w:color w:val="auto"/>
                <w:sz w:val="21"/>
                <w:szCs w:val="21"/>
                <w:highlight w:val="none"/>
                <w:lang w:val="en-US" w:eastAsia="zh-CN"/>
              </w:rPr>
              <w:t>，完成布展实施及配套服务，直至验收交付使用。服务内容包括但不限于：</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①基础展墙新建，墙面层级高清图文广告，发光字线性灯带等；</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②森林艺术场景还原定制；</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③物理互动装置深化设计及定制；</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④展柜定制及重要文件资料复制；</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⑤强、弱电布置调整；</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⑥射灯，筒灯、装饰等专业灯光布置；</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⑦配合天花造型、消防系统微改造；</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⑧空调系统安装、调试；</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⑨相关配套服务:包括但不限于空气治理及检测、安全防护措施、成品保护及专业场地清洁；</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⑩配合进行多媒体设备的安装及调试。</w:t>
            </w:r>
          </w:p>
          <w:p>
            <w:pPr>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二、</w:t>
            </w:r>
            <w:r>
              <w:rPr>
                <w:rFonts w:hint="eastAsia" w:ascii="宋体" w:hAnsi="宋体" w:cs="宋体"/>
                <w:b/>
                <w:bCs/>
                <w:color w:val="auto"/>
                <w:sz w:val="21"/>
                <w:szCs w:val="21"/>
                <w:highlight w:val="none"/>
                <w:lang w:val="en-US" w:eastAsia="zh-CN"/>
              </w:rPr>
              <w:t>布展</w:t>
            </w:r>
            <w:r>
              <w:rPr>
                <w:rFonts w:hint="eastAsia" w:ascii="宋体" w:hAnsi="宋体" w:cs="宋体"/>
                <w:b/>
                <w:bCs/>
                <w:color w:val="auto"/>
                <w:szCs w:val="21"/>
                <w:highlight w:val="none"/>
              </w:rPr>
              <w:t>方案（见附件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p>
          <w:p>
            <w:pPr>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三、施工图（见附件</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p>
          <w:p>
            <w:pPr>
              <w:spacing w:line="360" w:lineRule="exact"/>
              <w:jc w:val="left"/>
              <w:rPr>
                <w:rFonts w:hint="eastAsia" w:ascii="宋体" w:hAnsi="宋体" w:cs="宋体"/>
                <w:b/>
                <w:bCs/>
                <w:color w:val="auto"/>
                <w:szCs w:val="21"/>
              </w:rPr>
            </w:pPr>
            <w:r>
              <w:rPr>
                <w:rFonts w:hint="eastAsia" w:ascii="宋体" w:hAnsi="宋体" w:cs="宋体"/>
                <w:b/>
                <w:bCs/>
                <w:color w:val="auto"/>
                <w:szCs w:val="21"/>
                <w:highlight w:val="none"/>
              </w:rPr>
              <w:t>四、</w:t>
            </w:r>
            <w:r>
              <w:rPr>
                <w:rFonts w:hint="eastAsia" w:ascii="宋体" w:hAnsi="宋体" w:cs="宋体"/>
                <w:b/>
                <w:bCs/>
                <w:color w:val="auto"/>
                <w:szCs w:val="21"/>
                <w:highlight w:val="none"/>
                <w:lang w:val="en-US" w:eastAsia="zh-CN"/>
              </w:rPr>
              <w:t>实施</w:t>
            </w:r>
            <w:r>
              <w:rPr>
                <w:rFonts w:hint="eastAsia" w:ascii="宋体" w:hAnsi="宋体" w:cs="宋体"/>
                <w:b/>
                <w:bCs/>
                <w:color w:val="auto"/>
                <w:szCs w:val="21"/>
                <w:highlight w:val="none"/>
              </w:rPr>
              <w:t>清单（见附件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内容</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分值</w:t>
            </w:r>
          </w:p>
        </w:tc>
        <w:tc>
          <w:tcPr>
            <w:tcW w:w="6675"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auto"/>
                <w:szCs w:val="21"/>
              </w:rPr>
            </w:pPr>
            <w:r>
              <w:rPr>
                <w:rFonts w:hint="eastAsia" w:ascii="宋体" w:hAnsi="宋体" w:cs="宋体"/>
                <w:b/>
                <w:bCs/>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98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实施方案</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66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1.实施方案规划详细合理、科学、可行性高，符合项目进度要求，可操作性强，项目管理架构清晰，得15分。 </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2.实施方案规划详细合理，符合项目要求，具有可操作性，项目管理架构清晰，得11分。 </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3.实施方案内容合理，基本符合项目要求，有一定的可操作性，得7分。 </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4.实施方案内容</w:t>
            </w:r>
            <w:r>
              <w:rPr>
                <w:rFonts w:hint="eastAsia" w:ascii="宋体" w:hAnsi="宋体" w:cs="宋体"/>
                <w:color w:val="auto"/>
                <w:szCs w:val="21"/>
                <w:highlight w:val="none"/>
                <w:lang w:val="en-US" w:eastAsia="zh-CN"/>
              </w:rPr>
              <w:t>的合理性、可行性、符合情况较差</w:t>
            </w:r>
            <w:r>
              <w:rPr>
                <w:rFonts w:hint="eastAsia" w:ascii="宋体" w:hAnsi="宋体" w:eastAsia="宋体" w:cs="宋体"/>
                <w:color w:val="auto"/>
                <w:szCs w:val="21"/>
                <w:highlight w:val="none"/>
                <w:lang w:val="en-US" w:eastAsia="zh-CN"/>
              </w:rPr>
              <w:t xml:space="preserve">，得3分。 </w:t>
            </w:r>
          </w:p>
          <w:p>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实施进度计划和风控保障</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66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1.有根据需求制定合理的进度计划，对服务过程中可能会出现的风险有预先评判，并制定相应的防控措施，能避免风险或出现风险能及时有效的处理，得10分；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2.有根据需求制定进度计划，有提出服务过程中可能会出现的风险，但制定的防控措施较为简单，得6分；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3.有根据需求制定进度计划和列明可能会出现的风险，但未制定防控措施，得2分；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4.未提供进度计划或列明风险的，得0分。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服务质量保证措施</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66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1.有根据需求制定相应的服务质量保证措施，对服务过程中的关键节点有具体的控制措施，列明的人力物力投入安排科学合理，得10分；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2.有保障措施，对服务过程中的关键节点有措施，有列明相应的人力物力投入安排，得6分；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3.有保障措施，但未列明相应的人力物力投入安排，得2分；</w:t>
            </w:r>
          </w:p>
          <w:p>
            <w:pPr>
              <w:jc w:val="left"/>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en-US" w:eastAsia="zh-CN"/>
              </w:rPr>
              <w:t>4.未提供保证措施，得0分。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项目安全防护及应急方案</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66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1、有根据需求制定相应的安全防护及应急方案，方案详细、合理、可行，符合项目实际情况，得8分；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2、有安全防护及应急方案，方案的合理性、可行性、符合情况等一般，得5分；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3、有安全防护及应急方案，方案的合理性、可行性、符合情况等较差，得2分；</w:t>
            </w:r>
          </w:p>
          <w:p>
            <w:pPr>
              <w:jc w:val="left"/>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en-US" w:eastAsia="zh-CN"/>
              </w:rPr>
              <w:t>4、未提供安全防护及应急方案，得0分。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质保期服务方案</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66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1.质保期内布展维护保养、培训（操作、维护、技术）方案详细、具体、可行，满足采购需求，得7分；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2.质保期内布展维护保养、培训（操作、维护、技术）方案较合理、可行，基本满足采购需求，得4分； </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3.质保期内布展维护保养、培训（操作、维护、技术）方案合理性差，与采购需求契合度较差，得1分；</w:t>
            </w:r>
          </w:p>
          <w:p>
            <w:pPr>
              <w:jc w:val="left"/>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en-US" w:eastAsia="zh-CN"/>
              </w:rPr>
              <w:t>4.未提供方案，得0分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66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color w:val="auto"/>
                <w:szCs w:val="21"/>
                <w:highlight w:val="none"/>
                <w:lang w:val="en-US" w:eastAsia="zh-CN"/>
              </w:rPr>
            </w:pPr>
          </w:p>
        </w:tc>
      </w:tr>
    </w:tbl>
    <w:p>
      <w:pPr>
        <w:pStyle w:val="10"/>
        <w:rPr>
          <w:rFonts w:hint="eastAsia" w:ascii="宋体" w:hAnsi="宋体" w:cs="宋体"/>
          <w:color w:val="auto"/>
          <w:highlight w:val="none"/>
        </w:rPr>
      </w:pPr>
    </w:p>
    <w:p>
      <w:pPr>
        <w:tabs>
          <w:tab w:val="left" w:pos="10035"/>
        </w:tabs>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注：评委对各投标文件进行评审，分数精确至小数点后2位。</w:t>
      </w:r>
    </w:p>
    <w:p>
      <w:pPr>
        <w:rPr>
          <w:rFonts w:hint="eastAsia" w:ascii="宋体" w:hAnsi="宋体" w:cs="宋体"/>
          <w:color w:val="auto"/>
          <w:highlight w:val="none"/>
        </w:rPr>
      </w:pPr>
      <w:r>
        <w:rPr>
          <w:rFonts w:hint="eastAsia" w:ascii="宋体" w:hAnsi="宋体" w:cs="宋体"/>
          <w:color w:val="auto"/>
          <w:highlight w:val="none"/>
        </w:rPr>
        <w:br w:type="page"/>
      </w:r>
    </w:p>
    <w:p>
      <w:pPr>
        <w:jc w:val="center"/>
      </w:pPr>
      <w:r>
        <w:rPr>
          <w:rFonts w:hint="eastAsia" w:ascii="宋体" w:hAnsi="宋体" w:cs="宋体"/>
          <w:b/>
          <w:color w:val="auto"/>
          <w:sz w:val="28"/>
          <w:szCs w:val="28"/>
          <w:highlight w:val="none"/>
        </w:rPr>
        <w:t>技术评分表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适用于子包2</w:t>
      </w:r>
      <w:r>
        <w:rPr>
          <w:rFonts w:hint="eastAsia" w:ascii="宋体" w:hAnsi="宋体" w:cs="宋体"/>
          <w:b/>
          <w:color w:val="auto"/>
          <w:sz w:val="28"/>
          <w:szCs w:val="28"/>
          <w:highlight w:val="none"/>
          <w:lang w:eastAsia="zh-CN"/>
        </w:rPr>
        <w:t>）</w:t>
      </w:r>
    </w:p>
    <w:tbl>
      <w:tblPr>
        <w:tblStyle w:val="3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3"/>
        <w:gridCol w:w="700"/>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评分项</w:t>
            </w:r>
          </w:p>
        </w:tc>
        <w:tc>
          <w:tcPr>
            <w:tcW w:w="6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技术</w:t>
            </w:r>
          </w:p>
        </w:tc>
        <w:tc>
          <w:tcPr>
            <w:tcW w:w="6675"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067"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rFonts w:hint="eastAsia" w:ascii="宋体" w:hAnsi="宋体" w:cs="宋体"/>
                <w:b/>
                <w:bCs/>
                <w:color w:val="auto"/>
                <w:szCs w:val="21"/>
              </w:rPr>
            </w:pPr>
            <w:r>
              <w:rPr>
                <w:rFonts w:hint="eastAsia" w:ascii="宋体" w:hAnsi="宋体" w:cs="宋体"/>
                <w:b/>
                <w:bCs/>
                <w:color w:val="auto"/>
                <w:szCs w:val="21"/>
                <w:lang w:eastAsia="zh-CN"/>
              </w:rPr>
              <w:t>供应商</w:t>
            </w:r>
            <w:r>
              <w:rPr>
                <w:rFonts w:hint="eastAsia" w:ascii="宋体" w:hAnsi="宋体" w:cs="宋体"/>
                <w:b/>
                <w:bCs/>
                <w:color w:val="auto"/>
                <w:szCs w:val="21"/>
              </w:rPr>
              <w:t>根据以下案例项目背景针对“</w:t>
            </w:r>
            <w:r>
              <w:rPr>
                <w:rFonts w:hint="eastAsia" w:ascii="宋体" w:hAnsi="宋体" w:eastAsia="宋体" w:cs="宋体"/>
                <w:b/>
                <w:bCs/>
                <w:color w:val="auto"/>
                <w:kern w:val="2"/>
                <w:sz w:val="21"/>
                <w:szCs w:val="21"/>
                <w:highlight w:val="none"/>
                <w:lang w:val="en-US" w:eastAsia="zh-CN" w:bidi="ar"/>
              </w:rPr>
              <w:t>设备技术说明</w:t>
            </w:r>
            <w:r>
              <w:rPr>
                <w:rFonts w:hint="eastAsia" w:ascii="宋体" w:hAnsi="宋体" w:cs="宋体"/>
                <w:b/>
                <w:bCs/>
                <w:color w:val="auto"/>
                <w:kern w:val="2"/>
                <w:sz w:val="21"/>
                <w:szCs w:val="21"/>
                <w:highlight w:val="none"/>
                <w:lang w:val="en-US" w:eastAsia="zh-CN" w:bidi="ar"/>
              </w:rPr>
              <w:t>和</w:t>
            </w:r>
            <w:r>
              <w:rPr>
                <w:rFonts w:hint="eastAsia" w:ascii="宋体" w:hAnsi="宋体" w:eastAsia="宋体" w:cs="宋体"/>
                <w:b/>
                <w:bCs/>
                <w:color w:val="auto"/>
                <w:kern w:val="2"/>
                <w:sz w:val="21"/>
                <w:szCs w:val="21"/>
                <w:highlight w:val="none"/>
                <w:lang w:val="en-US" w:eastAsia="zh-CN" w:bidi="ar"/>
              </w:rPr>
              <w:t>系统集成方案</w:t>
            </w:r>
            <w:r>
              <w:rPr>
                <w:rFonts w:hint="eastAsia" w:ascii="宋体" w:hAnsi="宋体" w:cs="宋体"/>
                <w:b/>
                <w:bCs/>
                <w:color w:val="auto"/>
                <w:szCs w:val="21"/>
              </w:rPr>
              <w:t>”、“</w:t>
            </w:r>
            <w:r>
              <w:rPr>
                <w:rFonts w:hint="eastAsia" w:ascii="宋体" w:hAnsi="宋体" w:eastAsia="宋体" w:cs="宋体"/>
                <w:b/>
                <w:bCs/>
                <w:color w:val="auto"/>
                <w:kern w:val="2"/>
                <w:sz w:val="21"/>
                <w:szCs w:val="21"/>
                <w:highlight w:val="none"/>
                <w:lang w:val="en-US" w:eastAsia="zh-CN" w:bidi="ar"/>
              </w:rPr>
              <w:t>设备</w:t>
            </w:r>
            <w:r>
              <w:rPr>
                <w:rFonts w:hint="eastAsia" w:ascii="宋体" w:hAnsi="宋体" w:cs="宋体"/>
                <w:b/>
                <w:bCs/>
                <w:color w:val="auto"/>
                <w:kern w:val="2"/>
                <w:sz w:val="21"/>
                <w:szCs w:val="21"/>
                <w:highlight w:val="none"/>
                <w:lang w:val="en-US" w:eastAsia="zh-CN" w:bidi="ar"/>
              </w:rPr>
              <w:t>清单</w:t>
            </w:r>
            <w:r>
              <w:rPr>
                <w:rFonts w:hint="eastAsia" w:ascii="宋体" w:hAnsi="宋体" w:eastAsia="宋体" w:cs="宋体"/>
                <w:b/>
                <w:bCs/>
                <w:color w:val="auto"/>
                <w:kern w:val="2"/>
                <w:sz w:val="21"/>
                <w:szCs w:val="21"/>
                <w:highlight w:val="none"/>
                <w:lang w:val="en-US" w:eastAsia="zh-CN" w:bidi="ar"/>
              </w:rPr>
              <w:t>响应</w:t>
            </w:r>
            <w:r>
              <w:rPr>
                <w:rFonts w:hint="eastAsia" w:ascii="宋体" w:hAnsi="宋体" w:cs="宋体"/>
                <w:b/>
                <w:bCs/>
                <w:color w:val="auto"/>
                <w:szCs w:val="21"/>
              </w:rPr>
              <w:t>”、“</w:t>
            </w:r>
            <w:r>
              <w:rPr>
                <w:rFonts w:hint="eastAsia" w:ascii="宋体" w:hAnsi="宋体" w:eastAsia="宋体" w:cs="宋体"/>
                <w:b/>
                <w:bCs/>
                <w:color w:val="auto"/>
                <w:kern w:val="2"/>
                <w:sz w:val="21"/>
                <w:szCs w:val="21"/>
                <w:highlight w:val="none"/>
                <w:lang w:val="en-US" w:eastAsia="zh-CN" w:bidi="ar"/>
              </w:rPr>
              <w:t>多媒体深化图纸设计</w:t>
            </w:r>
            <w:r>
              <w:rPr>
                <w:rFonts w:hint="eastAsia" w:ascii="宋体" w:hAnsi="宋体" w:cs="宋体"/>
                <w:b/>
                <w:bCs/>
                <w:color w:val="auto"/>
                <w:szCs w:val="21"/>
              </w:rPr>
              <w:t>”、“</w:t>
            </w:r>
            <w:r>
              <w:rPr>
                <w:rFonts w:hint="eastAsia" w:ascii="宋体" w:hAnsi="宋体" w:eastAsia="宋体" w:cs="宋体"/>
                <w:b/>
                <w:bCs/>
                <w:color w:val="auto"/>
                <w:szCs w:val="21"/>
                <w:highlight w:val="none"/>
                <w:lang w:val="en-US" w:eastAsia="zh-CN"/>
              </w:rPr>
              <w:t>实施进度计划和风控保障</w:t>
            </w:r>
            <w:r>
              <w:rPr>
                <w:rFonts w:hint="eastAsia" w:ascii="宋体" w:hAnsi="宋体" w:cs="宋体"/>
                <w:b/>
                <w:bCs/>
                <w:color w:val="auto"/>
                <w:szCs w:val="21"/>
              </w:rPr>
              <w:t>”、“质保期服务方案”评分项进行方案阐述。</w:t>
            </w:r>
          </w:p>
          <w:p>
            <w:pPr>
              <w:pStyle w:val="2"/>
              <w:spacing w:line="360" w:lineRule="exact"/>
              <w:jc w:val="left"/>
              <w:rPr>
                <w:rFonts w:hint="eastAsia" w:ascii="宋体" w:hAnsi="宋体" w:cs="宋体"/>
                <w:b/>
                <w:bCs/>
                <w:color w:val="auto"/>
                <w:szCs w:val="21"/>
              </w:rPr>
            </w:pPr>
            <w:r>
              <w:rPr>
                <w:rFonts w:hint="eastAsia" w:ascii="宋体" w:hAnsi="宋体" w:cs="宋体"/>
                <w:b/>
                <w:bCs/>
                <w:color w:val="auto"/>
                <w:szCs w:val="21"/>
              </w:rPr>
              <w:t>具体内容如下：</w:t>
            </w:r>
          </w:p>
          <w:p>
            <w:pPr>
              <w:pStyle w:val="2"/>
              <w:spacing w:line="360" w:lineRule="exact"/>
              <w:jc w:val="left"/>
              <w:rPr>
                <w:rFonts w:hint="eastAsia" w:ascii="宋体" w:hAnsi="宋体" w:cs="宋体"/>
                <w:b/>
                <w:bCs/>
                <w:color w:val="auto"/>
                <w:szCs w:val="21"/>
              </w:rPr>
            </w:pPr>
            <w:r>
              <w:rPr>
                <w:rFonts w:hint="eastAsia" w:ascii="宋体" w:hAnsi="宋体" w:cs="宋体"/>
                <w:b/>
                <w:bCs/>
                <w:color w:val="auto"/>
                <w:szCs w:val="21"/>
              </w:rPr>
              <w:t>一、项目基本情况</w:t>
            </w:r>
          </w:p>
          <w:p>
            <w:pPr>
              <w:pStyle w:val="2"/>
              <w:spacing w:line="360" w:lineRule="exact"/>
              <w:ind w:firstLine="420" w:firstLineChars="200"/>
              <w:jc w:val="left"/>
              <w:rPr>
                <w:rFonts w:hint="eastAsia" w:ascii="宋体" w:hAnsi="宋体" w:eastAsia="宋体" w:cs="宋体"/>
                <w:b w:val="0"/>
                <w:bCs w:val="0"/>
                <w:color w:val="auto"/>
                <w:szCs w:val="21"/>
              </w:rPr>
            </w:pPr>
            <w:r>
              <w:rPr>
                <w:rFonts w:hint="eastAsia" w:ascii="宋体" w:hAnsi="宋体" w:cs="宋体"/>
                <w:b w:val="0"/>
                <w:bCs w:val="0"/>
                <w:color w:val="auto"/>
                <w:szCs w:val="21"/>
                <w:lang w:val="en-US" w:eastAsia="zh-CN"/>
              </w:rPr>
              <w:t>树木科普展示馆，</w:t>
            </w:r>
            <w:r>
              <w:rPr>
                <w:rFonts w:hint="eastAsia" w:ascii="宋体" w:hAnsi="宋体" w:eastAsia="宋体" w:cs="宋体"/>
                <w:b w:val="0"/>
                <w:bCs w:val="0"/>
                <w:color w:val="auto"/>
                <w:sz w:val="21"/>
                <w:szCs w:val="21"/>
                <w:highlight w:val="none"/>
                <w:lang w:val="en-US" w:eastAsia="zh-CN"/>
              </w:rPr>
              <w:t>项目布展面积约330㎡</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Cs w:val="21"/>
              </w:rPr>
              <w:t>主要服务内容：根据招标人提供的具体项目</w:t>
            </w:r>
            <w:r>
              <w:rPr>
                <w:rFonts w:hint="eastAsia" w:ascii="宋体" w:hAnsi="宋体" w:cs="宋体"/>
                <w:b w:val="0"/>
                <w:bCs w:val="0"/>
                <w:color w:val="auto"/>
                <w:szCs w:val="21"/>
                <w:lang w:val="en-US" w:eastAsia="zh-CN"/>
              </w:rPr>
              <w:t>布展</w:t>
            </w:r>
            <w:r>
              <w:rPr>
                <w:rFonts w:hint="eastAsia" w:ascii="宋体" w:hAnsi="宋体" w:cs="宋体"/>
                <w:b w:val="0"/>
                <w:bCs w:val="0"/>
                <w:color w:val="auto"/>
                <w:szCs w:val="21"/>
              </w:rPr>
              <w:t>方</w:t>
            </w:r>
            <w:r>
              <w:rPr>
                <w:rFonts w:hint="eastAsia" w:ascii="宋体" w:hAnsi="宋体" w:eastAsia="宋体" w:cs="宋体"/>
                <w:b w:val="0"/>
                <w:bCs w:val="0"/>
                <w:color w:val="auto"/>
                <w:szCs w:val="21"/>
              </w:rPr>
              <w:t>案</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施工图</w:t>
            </w:r>
            <w:r>
              <w:rPr>
                <w:rFonts w:hint="eastAsia" w:ascii="宋体" w:hAnsi="宋体" w:eastAsia="宋体" w:cs="宋体"/>
                <w:b w:val="0"/>
                <w:bCs w:val="0"/>
                <w:color w:val="auto"/>
                <w:szCs w:val="21"/>
              </w:rPr>
              <w:t>及</w:t>
            </w:r>
            <w:bookmarkStart w:id="306" w:name="OLE_LINK11"/>
            <w:r>
              <w:rPr>
                <w:rFonts w:hint="eastAsia" w:ascii="宋体" w:hAnsi="宋体" w:eastAsia="宋体" w:cs="宋体"/>
                <w:b w:val="0"/>
                <w:bCs w:val="0"/>
                <w:color w:val="auto"/>
                <w:szCs w:val="21"/>
              </w:rPr>
              <w:t>多媒体设备清单</w:t>
            </w:r>
            <w:bookmarkEnd w:id="306"/>
            <w:r>
              <w:rPr>
                <w:rFonts w:hint="eastAsia" w:ascii="宋体" w:hAnsi="宋体" w:eastAsia="宋体" w:cs="宋体"/>
                <w:b w:val="0"/>
                <w:bCs w:val="0"/>
                <w:color w:val="auto"/>
                <w:szCs w:val="21"/>
              </w:rPr>
              <w:t>，负责项目的</w:t>
            </w:r>
            <w:r>
              <w:rPr>
                <w:rFonts w:hint="eastAsia" w:ascii="宋体" w:hAnsi="宋体" w:eastAsia="宋体" w:cs="宋体"/>
                <w:b w:val="0"/>
                <w:bCs w:val="0"/>
                <w:color w:val="auto"/>
                <w:szCs w:val="21"/>
                <w:lang w:val="en-US" w:eastAsia="zh-CN"/>
              </w:rPr>
              <w:t>多媒体设备</w:t>
            </w:r>
            <w:r>
              <w:rPr>
                <w:rFonts w:hint="eastAsia" w:ascii="宋体" w:hAnsi="宋体" w:eastAsia="宋体" w:cs="宋体"/>
                <w:b w:val="0"/>
                <w:bCs w:val="0"/>
                <w:color w:val="auto"/>
                <w:szCs w:val="21"/>
              </w:rPr>
              <w:t>实施工作及相关配套服务，包括但不限于：</w:t>
            </w:r>
          </w:p>
          <w:p>
            <w:pPr>
              <w:pStyle w:val="2"/>
              <w:spacing w:line="360" w:lineRule="exact"/>
              <w:ind w:firstLine="420" w:firstLineChars="20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常用尺寸触摸一体机（Windows系统、安卓系统）、常用尺寸会议一体机（Windows系统、安卓系统）、多规格显示一体机、高清工程投影机及配套幕布/支架、多媒体工控电脑/终端机、常用小间距LED显示屏（间距1.2/1.5/1.8mm）、中控主机及配套控制硬件与系统、音视频采集/传输/播放设备、展陈专用音响功放及周边配件、互动展项配套硬件、布线及辅材等。</w:t>
            </w:r>
          </w:p>
          <w:p>
            <w:pPr>
              <w:pStyle w:val="2"/>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二、</w:t>
            </w:r>
            <w:r>
              <w:rPr>
                <w:rFonts w:hint="eastAsia" w:ascii="宋体" w:hAnsi="宋体" w:cs="宋体"/>
                <w:b/>
                <w:bCs/>
                <w:color w:val="auto"/>
                <w:szCs w:val="21"/>
                <w:highlight w:val="none"/>
                <w:lang w:val="en-US" w:eastAsia="zh-CN"/>
              </w:rPr>
              <w:t>布展</w:t>
            </w:r>
            <w:r>
              <w:rPr>
                <w:rFonts w:hint="eastAsia" w:ascii="宋体" w:hAnsi="宋体" w:cs="宋体"/>
                <w:b/>
                <w:bCs/>
                <w:color w:val="auto"/>
                <w:szCs w:val="21"/>
                <w:highlight w:val="none"/>
              </w:rPr>
              <w:t>方案（见附件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p>
          <w:p>
            <w:pPr>
              <w:pStyle w:val="2"/>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三、施工图（见附件</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p>
          <w:p>
            <w:pPr>
              <w:pStyle w:val="2"/>
              <w:spacing w:line="360" w:lineRule="exact"/>
              <w:jc w:val="left"/>
              <w:rPr>
                <w:rFonts w:hint="eastAsia" w:ascii="宋体" w:hAnsi="宋体" w:cs="宋体"/>
                <w:b/>
                <w:bCs/>
                <w:color w:val="auto"/>
                <w:szCs w:val="21"/>
              </w:rPr>
            </w:pPr>
            <w:r>
              <w:rPr>
                <w:rFonts w:hint="eastAsia" w:ascii="宋体" w:hAnsi="宋体" w:cs="宋体"/>
                <w:b/>
                <w:bCs/>
                <w:color w:val="auto"/>
                <w:szCs w:val="21"/>
                <w:highlight w:val="none"/>
              </w:rPr>
              <w:t>四、</w:t>
            </w:r>
            <w:r>
              <w:rPr>
                <w:rFonts w:hint="eastAsia" w:ascii="宋体" w:hAnsi="宋体" w:eastAsia="宋体" w:cs="宋体"/>
                <w:b/>
                <w:bCs/>
                <w:color w:val="auto"/>
                <w:szCs w:val="21"/>
                <w:highlight w:val="none"/>
              </w:rPr>
              <w:t>多媒体设备清单</w:t>
            </w:r>
            <w:r>
              <w:rPr>
                <w:rFonts w:hint="eastAsia" w:ascii="宋体" w:hAnsi="宋体" w:cs="宋体"/>
                <w:b/>
                <w:bCs/>
                <w:color w:val="auto"/>
                <w:szCs w:val="21"/>
                <w:highlight w:val="none"/>
              </w:rPr>
              <w:t>（见附件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内容</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分值</w:t>
            </w:r>
          </w:p>
        </w:tc>
        <w:tc>
          <w:tcPr>
            <w:tcW w:w="667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b/>
                <w:bCs/>
                <w:color w:val="auto"/>
                <w:szCs w:val="21"/>
              </w:rPr>
            </w:pPr>
            <w:r>
              <w:rPr>
                <w:rFonts w:hint="eastAsia" w:ascii="宋体" w:hAnsi="宋体" w:cs="宋体"/>
                <w:b/>
                <w:bCs/>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983" w:type="dxa"/>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设备技术说明</w:t>
            </w:r>
            <w:r>
              <w:rPr>
                <w:rFonts w:hint="eastAsia" w:ascii="宋体" w:hAnsi="宋体" w:cs="宋体"/>
                <w:color w:val="auto"/>
                <w:kern w:val="2"/>
                <w:sz w:val="21"/>
                <w:szCs w:val="21"/>
                <w:highlight w:val="none"/>
                <w:lang w:val="en-US" w:eastAsia="zh-CN" w:bidi="ar"/>
              </w:rPr>
              <w:t>和</w:t>
            </w:r>
            <w:r>
              <w:rPr>
                <w:rFonts w:hint="eastAsia" w:ascii="宋体" w:hAnsi="宋体" w:eastAsia="宋体" w:cs="宋体"/>
                <w:color w:val="auto"/>
                <w:kern w:val="2"/>
                <w:sz w:val="21"/>
                <w:szCs w:val="21"/>
                <w:highlight w:val="none"/>
                <w:lang w:val="en-US" w:eastAsia="zh-CN" w:bidi="ar"/>
              </w:rPr>
              <w:t>系统集成方案</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
              </w:rPr>
              <w:t>15</w:t>
            </w:r>
          </w:p>
        </w:tc>
        <w:tc>
          <w:tcPr>
            <w:tcW w:w="6675" w:type="dxa"/>
            <w:tcBorders>
              <w:top w:val="single" w:color="auto" w:sz="4" w:space="0"/>
              <w:left w:val="single" w:color="auto" w:sz="4" w:space="0"/>
              <w:bottom w:val="single" w:color="auto" w:sz="4" w:space="0"/>
              <w:right w:val="single" w:color="auto" w:sz="4" w:space="0"/>
            </w:tcBorders>
            <w:vAlign w:val="top"/>
          </w:tcPr>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ind w:left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设备技术说明和系统集成方案科学、可行性高，贴合项目实际，可操作性强，得15分；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ind w:left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设备技术说明和系统集成方案可行，符合项目要求，具有可操作性，得1</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ind w:left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设备技术说明和系统集成方案基本可行，基本符合项目要求，有一定的可操作性，得</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ind w:left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设备技术说明和系统集成方案</w:t>
            </w:r>
            <w:r>
              <w:rPr>
                <w:rFonts w:hint="eastAsia" w:ascii="宋体" w:hAnsi="宋体" w:cs="宋体"/>
                <w:color w:val="auto"/>
                <w:kern w:val="2"/>
                <w:sz w:val="21"/>
                <w:szCs w:val="21"/>
                <w:highlight w:val="none"/>
                <w:lang w:val="en-US" w:eastAsia="zh-CN" w:bidi="ar"/>
              </w:rPr>
              <w:t>较差，</w:t>
            </w:r>
            <w:r>
              <w:rPr>
                <w:rFonts w:hint="eastAsia" w:ascii="宋体" w:hAnsi="宋体" w:eastAsia="宋体" w:cs="宋体"/>
                <w:color w:val="auto"/>
                <w:kern w:val="2"/>
                <w:sz w:val="21"/>
                <w:szCs w:val="21"/>
                <w:highlight w:val="none"/>
                <w:lang w:val="en-US" w:eastAsia="zh-CN" w:bidi="ar"/>
              </w:rPr>
              <w:t>操作</w:t>
            </w:r>
            <w:r>
              <w:rPr>
                <w:rFonts w:hint="eastAsia" w:ascii="宋体" w:hAnsi="宋体" w:cs="宋体"/>
                <w:color w:val="auto"/>
                <w:kern w:val="2"/>
                <w:sz w:val="21"/>
                <w:szCs w:val="21"/>
                <w:highlight w:val="none"/>
                <w:lang w:val="en-US" w:eastAsia="zh-CN" w:bidi="ar"/>
              </w:rPr>
              <w:t>性较差</w:t>
            </w:r>
            <w:r>
              <w:rPr>
                <w:rFonts w:hint="eastAsia" w:ascii="宋体" w:hAnsi="宋体" w:eastAsia="宋体" w:cs="宋体"/>
                <w:color w:val="auto"/>
                <w:kern w:val="2"/>
                <w:sz w:val="21"/>
                <w:szCs w:val="21"/>
                <w:highlight w:val="none"/>
                <w:lang w:val="en-US" w:eastAsia="zh-CN" w:bidi="ar"/>
              </w:rPr>
              <w:t>，得</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未提供相关内容阐述，得0分。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983" w:type="dxa"/>
            <w:tcBorders>
              <w:top w:val="single" w:color="auto" w:sz="4" w:space="0"/>
              <w:left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设备</w:t>
            </w:r>
            <w:r>
              <w:rPr>
                <w:rFonts w:hint="eastAsia" w:ascii="宋体" w:hAnsi="宋体" w:cs="宋体"/>
                <w:color w:val="auto"/>
                <w:kern w:val="2"/>
                <w:sz w:val="21"/>
                <w:szCs w:val="21"/>
                <w:highlight w:val="none"/>
                <w:lang w:val="en-US" w:eastAsia="zh-CN" w:bidi="ar"/>
              </w:rPr>
              <w:t>清单</w:t>
            </w:r>
            <w:r>
              <w:rPr>
                <w:rFonts w:hint="eastAsia" w:ascii="宋体" w:hAnsi="宋体" w:eastAsia="宋体" w:cs="宋体"/>
                <w:color w:val="auto"/>
                <w:kern w:val="2"/>
                <w:sz w:val="21"/>
                <w:szCs w:val="21"/>
                <w:highlight w:val="none"/>
                <w:lang w:val="en-US" w:eastAsia="zh-CN" w:bidi="ar"/>
              </w:rPr>
              <w:t>响应</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
              </w:rPr>
              <w:t>10</w:t>
            </w:r>
          </w:p>
        </w:tc>
        <w:tc>
          <w:tcPr>
            <w:tcW w:w="6675"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lang w:val="en-US" w:eastAsia="zh-CN"/>
              </w:rPr>
            </w:pPr>
            <w:r>
              <w:rPr>
                <w:rFonts w:hint="eastAsia"/>
                <w:lang w:val="en-US" w:eastAsia="zh-CN"/>
              </w:rPr>
              <w:t>完全响应招标人提供的设备清</w:t>
            </w:r>
            <w:r>
              <w:rPr>
                <w:rFonts w:hint="eastAsia" w:eastAsia="宋体"/>
                <w:lang w:val="en-US" w:eastAsia="zh-CN"/>
              </w:rPr>
              <w:t>单（即用户需求书的多媒体设备参数），得1</w:t>
            </w:r>
            <w:r>
              <w:rPr>
                <w:rFonts w:hint="eastAsia"/>
                <w:lang w:val="en-US" w:eastAsia="zh-CN"/>
              </w:rPr>
              <w:t>0</w:t>
            </w:r>
            <w:r>
              <w:rPr>
                <w:rFonts w:hint="eastAsia" w:eastAsia="宋体"/>
                <w:lang w:val="en-US" w:eastAsia="zh-CN"/>
              </w:rPr>
              <w:t>分；每出现1条</w:t>
            </w:r>
            <w:r>
              <w:rPr>
                <w:rFonts w:hint="eastAsia"/>
                <w:lang w:val="en-US" w:eastAsia="zh-CN"/>
              </w:rPr>
              <w:t>重要</w:t>
            </w:r>
            <w:r>
              <w:rPr>
                <w:rFonts w:hint="eastAsia" w:eastAsia="宋体"/>
                <w:lang w:val="en-US" w:eastAsia="zh-CN"/>
              </w:rPr>
              <w:t>技术</w:t>
            </w:r>
            <w:r>
              <w:rPr>
                <w:rFonts w:hint="eastAsia"/>
                <w:lang w:val="en-US" w:eastAsia="zh-CN"/>
              </w:rPr>
              <w:t>指标（</w:t>
            </w:r>
            <w:r>
              <w:rPr>
                <w:rFonts w:hint="eastAsia" w:eastAsia="宋体"/>
                <w:lang w:val="en-US" w:eastAsia="zh-CN"/>
              </w:rPr>
              <w:t>▲参数</w:t>
            </w:r>
            <w:r>
              <w:rPr>
                <w:rFonts w:hint="eastAsia"/>
                <w:lang w:val="en-US" w:eastAsia="zh-CN"/>
              </w:rPr>
              <w:t>）</w:t>
            </w:r>
            <w:r>
              <w:rPr>
                <w:rFonts w:hint="eastAsia" w:eastAsia="宋体"/>
                <w:lang w:val="en-US" w:eastAsia="zh-CN"/>
              </w:rPr>
              <w:t>偏离扣</w:t>
            </w:r>
            <w:r>
              <w:rPr>
                <w:rFonts w:hint="eastAsia"/>
                <w:lang w:val="en-US" w:eastAsia="zh-CN"/>
              </w:rPr>
              <w:t>5</w:t>
            </w:r>
            <w:r>
              <w:rPr>
                <w:rFonts w:hint="eastAsia" w:eastAsia="宋体"/>
                <w:lang w:val="en-US" w:eastAsia="zh-CN"/>
              </w:rPr>
              <w:t>分，每出现1条一般技术指标（非▲条款）扣</w:t>
            </w:r>
            <w:r>
              <w:rPr>
                <w:rFonts w:hint="eastAsia"/>
                <w:lang w:val="en-US" w:eastAsia="zh-CN"/>
              </w:rPr>
              <w:t>2</w:t>
            </w:r>
            <w:r>
              <w:rPr>
                <w:rFonts w:hint="eastAsia" w:eastAsia="宋体"/>
                <w:lang w:val="en-US" w:eastAsia="zh-CN"/>
              </w:rPr>
              <w:t>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多媒体深化图纸设计</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
              </w:rPr>
              <w:t>10</w:t>
            </w:r>
          </w:p>
        </w:tc>
        <w:tc>
          <w:tcPr>
            <w:tcW w:w="6675" w:type="dxa"/>
            <w:tcBorders>
              <w:top w:val="single" w:color="auto" w:sz="4" w:space="0"/>
              <w:left w:val="single" w:color="auto" w:sz="4" w:space="0"/>
              <w:bottom w:val="single" w:color="auto" w:sz="4" w:space="0"/>
              <w:right w:val="single" w:color="auto" w:sz="4" w:space="0"/>
            </w:tcBorders>
            <w:vAlign w:val="top"/>
          </w:tcPr>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jc w:val="left"/>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1.</w:t>
            </w:r>
            <w:r>
              <w:rPr>
                <w:rFonts w:ascii="宋体" w:hAnsi="宋体" w:eastAsia="宋体" w:cs="宋体"/>
                <w:b w:val="0"/>
                <w:bCs w:val="0"/>
                <w:sz w:val="21"/>
                <w:szCs w:val="21"/>
              </w:rPr>
              <w:t>提供</w:t>
            </w:r>
            <w:r>
              <w:rPr>
                <w:rFonts w:hint="eastAsia" w:ascii="宋体" w:hAnsi="宋体" w:eastAsia="宋体" w:cs="宋体"/>
                <w:b w:val="0"/>
                <w:bCs w:val="0"/>
                <w:sz w:val="21"/>
                <w:szCs w:val="21"/>
                <w:lang w:val="en-US" w:eastAsia="zh-CN"/>
              </w:rPr>
              <w:t>多媒体</w:t>
            </w:r>
            <w:r>
              <w:rPr>
                <w:rFonts w:ascii="宋体" w:hAnsi="宋体" w:eastAsia="宋体" w:cs="宋体"/>
                <w:b w:val="0"/>
                <w:bCs w:val="0"/>
                <w:sz w:val="21"/>
                <w:szCs w:val="21"/>
              </w:rPr>
              <w:t>全套深化设计图纸，</w:t>
            </w:r>
            <w:r>
              <w:rPr>
                <w:rFonts w:hint="eastAsia" w:ascii="宋体" w:hAnsi="宋体" w:cs="宋体"/>
                <w:b w:val="0"/>
                <w:bCs w:val="0"/>
                <w:color w:val="auto"/>
                <w:sz w:val="21"/>
                <w:szCs w:val="21"/>
                <w:lang w:val="en-US" w:eastAsia="zh-CN"/>
              </w:rPr>
              <w:t>包括所有设备点位分布图（包括网络无线AP、监控等），多媒体弱电网络布线图，多媒体设备开孔尺寸图</w:t>
            </w:r>
            <w:r>
              <w:rPr>
                <w:rFonts w:ascii="宋体" w:hAnsi="宋体" w:eastAsia="宋体" w:cs="宋体"/>
                <w:b w:val="0"/>
                <w:bCs w:val="0"/>
                <w:sz w:val="21"/>
                <w:szCs w:val="21"/>
              </w:rPr>
              <w:t>；图纸布局规范、标注清晰、尺寸精准、点位排布合理，设备安装条件、开孔参数结合</w:t>
            </w:r>
            <w:r>
              <w:rPr>
                <w:rFonts w:hint="eastAsia" w:ascii="宋体" w:hAnsi="宋体" w:eastAsia="宋体" w:cs="宋体"/>
                <w:b w:val="0"/>
                <w:bCs w:val="0"/>
                <w:sz w:val="21"/>
                <w:szCs w:val="21"/>
                <w:lang w:val="en-US" w:eastAsia="zh-CN"/>
              </w:rPr>
              <w:t>施工图</w:t>
            </w:r>
            <w:r>
              <w:rPr>
                <w:rFonts w:ascii="宋体" w:hAnsi="宋体" w:eastAsia="宋体" w:cs="宋体"/>
                <w:b w:val="0"/>
                <w:bCs w:val="0"/>
                <w:sz w:val="21"/>
                <w:szCs w:val="21"/>
              </w:rPr>
              <w:t>深度优化，满足施工、安装、运维全流程落地要求，深化设计完整性、专业性、落地性极强</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kern w:val="2"/>
                <w:sz w:val="21"/>
                <w:szCs w:val="21"/>
                <w:highlight w:val="none"/>
                <w:lang w:val="en-US" w:eastAsia="zh-CN" w:bidi="ar"/>
              </w:rPr>
              <w:t>得</w:t>
            </w:r>
            <w:r>
              <w:rPr>
                <w:rFonts w:hint="eastAsia" w:ascii="宋体" w:hAnsi="宋体" w:cs="宋体"/>
                <w:b w:val="0"/>
                <w:bCs w:val="0"/>
                <w:color w:val="auto"/>
                <w:kern w:val="2"/>
                <w:sz w:val="21"/>
                <w:szCs w:val="21"/>
                <w:highlight w:val="none"/>
                <w:lang w:val="en-US" w:eastAsia="zh-CN" w:bidi="ar"/>
              </w:rPr>
              <w:t>10</w:t>
            </w:r>
            <w:r>
              <w:rPr>
                <w:rFonts w:hint="eastAsia" w:ascii="宋体" w:hAnsi="宋体" w:eastAsia="宋体" w:cs="宋体"/>
                <w:b w:val="0"/>
                <w:bCs w:val="0"/>
                <w:color w:val="auto"/>
                <w:kern w:val="2"/>
                <w:sz w:val="21"/>
                <w:szCs w:val="21"/>
                <w:highlight w:val="none"/>
                <w:lang w:val="en-US" w:eastAsia="zh-CN" w:bidi="ar"/>
              </w:rPr>
              <w:t>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jc w:val="left"/>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2.</w:t>
            </w:r>
            <w:r>
              <w:rPr>
                <w:rFonts w:ascii="宋体" w:hAnsi="宋体" w:eastAsia="宋体" w:cs="宋体"/>
                <w:b w:val="0"/>
                <w:bCs w:val="0"/>
                <w:sz w:val="21"/>
                <w:szCs w:val="21"/>
              </w:rPr>
              <w:t>提供大部分多媒体深化设计图纸，图纸基础标注完整，关键尺寸、点位布局基本合理，可满足常规施工安装需求，深化设计整体完善，局部细节有待优化</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kern w:val="2"/>
                <w:sz w:val="21"/>
                <w:szCs w:val="21"/>
                <w:highlight w:val="none"/>
                <w:lang w:val="en-US" w:eastAsia="zh-CN" w:bidi="ar"/>
              </w:rPr>
              <w:t>得</w:t>
            </w:r>
            <w:r>
              <w:rPr>
                <w:rFonts w:hint="eastAsia" w:ascii="宋体" w:hAnsi="宋体" w:cs="宋体"/>
                <w:b w:val="0"/>
                <w:bCs w:val="0"/>
                <w:color w:val="auto"/>
                <w:kern w:val="2"/>
                <w:sz w:val="21"/>
                <w:szCs w:val="21"/>
                <w:highlight w:val="none"/>
                <w:lang w:val="en-US" w:eastAsia="zh-CN" w:bidi="ar"/>
              </w:rPr>
              <w:t>6</w:t>
            </w:r>
            <w:r>
              <w:rPr>
                <w:rFonts w:hint="eastAsia" w:ascii="宋体" w:hAnsi="宋体" w:eastAsia="宋体" w:cs="宋体"/>
                <w:b w:val="0"/>
                <w:bCs w:val="0"/>
                <w:color w:val="auto"/>
                <w:kern w:val="2"/>
                <w:sz w:val="21"/>
                <w:szCs w:val="21"/>
                <w:highlight w:val="none"/>
                <w:lang w:val="en-US" w:eastAsia="zh-CN" w:bidi="ar"/>
              </w:rPr>
              <w:t>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line="240" w:lineRule="auto"/>
              <w:jc w:val="left"/>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3.</w:t>
            </w:r>
            <w:r>
              <w:rPr>
                <w:rFonts w:ascii="宋体" w:hAnsi="宋体" w:eastAsia="宋体" w:cs="宋体"/>
                <w:b w:val="0"/>
                <w:bCs w:val="0"/>
                <w:color w:val="000000"/>
                <w:kern w:val="0"/>
                <w:sz w:val="21"/>
                <w:szCs w:val="21"/>
                <w:lang w:val="en-US" w:eastAsia="zh-CN" w:bidi="ar"/>
              </w:rPr>
              <w:t>仅提供基础简易图纸，核心点位、布线图纸存在内容简略、标注不全、尺寸缺失等问题；图纸逻辑性一般，仅能体现基础布局，无法精准指导现场安装施工，深化设计完整性不足</w:t>
            </w:r>
            <w:r>
              <w:rPr>
                <w:rFonts w:hint="eastAsia"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auto"/>
                <w:kern w:val="2"/>
                <w:sz w:val="21"/>
                <w:szCs w:val="21"/>
                <w:highlight w:val="none"/>
                <w:lang w:val="en-US" w:eastAsia="zh-CN" w:bidi="ar"/>
              </w:rPr>
              <w:t>得</w:t>
            </w:r>
            <w:r>
              <w:rPr>
                <w:rFonts w:hint="eastAsia" w:ascii="宋体" w:hAnsi="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val="en-US" w:eastAsia="zh-CN" w:bidi="ar"/>
              </w:rPr>
              <w:t>分；</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auto"/>
              <w:rPr>
                <w:rFonts w:hint="eastAsia" w:ascii="宋体" w:hAnsi="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
              </w:rPr>
              <w:t>4.未提供相关</w:t>
            </w:r>
            <w:r>
              <w:rPr>
                <w:rFonts w:hint="eastAsia" w:ascii="宋体" w:hAnsi="宋体" w:cs="宋体"/>
                <w:b w:val="0"/>
                <w:bCs w:val="0"/>
                <w:color w:val="auto"/>
                <w:kern w:val="2"/>
                <w:sz w:val="21"/>
                <w:szCs w:val="21"/>
                <w:highlight w:val="none"/>
                <w:lang w:val="en-US" w:eastAsia="zh-CN" w:bidi="ar"/>
              </w:rPr>
              <w:t>图纸</w:t>
            </w:r>
            <w:r>
              <w:rPr>
                <w:rFonts w:hint="eastAsia" w:ascii="宋体" w:hAnsi="宋体" w:eastAsia="宋体" w:cs="宋体"/>
                <w:b w:val="0"/>
                <w:bCs w:val="0"/>
                <w:color w:val="auto"/>
                <w:kern w:val="2"/>
                <w:sz w:val="21"/>
                <w:szCs w:val="21"/>
                <w:highlight w:val="none"/>
                <w:lang w:val="en-US" w:eastAsia="zh-CN" w:bidi="ar"/>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实施进度计划和风控保障</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
              </w:rPr>
              <w:t>8</w:t>
            </w:r>
          </w:p>
        </w:tc>
        <w:tc>
          <w:tcPr>
            <w:tcW w:w="66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1.有根据需求制定合理的进度计划，对服务过程中可能会出现的风险有预先评判，并制定相应的防控措施，能避免风险或出现风险能及时有效的处理，得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2.有根据需求制定进度计划，有提出服务过程中可能会出现的风险，但制定的防控措施较为简单，得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3.有根据需求制定进度计划和列明可能会出现的风险，但未制定防控措施，得2分；</w:t>
            </w:r>
          </w:p>
          <w:p>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4.未提供进度计划或列明风险的，得0分。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val="0"/>
                <w:color w:val="auto"/>
                <w:szCs w:val="21"/>
                <w:highlight w:val="none"/>
                <w:lang w:bidi="ar"/>
              </w:rPr>
            </w:pPr>
            <w:r>
              <w:rPr>
                <w:rFonts w:hint="eastAsia" w:ascii="宋体" w:hAnsi="宋体" w:eastAsia="宋体" w:cs="宋体"/>
                <w:color w:val="auto"/>
                <w:szCs w:val="21"/>
                <w:highlight w:val="none"/>
                <w:lang w:val="en-US" w:eastAsia="zh-CN"/>
              </w:rPr>
              <w:t>质保期服务方案</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66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1.质保期内</w:t>
            </w:r>
            <w:r>
              <w:rPr>
                <w:rFonts w:hint="eastAsia" w:ascii="宋体" w:hAnsi="宋体" w:cs="宋体"/>
                <w:color w:val="auto"/>
                <w:szCs w:val="21"/>
                <w:highlight w:val="none"/>
                <w:lang w:val="en-US" w:eastAsia="zh-CN"/>
              </w:rPr>
              <w:t>设备</w:t>
            </w:r>
            <w:r>
              <w:rPr>
                <w:rFonts w:hint="eastAsia" w:ascii="宋体" w:hAnsi="宋体" w:eastAsia="宋体" w:cs="宋体"/>
                <w:color w:val="auto"/>
                <w:szCs w:val="21"/>
                <w:highlight w:val="none"/>
                <w:lang w:val="en-US" w:eastAsia="zh-CN"/>
              </w:rPr>
              <w:t>维护保养、培训（操作、维护、技术）方案详细、具体、可行，满足采购需求，得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2.质保期内</w:t>
            </w:r>
            <w:r>
              <w:rPr>
                <w:rFonts w:hint="eastAsia" w:ascii="宋体" w:hAnsi="宋体" w:cs="宋体"/>
                <w:color w:val="auto"/>
                <w:szCs w:val="21"/>
                <w:highlight w:val="none"/>
                <w:lang w:val="en-US" w:eastAsia="zh-CN"/>
              </w:rPr>
              <w:t>设备</w:t>
            </w:r>
            <w:r>
              <w:rPr>
                <w:rFonts w:hint="eastAsia" w:ascii="宋体" w:hAnsi="宋体" w:eastAsia="宋体" w:cs="宋体"/>
                <w:color w:val="auto"/>
                <w:szCs w:val="21"/>
                <w:highlight w:val="none"/>
                <w:lang w:val="en-US" w:eastAsia="zh-CN"/>
              </w:rPr>
              <w:t xml:space="preserve">维护保养、培训（操作、维护、技术）方案较合理、可行，基本满足采购需求，得4分； </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3.质保期内</w:t>
            </w:r>
            <w:r>
              <w:rPr>
                <w:rFonts w:hint="eastAsia" w:ascii="宋体" w:hAnsi="宋体" w:cs="宋体"/>
                <w:color w:val="auto"/>
                <w:szCs w:val="21"/>
                <w:highlight w:val="none"/>
                <w:lang w:val="en-US" w:eastAsia="zh-CN"/>
              </w:rPr>
              <w:t>设备</w:t>
            </w:r>
            <w:r>
              <w:rPr>
                <w:rFonts w:hint="eastAsia" w:ascii="宋体" w:hAnsi="宋体" w:eastAsia="宋体" w:cs="宋体"/>
                <w:color w:val="auto"/>
                <w:szCs w:val="21"/>
                <w:highlight w:val="none"/>
                <w:lang w:val="en-US" w:eastAsia="zh-CN"/>
              </w:rPr>
              <w:t>维护保养、培训（操作、维护、技术）方案合理性差，与采购需求契合度较差，得1分；</w:t>
            </w:r>
          </w:p>
          <w:p>
            <w:pPr>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 xml:space="preserve">4.未提供方案，得0分；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highlight w:val="none"/>
                <w:lang w:val="en-US" w:eastAsia="zh-CN" w:bidi="ar"/>
                <w14:textFill>
                  <w14:solidFill>
                    <w14:schemeClr w14:val="tx1"/>
                  </w14:solidFill>
                </w14:textFill>
              </w:rPr>
            </w:pPr>
            <w:r>
              <w:rPr>
                <w:rFonts w:hint="eastAsia" w:ascii="宋体" w:hAnsi="宋体" w:cs="宋体"/>
                <w:bCs/>
                <w:color w:val="000000" w:themeColor="text1"/>
                <w:highlight w:val="none"/>
                <w:lang w:val="en-US" w:eastAsia="zh-CN" w:bidi="ar"/>
                <w14:textFill>
                  <w14:solidFill>
                    <w14:schemeClr w14:val="tx1"/>
                  </w14:solidFill>
                </w14:textFill>
              </w:rPr>
              <w:t>合计</w:t>
            </w:r>
          </w:p>
        </w:tc>
        <w:tc>
          <w:tcPr>
            <w:tcW w:w="70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6675" w:type="dxa"/>
            <w:tcBorders>
              <w:top w:val="single" w:color="auto" w:sz="4" w:space="0"/>
              <w:left w:val="single" w:color="auto" w:sz="4" w:space="0"/>
              <w:bottom w:val="single" w:color="auto" w:sz="4" w:space="0"/>
              <w:right w:val="single" w:color="auto" w:sz="4" w:space="0"/>
            </w:tcBorders>
            <w:vAlign w:val="center"/>
          </w:tcPr>
          <w:p>
            <w:pPr>
              <w:jc w:val="left"/>
              <w:rPr>
                <w:rFonts w:hint="eastAsia"/>
                <w:color w:val="000000" w:themeColor="text1"/>
                <w:highlight w:val="none"/>
                <w14:textFill>
                  <w14:solidFill>
                    <w14:schemeClr w14:val="tx1"/>
                  </w14:solidFill>
                </w14:textFill>
              </w:rPr>
            </w:pPr>
          </w:p>
        </w:tc>
      </w:tr>
    </w:tbl>
    <w:p>
      <w:pPr>
        <w:rPr>
          <w:rFonts w:hint="eastAsia"/>
        </w:rPr>
        <w:sectPr>
          <w:pgSz w:w="11907" w:h="16840"/>
          <w:pgMar w:top="1418" w:right="1304" w:bottom="1361" w:left="1361"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ind w:firstLine="0"/>
        <w:rPr>
          <w:rFonts w:hint="eastAsia" w:hAnsi="宋体" w:cs="宋体"/>
          <w:color w:val="auto"/>
          <w:sz w:val="36"/>
          <w:szCs w:val="36"/>
          <w:highlight w:val="none"/>
        </w:rPr>
      </w:pPr>
      <w:r>
        <w:rPr>
          <w:rFonts w:hint="eastAsia" w:hAnsi="宋体" w:cs="宋体"/>
          <w:b/>
          <w:color w:val="auto"/>
          <w:highlight w:val="none"/>
        </w:rPr>
        <w:t>附表</w:t>
      </w:r>
      <w:r>
        <w:rPr>
          <w:rFonts w:hint="eastAsia" w:hAnsi="宋体" w:cs="宋体"/>
          <w:b/>
          <w:color w:val="auto"/>
          <w:highlight w:val="none"/>
          <w:lang w:val="en-US" w:eastAsia="zh-CN"/>
        </w:rPr>
        <w:t>3</w:t>
      </w:r>
      <w:r>
        <w:rPr>
          <w:rFonts w:hint="eastAsia" w:hAnsi="宋体" w:cs="宋体"/>
          <w:b/>
          <w:color w:val="auto"/>
          <w:highlight w:val="none"/>
        </w:rPr>
        <w:t>：</w:t>
      </w:r>
      <w:r>
        <w:rPr>
          <w:rFonts w:hint="eastAsia" w:hAnsi="宋体" w:cs="宋体"/>
          <w:b/>
          <w:color w:val="auto"/>
          <w:highlight w:val="none"/>
          <w:lang w:val="en-US" w:eastAsia="zh-CN"/>
        </w:rPr>
        <w:t>商务</w:t>
      </w:r>
      <w:r>
        <w:rPr>
          <w:rFonts w:hint="eastAsia" w:hAnsi="宋体" w:cs="宋体"/>
          <w:b/>
          <w:color w:val="auto"/>
          <w:highlight w:val="none"/>
        </w:rPr>
        <w:t>评分表</w:t>
      </w: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商务评分表</w:t>
      </w:r>
      <w:bookmarkEnd w:id="303"/>
      <w:bookmarkEnd w:id="304"/>
      <w:bookmarkEnd w:id="305"/>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适用于子包1</w:t>
      </w:r>
      <w:r>
        <w:rPr>
          <w:rFonts w:hint="eastAsia" w:ascii="宋体" w:hAnsi="宋体" w:cs="宋体"/>
          <w:b/>
          <w:color w:val="auto"/>
          <w:sz w:val="28"/>
          <w:szCs w:val="28"/>
          <w:highlight w:val="none"/>
          <w:lang w:eastAsia="zh-CN"/>
        </w:rPr>
        <w:t>）</w:t>
      </w:r>
    </w:p>
    <w:tbl>
      <w:tblPr>
        <w:tblStyle w:val="3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274"/>
        <w:gridCol w:w="708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74"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评审项目</w:t>
            </w:r>
          </w:p>
        </w:tc>
        <w:tc>
          <w:tcPr>
            <w:tcW w:w="7088"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评分细则</w:t>
            </w:r>
          </w:p>
        </w:tc>
        <w:tc>
          <w:tcPr>
            <w:tcW w:w="75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74"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Cs w:val="21"/>
                <w:highlight w:val="none"/>
                <w:lang w:val="en-US" w:eastAsia="zh-CN"/>
              </w:rPr>
              <w:t>企业综合实力</w:t>
            </w:r>
          </w:p>
        </w:tc>
        <w:tc>
          <w:tcPr>
            <w:tcW w:w="7088" w:type="dxa"/>
            <w:tcBorders>
              <w:bottom w:val="single" w:color="auto" w:sz="4" w:space="0"/>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具备有效期内的以下资质证书进行评分，每具备以下一项认证得2分，本小项最高6分：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bookmarkStart w:id="307" w:name="OLE_LINK1"/>
            <w:r>
              <w:rPr>
                <w:rFonts w:hint="eastAsia" w:ascii="宋体" w:hAnsi="宋体" w:eastAsia="宋体" w:cs="宋体"/>
                <w:color w:val="auto"/>
                <w:szCs w:val="21"/>
                <w:highlight w:val="none"/>
                <w:lang w:val="en-US" w:eastAsia="zh-CN"/>
              </w:rPr>
              <w:t>建筑装修装饰工程专业承包二级资质或以上</w:t>
            </w:r>
            <w:bookmarkEnd w:id="307"/>
            <w:r>
              <w:rPr>
                <w:rFonts w:hint="eastAsia" w:ascii="宋体" w:hAnsi="宋体" w:eastAsia="宋体" w:cs="宋体"/>
                <w:color w:val="auto"/>
                <w:szCs w:val="21"/>
                <w:highlight w:val="none"/>
                <w:lang w:val="en-US" w:eastAsia="zh-CN"/>
              </w:rPr>
              <w:t>；</w:t>
            </w:r>
          </w:p>
          <w:p>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（2）安全生产许可证；</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bookmarkStart w:id="308" w:name="OLE_LINK3"/>
            <w:r>
              <w:rPr>
                <w:rFonts w:hint="eastAsia" w:ascii="宋体" w:hAnsi="宋体" w:eastAsia="宋体" w:cs="宋体"/>
                <w:color w:val="auto"/>
                <w:szCs w:val="21"/>
                <w:highlight w:val="none"/>
                <w:lang w:val="en-US" w:eastAsia="zh-CN"/>
              </w:rPr>
              <w:t>中国展览馆协会展览陈列工程设计与施工一体化资质二级或以上</w:t>
            </w:r>
            <w:bookmarkEnd w:id="308"/>
            <w:r>
              <w:rPr>
                <w:rFonts w:hint="eastAsia" w:ascii="宋体" w:hAnsi="宋体" w:eastAsia="宋体" w:cs="宋体"/>
                <w:color w:val="auto"/>
                <w:szCs w:val="21"/>
                <w:highlight w:val="none"/>
                <w:lang w:val="en-US" w:eastAsia="zh-CN"/>
              </w:rPr>
              <w:t>，或中国展览馆协会展览工程企业二级资质或以上。</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注：需提供证书复印件，不提供不得分。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具备有效期内的以下认证证书情况进行评分，每具备以下一项认证得2分，本小项最高6分：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（1）具备质量管理体系认证；</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（2）具备环境管理体系认证；</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（3）具备职业健康管理体系认证。</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宋体" w:hAnsi="宋体" w:eastAsia="宋体" w:cs="宋体"/>
                <w:color w:val="auto"/>
                <w:szCs w:val="21"/>
                <w:highlight w:val="none"/>
                <w:lang w:val="en-US" w:eastAsia="zh-CN"/>
              </w:rPr>
              <w:t>注：需提供有效的证书复印件，同时提供在全国认证认可信息公共服务平台（http://cx.cnca.cn/）对体系认证证书的信息查询截图作为评审依据，查询截图显示证书已暂停、失效或撤销的或证明材料提供不齐的不得分。</w:t>
            </w:r>
          </w:p>
        </w:tc>
        <w:tc>
          <w:tcPr>
            <w:tcW w:w="758" w:type="dxa"/>
            <w:noWrap w:val="0"/>
            <w:vAlign w:val="center"/>
          </w:tcPr>
          <w:p>
            <w:pPr>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color w:val="auto"/>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74" w:type="dxa"/>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highlight w:val="none"/>
                <w:lang w:val="en-US" w:eastAsia="zh-CN"/>
              </w:rPr>
              <w:t>同类项目经验</w:t>
            </w:r>
          </w:p>
        </w:tc>
        <w:tc>
          <w:tcPr>
            <w:tcW w:w="7088" w:type="dxa"/>
            <w:tcBorders>
              <w:bottom w:val="single" w:color="auto" w:sz="4" w:space="0"/>
            </w:tcBorders>
            <w:noWrap w:val="0"/>
            <w:vAlign w:val="center"/>
          </w:tcPr>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根据供应商</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年1月1日至今（以合同签订日期为准）独立承接的同类项目（同类项目指：博物馆/展厅展馆/展览展会等</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布展施工）情况</w:t>
            </w:r>
            <w:r>
              <w:rPr>
                <w:rFonts w:hint="eastAsia" w:ascii="宋体" w:hAnsi="宋体" w:cs="宋体"/>
                <w:color w:val="auto"/>
                <w:szCs w:val="21"/>
                <w:highlight w:val="none"/>
                <w:lang w:val="en-US" w:eastAsia="zh-CN"/>
              </w:rPr>
              <w:t>进行评审</w:t>
            </w:r>
            <w:r>
              <w:rPr>
                <w:rFonts w:hint="eastAsia" w:ascii="宋体" w:hAnsi="宋体" w:eastAsia="宋体" w:cs="宋体"/>
                <w:color w:val="auto"/>
                <w:szCs w:val="21"/>
                <w:highlight w:val="none"/>
                <w:lang w:val="en-US" w:eastAsia="zh-CN"/>
              </w:rPr>
              <w:t>，本项最高30分：</w:t>
            </w:r>
          </w:p>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合同额10万元（或以上）-50万元（不含）或50平方米（或以上）-200平方米（不含）的同类项目，每提供一项证明材料得</w:t>
            </w: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2、合同额50万元（或以上）或200平方米（或以上）的同类项目，每提供一项证明材料得</w:t>
            </w: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pPr>
              <w:jc w:val="left"/>
              <w:rPr>
                <w:rFonts w:hint="default" w:asciiTheme="minorEastAsia" w:hAnsiTheme="minorEastAsia" w:eastAsiaTheme="minorEastAsia" w:cstheme="minorEastAsia"/>
                <w:color w:val="auto"/>
                <w:sz w:val="21"/>
                <w:szCs w:val="21"/>
                <w:highlight w:val="none"/>
                <w:lang w:val="en-US"/>
              </w:rPr>
            </w:pPr>
            <w:r>
              <w:rPr>
                <w:rFonts w:hint="eastAsia" w:ascii="宋体" w:hAnsi="宋体" w:eastAsia="宋体" w:cs="宋体"/>
                <w:color w:val="auto"/>
                <w:szCs w:val="21"/>
                <w:highlight w:val="none"/>
                <w:lang w:val="en-US" w:eastAsia="zh-CN"/>
              </w:rPr>
              <w:t>注:①需提供合同关键页（包括但不限于合同签订主体、合同标的、合同金额页、盖章页），如合同无法说明项目内容符合上述同类项目经验内容，可由甲方出具的相应证明文件作依据（证明文件须加盖合同甲方公司章或合同章，或甲方项目使用部门部门章）；②未按要求提供相关证明材料或证明材料内容不齐全或不清晰等导致评委无法认定的，一律不予认可。③已</w:t>
            </w:r>
            <w:r>
              <w:rPr>
                <w:rFonts w:hint="eastAsia" w:ascii="宋体" w:hAnsi="宋体" w:cs="宋体"/>
                <w:color w:val="auto"/>
                <w:szCs w:val="21"/>
                <w:highlight w:val="none"/>
                <w:lang w:val="en-US" w:eastAsia="zh-CN"/>
              </w:rPr>
              <w:t>作为合格供应商资格条件业绩要求</w:t>
            </w:r>
            <w:r>
              <w:rPr>
                <w:rFonts w:hint="eastAsia" w:ascii="宋体" w:hAnsi="宋体" w:eastAsia="宋体" w:cs="宋体"/>
                <w:color w:val="auto"/>
                <w:szCs w:val="21"/>
                <w:highlight w:val="none"/>
                <w:lang w:val="en-US" w:eastAsia="zh-CN"/>
              </w:rPr>
              <w:t>评审中的同类项目，不计入“同类项目经验”评分项得分。</w:t>
            </w:r>
            <w:r>
              <w:rPr>
                <w:rFonts w:hint="eastAsia" w:ascii="宋体" w:hAnsi="宋体" w:cs="宋体"/>
                <w:color w:val="auto"/>
                <w:szCs w:val="21"/>
                <w:highlight w:val="none"/>
                <w:lang w:val="en-US" w:eastAsia="zh-CN"/>
              </w:rPr>
              <w:t>④若供应商提供的业绩同时体现合同金额和面积，按最高得分档次计算得分，且仅计算一次得分。</w:t>
            </w:r>
          </w:p>
        </w:tc>
        <w:tc>
          <w:tcPr>
            <w:tcW w:w="758" w:type="dxa"/>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274" w:type="dxa"/>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Cs w:val="21"/>
                <w:highlight w:val="none"/>
                <w:lang w:val="en-US" w:eastAsia="zh-CN"/>
              </w:rPr>
              <w:t>拟投入到本项目的服务人员情况</w:t>
            </w:r>
          </w:p>
        </w:tc>
        <w:tc>
          <w:tcPr>
            <w:tcW w:w="7088" w:type="dxa"/>
            <w:tcBorders>
              <w:bottom w:val="single" w:color="auto" w:sz="4" w:space="0"/>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根据供应商</w:t>
            </w:r>
            <w:r>
              <w:rPr>
                <w:rFonts w:hint="eastAsia" w:ascii="宋体" w:hAnsi="宋体" w:eastAsia="宋体" w:cs="宋体"/>
                <w:color w:val="auto"/>
                <w:szCs w:val="21"/>
                <w:highlight w:val="none"/>
                <w:lang w:val="en-US" w:eastAsia="zh-CN"/>
              </w:rPr>
              <w:t>拟投入到本项目的管理人员情况</w:t>
            </w:r>
            <w:r>
              <w:rPr>
                <w:rFonts w:hint="eastAsia" w:ascii="宋体" w:hAnsi="宋体" w:cs="宋体"/>
                <w:color w:val="auto"/>
                <w:szCs w:val="21"/>
                <w:highlight w:val="none"/>
                <w:lang w:val="en-US" w:eastAsia="zh-CN"/>
              </w:rPr>
              <w:t>进行评审</w:t>
            </w:r>
            <w:r>
              <w:rPr>
                <w:rFonts w:hint="eastAsia" w:ascii="宋体" w:hAnsi="宋体" w:eastAsia="宋体" w:cs="宋体"/>
                <w:color w:val="auto"/>
                <w:szCs w:val="21"/>
                <w:highlight w:val="none"/>
                <w:lang w:val="en-US" w:eastAsia="zh-CN"/>
              </w:rPr>
              <w:t>：</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每有一人具备有效的安全生产考核合格证书（A类/B类/C类）或建筑施工企业管理人员安全生产考核信息系统安全生产管理人员证书信息的网页截图（A类/B类/C类）得1分，最高得4分。</w:t>
            </w:r>
          </w:p>
          <w:p>
            <w:pPr>
              <w:jc w:val="left"/>
              <w:rPr>
                <w:rFonts w:hint="default" w:asciiTheme="minorEastAsia" w:hAnsiTheme="minorEastAsia" w:eastAsiaTheme="minorEastAsia" w:cstheme="minorEastAsia"/>
                <w:color w:val="auto"/>
                <w:sz w:val="21"/>
                <w:szCs w:val="21"/>
                <w:highlight w:val="none"/>
                <w:lang w:val="en-US"/>
              </w:rPr>
            </w:pPr>
            <w:r>
              <w:rPr>
                <w:rFonts w:hint="eastAsia" w:ascii="宋体" w:hAnsi="宋体" w:eastAsia="宋体" w:cs="宋体"/>
                <w:color w:val="auto"/>
                <w:szCs w:val="21"/>
                <w:highlight w:val="none"/>
                <w:lang w:val="en-US" w:eastAsia="zh-CN"/>
              </w:rPr>
              <w:t>注：①</w:t>
            </w:r>
            <w:r>
              <w:rPr>
                <w:rFonts w:hint="eastAsia" w:ascii="宋体" w:hAnsi="宋体" w:cs="宋体"/>
                <w:color w:val="auto"/>
                <w:szCs w:val="21"/>
                <w:highlight w:val="none"/>
                <w:lang w:val="en-US" w:eastAsia="zh-CN"/>
              </w:rPr>
              <w:t>供应商需</w:t>
            </w:r>
            <w:r>
              <w:rPr>
                <w:rFonts w:hint="eastAsia" w:ascii="宋体" w:hAnsi="宋体" w:eastAsia="宋体" w:cs="宋体"/>
                <w:color w:val="auto"/>
                <w:szCs w:val="21"/>
                <w:highlight w:val="none"/>
                <w:lang w:val="en-US" w:eastAsia="zh-CN"/>
              </w:rPr>
              <w:t>提供服务人员的身份证、证书复印件/网页截图及202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年9月至今任意1个月在</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本单位缴纳社保的社保材料复印件，否则对应人员评审项不予得分。</w:t>
            </w:r>
          </w:p>
        </w:tc>
        <w:tc>
          <w:tcPr>
            <w:tcW w:w="758" w:type="dxa"/>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274"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Cs w:val="21"/>
                <w:highlight w:val="none"/>
                <w:lang w:val="en-US" w:eastAsia="zh-CN"/>
              </w:rPr>
              <w:t>售后服务响应</w:t>
            </w:r>
          </w:p>
        </w:tc>
        <w:tc>
          <w:tcPr>
            <w:tcW w:w="7088" w:type="dxa"/>
            <w:tcBorders>
              <w:bottom w:val="single" w:color="auto" w:sz="4" w:space="0"/>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szCs w:val="21"/>
              </w:rPr>
              <w:t>投标人在</w:t>
            </w:r>
            <w:r>
              <w:rPr>
                <w:rFonts w:hint="eastAsia" w:ascii="宋体" w:hAnsi="宋体"/>
                <w:szCs w:val="21"/>
                <w:lang w:val="en-US" w:eastAsia="zh-CN"/>
              </w:rPr>
              <w:t>广东省</w:t>
            </w:r>
            <w:r>
              <w:rPr>
                <w:rFonts w:hint="eastAsia" w:ascii="宋体" w:hAnsi="宋体"/>
                <w:szCs w:val="21"/>
              </w:rPr>
              <w:t>设有服务机构并有常驻人员</w:t>
            </w:r>
            <w:r>
              <w:rPr>
                <w:rFonts w:hint="eastAsia" w:ascii="宋体" w:hAnsi="宋体"/>
                <w:szCs w:val="21"/>
                <w:lang w:eastAsia="zh-CN"/>
              </w:rPr>
              <w:t>，</w:t>
            </w:r>
            <w:r>
              <w:rPr>
                <w:rFonts w:hint="eastAsia" w:ascii="宋体" w:hAnsi="宋体"/>
                <w:szCs w:val="21"/>
              </w:rPr>
              <w:t>或承诺中标后</w:t>
            </w:r>
            <w:r>
              <w:rPr>
                <w:rFonts w:hint="eastAsia" w:ascii="宋体" w:hAnsi="宋体"/>
                <w:color w:val="000000"/>
                <w:szCs w:val="21"/>
              </w:rPr>
              <w:t>3</w:t>
            </w:r>
            <w:r>
              <w:rPr>
                <w:rFonts w:ascii="宋体" w:hAnsi="宋体"/>
                <w:color w:val="000000"/>
                <w:szCs w:val="21"/>
              </w:rPr>
              <w:t>0</w:t>
            </w:r>
            <w:r>
              <w:rPr>
                <w:rFonts w:hint="eastAsia" w:ascii="宋体" w:hAnsi="宋体"/>
                <w:color w:val="000000"/>
                <w:szCs w:val="21"/>
              </w:rPr>
              <w:t>日内</w:t>
            </w:r>
            <w:r>
              <w:rPr>
                <w:rFonts w:hint="eastAsia" w:ascii="宋体" w:hAnsi="宋体"/>
                <w:szCs w:val="21"/>
              </w:rPr>
              <w:t>在</w:t>
            </w:r>
            <w:r>
              <w:rPr>
                <w:rFonts w:hint="eastAsia" w:ascii="宋体" w:hAnsi="宋体"/>
                <w:szCs w:val="21"/>
                <w:lang w:val="en-US" w:eastAsia="zh-CN"/>
              </w:rPr>
              <w:t>广东省</w:t>
            </w:r>
            <w:r>
              <w:rPr>
                <w:rFonts w:hint="eastAsia" w:ascii="宋体" w:hAnsi="宋体"/>
                <w:szCs w:val="21"/>
              </w:rPr>
              <w:t>设立服务机构</w:t>
            </w:r>
            <w:r>
              <w:rPr>
                <w:rFonts w:hint="eastAsia" w:ascii="宋体" w:hAnsi="宋体"/>
                <w:szCs w:val="21"/>
                <w:lang w:val="en-US" w:eastAsia="zh-CN"/>
              </w:rPr>
              <w:t>和</w:t>
            </w:r>
            <w:r>
              <w:rPr>
                <w:rFonts w:hint="eastAsia" w:ascii="宋体" w:hAnsi="宋体"/>
                <w:szCs w:val="21"/>
              </w:rPr>
              <w:t>常驻人员</w:t>
            </w:r>
            <w:r>
              <w:rPr>
                <w:rFonts w:hint="eastAsia" w:ascii="宋体" w:hAnsi="宋体"/>
                <w:szCs w:val="21"/>
                <w:lang w:eastAsia="zh-CN"/>
              </w:rPr>
              <w:t>，</w:t>
            </w:r>
            <w:r>
              <w:rPr>
                <w:rFonts w:hint="eastAsia" w:ascii="宋体" w:hAnsi="宋体"/>
                <w:szCs w:val="21"/>
                <w:lang w:val="en-US" w:eastAsia="zh-CN"/>
              </w:rPr>
              <w:t>在满足上述条件基础上，</w:t>
            </w:r>
            <w:r>
              <w:rPr>
                <w:rFonts w:hint="eastAsia" w:ascii="宋体" w:hAnsi="宋体" w:eastAsia="宋体" w:cs="宋体"/>
                <w:color w:val="auto"/>
                <w:szCs w:val="21"/>
                <w:highlight w:val="none"/>
                <w:lang w:val="en-US" w:eastAsia="zh-CN"/>
              </w:rPr>
              <w:t>承诺遇到应急状况、设备故障或缺陷时能迅速响应，及时提供完善的解决方案及所需的备品备件，且能派足够的技术人员同时到达现场协助客户并解决问题：</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1、售后服务响应及实施时间在12小时内</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的，得4分；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2、售后服务响应及实施时间在</w:t>
            </w:r>
            <w:r>
              <w:rPr>
                <w:rFonts w:hint="eastAsia" w:ascii="宋体" w:hAnsi="宋体" w:cs="宋体"/>
                <w:color w:val="auto"/>
                <w:szCs w:val="21"/>
                <w:highlight w:val="none"/>
                <w:lang w:val="en-US" w:eastAsia="zh-CN"/>
              </w:rPr>
              <w:t>12小时（不含）~</w:t>
            </w:r>
            <w:r>
              <w:rPr>
                <w:rFonts w:hint="eastAsia" w:ascii="宋体" w:hAnsi="宋体" w:eastAsia="宋体" w:cs="宋体"/>
                <w:color w:val="auto"/>
                <w:szCs w:val="21"/>
                <w:highlight w:val="none"/>
                <w:lang w:val="en-US" w:eastAsia="zh-CN"/>
              </w:rPr>
              <w:t>24小时内</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的，得3分；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3、售后服务响应及实施时间在24小时</w:t>
            </w:r>
            <w:r>
              <w:rPr>
                <w:rFonts w:hint="eastAsia" w:ascii="宋体" w:hAnsi="宋体" w:cs="宋体"/>
                <w:color w:val="auto"/>
                <w:szCs w:val="21"/>
                <w:highlight w:val="none"/>
                <w:lang w:val="en-US" w:eastAsia="zh-CN"/>
              </w:rPr>
              <w:t>（不含）~</w:t>
            </w:r>
            <w:r>
              <w:rPr>
                <w:rFonts w:hint="eastAsia" w:ascii="宋体" w:hAnsi="宋体" w:eastAsia="宋体" w:cs="宋体"/>
                <w:color w:val="auto"/>
                <w:szCs w:val="21"/>
                <w:highlight w:val="none"/>
                <w:lang w:val="en-US" w:eastAsia="zh-CN"/>
              </w:rPr>
              <w:t>36小时内</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的，得2分；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4、售后服务响应及实施时间在36小时</w:t>
            </w:r>
            <w:r>
              <w:rPr>
                <w:rFonts w:hint="eastAsia" w:ascii="宋体" w:hAnsi="宋体" w:cs="宋体"/>
                <w:color w:val="auto"/>
                <w:szCs w:val="21"/>
                <w:highlight w:val="none"/>
                <w:lang w:val="en-US" w:eastAsia="zh-CN"/>
              </w:rPr>
              <w:t>（不含）~</w:t>
            </w:r>
            <w:r>
              <w:rPr>
                <w:rFonts w:hint="eastAsia" w:ascii="宋体" w:hAnsi="宋体" w:eastAsia="宋体" w:cs="宋体"/>
                <w:color w:val="auto"/>
                <w:szCs w:val="21"/>
                <w:highlight w:val="none"/>
                <w:lang w:val="en-US" w:eastAsia="zh-CN"/>
              </w:rPr>
              <w:t>48小时内的，得1分。</w:t>
            </w:r>
          </w:p>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5、其余情况不得分。</w:t>
            </w:r>
          </w:p>
          <w:p>
            <w:pPr>
              <w:jc w:val="left"/>
              <w:rPr>
                <w:rFonts w:hint="default" w:ascii="宋体" w:hAnsi="宋体" w:eastAsia="宋体"/>
                <w:szCs w:val="21"/>
                <w:lang w:val="en-US" w:eastAsia="zh-CN"/>
              </w:rPr>
            </w:pPr>
            <w:r>
              <w:rPr>
                <w:rFonts w:hint="eastAsia" w:ascii="宋体" w:hAnsi="宋体" w:eastAsia="宋体" w:cs="宋体"/>
                <w:color w:val="auto"/>
                <w:szCs w:val="21"/>
                <w:highlight w:val="none"/>
                <w:lang w:val="en-US" w:eastAsia="zh-CN"/>
              </w:rPr>
              <w:t>注：</w:t>
            </w:r>
            <w:r>
              <w:rPr>
                <w:rFonts w:hint="eastAsia" w:ascii="宋体" w:hAnsi="宋体" w:cs="宋体"/>
                <w:color w:val="auto"/>
                <w:szCs w:val="21"/>
                <w:highlight w:val="none"/>
                <w:lang w:val="en-US" w:eastAsia="zh-CN"/>
              </w:rPr>
              <w:t>（1）</w:t>
            </w:r>
            <w:r>
              <w:rPr>
                <w:rFonts w:hint="eastAsia" w:ascii="宋体" w:hAnsi="宋体"/>
                <w:szCs w:val="21"/>
              </w:rPr>
              <w:t>如投标人在</w:t>
            </w:r>
            <w:r>
              <w:rPr>
                <w:rFonts w:hint="eastAsia" w:ascii="宋体" w:hAnsi="宋体"/>
                <w:szCs w:val="21"/>
                <w:lang w:val="en-US" w:eastAsia="zh-CN"/>
              </w:rPr>
              <w:t>广东省</w:t>
            </w:r>
            <w:r>
              <w:rPr>
                <w:rFonts w:hint="eastAsia" w:ascii="宋体" w:hAnsi="宋体"/>
                <w:szCs w:val="21"/>
              </w:rPr>
              <w:t>设有服务机构并有常驻人员，须提供工商注册证明或办公场所租赁合同</w:t>
            </w:r>
            <w:r>
              <w:rPr>
                <w:rFonts w:hint="eastAsia" w:ascii="宋体" w:hAnsi="宋体"/>
                <w:szCs w:val="21"/>
                <w:lang w:val="en-US" w:eastAsia="zh-CN"/>
              </w:rPr>
              <w:t>和常驻人员名单</w:t>
            </w:r>
            <w:r>
              <w:rPr>
                <w:rFonts w:hint="eastAsia" w:ascii="宋体" w:hAnsi="宋体"/>
                <w:szCs w:val="21"/>
              </w:rPr>
              <w:t>作为证明材料；如投标人承诺中标后</w:t>
            </w:r>
            <w:r>
              <w:rPr>
                <w:rFonts w:hint="eastAsia" w:ascii="宋体" w:hAnsi="宋体"/>
                <w:color w:val="000000"/>
                <w:szCs w:val="21"/>
              </w:rPr>
              <w:t>3</w:t>
            </w:r>
            <w:r>
              <w:rPr>
                <w:rFonts w:ascii="宋体" w:hAnsi="宋体"/>
                <w:color w:val="000000"/>
                <w:szCs w:val="21"/>
              </w:rPr>
              <w:t>0</w:t>
            </w:r>
            <w:r>
              <w:rPr>
                <w:rFonts w:hint="eastAsia" w:ascii="宋体" w:hAnsi="宋体"/>
                <w:color w:val="000000"/>
                <w:szCs w:val="21"/>
              </w:rPr>
              <w:t>日内</w:t>
            </w:r>
            <w:r>
              <w:rPr>
                <w:rFonts w:hint="eastAsia" w:ascii="宋体" w:hAnsi="宋体"/>
                <w:szCs w:val="21"/>
              </w:rPr>
              <w:t>在</w:t>
            </w:r>
            <w:r>
              <w:rPr>
                <w:rFonts w:hint="eastAsia" w:ascii="宋体" w:hAnsi="宋体"/>
                <w:szCs w:val="21"/>
                <w:lang w:val="en-US" w:eastAsia="zh-CN"/>
              </w:rPr>
              <w:t>广东省</w:t>
            </w:r>
            <w:r>
              <w:rPr>
                <w:rFonts w:hint="eastAsia" w:ascii="宋体" w:hAnsi="宋体"/>
                <w:szCs w:val="21"/>
              </w:rPr>
              <w:t>设立服务机构</w:t>
            </w:r>
            <w:r>
              <w:rPr>
                <w:rFonts w:hint="eastAsia" w:ascii="宋体" w:hAnsi="宋体"/>
                <w:szCs w:val="21"/>
                <w:lang w:val="en-US" w:eastAsia="zh-CN"/>
              </w:rPr>
              <w:t>和</w:t>
            </w:r>
            <w:r>
              <w:rPr>
                <w:rFonts w:hint="eastAsia" w:ascii="宋体" w:hAnsi="宋体"/>
                <w:szCs w:val="21"/>
              </w:rPr>
              <w:t>有常驻人员，须提供承诺函并加盖投标人公章。</w:t>
            </w:r>
            <w:r>
              <w:rPr>
                <w:rFonts w:hint="eastAsia" w:ascii="宋体" w:hAnsi="宋体"/>
                <w:szCs w:val="21"/>
                <w:lang w:val="en-US" w:eastAsia="zh-CN"/>
              </w:rPr>
              <w:t>未提供则本项不得分。</w:t>
            </w:r>
          </w:p>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eastAsia="宋体" w:cs="宋体"/>
                <w:color w:val="auto"/>
                <w:szCs w:val="21"/>
                <w:highlight w:val="none"/>
                <w:lang w:val="en-US" w:eastAsia="zh-CN"/>
              </w:rPr>
              <w:t>需提供</w:t>
            </w:r>
            <w:r>
              <w:rPr>
                <w:rFonts w:hint="eastAsia" w:ascii="宋体" w:hAnsi="宋体" w:cs="宋体"/>
                <w:color w:val="auto"/>
                <w:szCs w:val="21"/>
                <w:highlight w:val="none"/>
                <w:lang w:val="en-US" w:eastAsia="zh-CN"/>
              </w:rPr>
              <w:t>售后服务响应</w:t>
            </w:r>
            <w:r>
              <w:rPr>
                <w:rFonts w:hint="eastAsia" w:ascii="宋体" w:hAnsi="宋体" w:eastAsia="宋体" w:cs="宋体"/>
                <w:color w:val="auto"/>
                <w:szCs w:val="21"/>
                <w:highlight w:val="none"/>
                <w:lang w:val="en-US" w:eastAsia="zh-CN"/>
              </w:rPr>
              <w:t>承诺函</w:t>
            </w:r>
            <w:r>
              <w:rPr>
                <w:rFonts w:hint="eastAsia" w:ascii="宋体" w:hAnsi="宋体" w:cs="宋体"/>
                <w:color w:val="auto"/>
                <w:szCs w:val="21"/>
                <w:highlight w:val="none"/>
                <w:lang w:val="en-US" w:eastAsia="zh-CN"/>
              </w:rPr>
              <w:t>并加盖投标人公章</w:t>
            </w:r>
            <w:r>
              <w:rPr>
                <w:rFonts w:hint="eastAsia" w:ascii="宋体" w:hAnsi="宋体" w:eastAsia="宋体" w:cs="宋体"/>
                <w:color w:val="auto"/>
                <w:szCs w:val="21"/>
                <w:highlight w:val="none"/>
                <w:lang w:val="en-US" w:eastAsia="zh-CN"/>
              </w:rPr>
              <w:t>，不提供不得分。</w:t>
            </w:r>
          </w:p>
        </w:tc>
        <w:tc>
          <w:tcPr>
            <w:tcW w:w="758" w:type="dxa"/>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983" w:type="dxa"/>
            <w:gridSpan w:val="3"/>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758" w:type="dxa"/>
            <w:noWrap w:val="0"/>
            <w:vAlign w:val="center"/>
          </w:tcPr>
          <w:p>
            <w:pPr>
              <w:jc w:val="center"/>
              <w:rPr>
                <w:rFonts w:hint="default" w:asciiTheme="minorEastAsia" w:hAnsiTheme="minorEastAsia" w:eastAsiaTheme="minorEastAsia" w:cstheme="minorEastAsia"/>
                <w:color w:val="auto"/>
                <w:sz w:val="21"/>
                <w:szCs w:val="21"/>
                <w:highlight w:val="none"/>
                <w:lang w:val="en-US"/>
              </w:rPr>
            </w:pPr>
            <w:r>
              <w:rPr>
                <w:rFonts w:hint="eastAsia" w:ascii="宋体" w:hAnsi="宋体" w:eastAsia="宋体" w:cs="宋体"/>
                <w:color w:val="auto"/>
                <w:szCs w:val="21"/>
                <w:highlight w:val="none"/>
                <w:lang w:val="en-US" w:eastAsia="zh-CN"/>
              </w:rPr>
              <w:t>50</w:t>
            </w:r>
          </w:p>
        </w:tc>
      </w:tr>
    </w:tbl>
    <w:p>
      <w:pPr>
        <w:pStyle w:val="17"/>
        <w:rPr>
          <w:rFonts w:hint="eastAsia" w:hAnsi="宋体"/>
          <w:b/>
          <w:bCs/>
          <w:color w:val="auto"/>
          <w:highlight w:val="none"/>
        </w:rPr>
      </w:pPr>
      <w:r>
        <w:rPr>
          <w:rFonts w:hint="eastAsia" w:hAnsi="宋体"/>
          <w:b/>
          <w:bCs/>
          <w:color w:val="auto"/>
          <w:highlight w:val="none"/>
        </w:rPr>
        <w:t>注：1、评委对各投标文件进行评审，分数精确至小数点后2位。</w:t>
      </w:r>
    </w:p>
    <w:p>
      <w:pPr>
        <w:jc w:val="center"/>
        <w:rPr>
          <w:rFonts w:hint="eastAsia" w:ascii="宋体" w:hAnsi="宋体" w:cs="宋体"/>
          <w:b/>
          <w:color w:val="auto"/>
          <w:sz w:val="28"/>
          <w:szCs w:val="28"/>
          <w:highlight w:val="none"/>
        </w:rPr>
      </w:pPr>
      <w:r>
        <w:rPr>
          <w:rFonts w:hint="eastAsia" w:ascii="宋体" w:hAnsi="宋体" w:cs="宋体"/>
          <w:b/>
          <w:bCs/>
          <w:color w:val="auto"/>
          <w:highlight w:val="none"/>
        </w:rPr>
        <w:br w:type="page"/>
      </w:r>
      <w:r>
        <w:rPr>
          <w:rFonts w:hint="eastAsia" w:ascii="宋体" w:hAnsi="宋体" w:cs="宋体"/>
          <w:b/>
          <w:color w:val="auto"/>
          <w:sz w:val="28"/>
          <w:szCs w:val="28"/>
          <w:highlight w:val="none"/>
        </w:rPr>
        <w:t>商务评分表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适用于子包2</w:t>
      </w:r>
      <w:r>
        <w:rPr>
          <w:rFonts w:hint="eastAsia" w:ascii="宋体" w:hAnsi="宋体" w:cs="宋体"/>
          <w:b/>
          <w:color w:val="auto"/>
          <w:sz w:val="28"/>
          <w:szCs w:val="28"/>
          <w:highlight w:val="none"/>
          <w:lang w:eastAsia="zh-CN"/>
        </w:rPr>
        <w:t>）</w:t>
      </w:r>
    </w:p>
    <w:tbl>
      <w:tblPr>
        <w:tblStyle w:val="3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274"/>
        <w:gridCol w:w="708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74"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评审项目</w:t>
            </w:r>
          </w:p>
        </w:tc>
        <w:tc>
          <w:tcPr>
            <w:tcW w:w="7088"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评分细则</w:t>
            </w:r>
          </w:p>
        </w:tc>
        <w:tc>
          <w:tcPr>
            <w:tcW w:w="75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274"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企业综合实力</w:t>
            </w:r>
          </w:p>
        </w:tc>
        <w:tc>
          <w:tcPr>
            <w:tcW w:w="7088" w:type="dxa"/>
            <w:tcBorders>
              <w:bottom w:val="single" w:color="auto" w:sz="4" w:space="0"/>
            </w:tcBorders>
            <w:noWrap w:val="0"/>
            <w:vAlign w:val="center"/>
          </w:tcPr>
          <w:p>
            <w:pPr>
              <w:jc w:val="left"/>
              <w:rPr>
                <w:rFonts w:hint="eastAsia"/>
                <w:lang w:val="en-US" w:eastAsia="zh-CN"/>
              </w:rPr>
            </w:pPr>
            <w:r>
              <w:rPr>
                <w:rFonts w:hint="eastAsia"/>
                <w:lang w:val="en-US" w:eastAsia="zh-CN"/>
              </w:rPr>
              <w:t>1、根据供应商具备有效期内的以下认证证书情况进行评分，每具备以下一项认证得2分，本小项最高6分：</w:t>
            </w:r>
          </w:p>
          <w:p>
            <w:pPr>
              <w:jc w:val="left"/>
              <w:rPr>
                <w:rFonts w:hint="eastAsia"/>
                <w:lang w:val="en-US" w:eastAsia="zh-CN"/>
              </w:rPr>
            </w:pPr>
            <w:r>
              <w:rPr>
                <w:rFonts w:hint="eastAsia"/>
                <w:lang w:val="en-US" w:eastAsia="zh-CN"/>
              </w:rPr>
              <w:t>（1）具备质量管理体系认证；</w:t>
            </w:r>
          </w:p>
          <w:p>
            <w:pPr>
              <w:jc w:val="left"/>
              <w:rPr>
                <w:rFonts w:hint="eastAsia"/>
                <w:lang w:val="en-US" w:eastAsia="zh-CN"/>
              </w:rPr>
            </w:pPr>
            <w:r>
              <w:rPr>
                <w:rFonts w:hint="eastAsia"/>
                <w:lang w:val="en-US" w:eastAsia="zh-CN"/>
              </w:rPr>
              <w:t>（2）具备环境管理体系认证；</w:t>
            </w:r>
          </w:p>
          <w:p>
            <w:pPr>
              <w:jc w:val="left"/>
              <w:rPr>
                <w:rFonts w:hint="eastAsia"/>
                <w:lang w:val="en-US" w:eastAsia="zh-CN"/>
              </w:rPr>
            </w:pPr>
            <w:r>
              <w:rPr>
                <w:rFonts w:hint="eastAsia"/>
                <w:lang w:val="en-US" w:eastAsia="zh-CN"/>
              </w:rPr>
              <w:t>（3）具备职业健康管理体系认证。</w:t>
            </w:r>
          </w:p>
          <w:p>
            <w:pPr>
              <w:jc w:val="left"/>
              <w:rPr>
                <w:rFonts w:hint="eastAsia"/>
                <w:lang w:val="en-US" w:eastAsia="zh-CN"/>
              </w:rPr>
            </w:pPr>
            <w:r>
              <w:rPr>
                <w:rFonts w:hint="eastAsia"/>
                <w:lang w:val="en-US" w:eastAsia="zh-CN"/>
              </w:rPr>
              <w:t>注：需提供有效的证书复印件，同时提供在全国认证认可信息公共服务平台（http://cx.cnca.cn/）对体系认证证书的信息查询截图作为评审依据，查询截图显示证书已暂停、失效或撤销的或证明材料提供不齐的不得分。</w:t>
            </w:r>
          </w:p>
          <w:p>
            <w:pPr>
              <w:jc w:val="left"/>
              <w:rPr>
                <w:rFonts w:hint="eastAsia" w:ascii="宋体" w:hAnsi="宋体" w:cs="宋体"/>
                <w:color w:val="auto"/>
                <w:szCs w:val="21"/>
                <w:highlight w:val="none"/>
                <w:lang w:val="en-US" w:eastAsia="zh-CN"/>
              </w:rPr>
            </w:pPr>
            <w:r>
              <w:rPr>
                <w:rFonts w:hint="eastAsia"/>
                <w:lang w:val="en-US" w:eastAsia="zh-CN"/>
              </w:rPr>
              <w:t>2、根据供应商具备有效期内的以下证书情况进行评分，每具备以下一项证书得2分，本小项最高4分：</w:t>
            </w:r>
          </w:p>
          <w:p>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（1）高新技术企业证书；</w:t>
            </w:r>
          </w:p>
          <w:p>
            <w:pPr>
              <w:ind w:firstLine="0" w:firstLineChars="0"/>
              <w:jc w:val="left"/>
              <w:rPr>
                <w:rFonts w:hint="default"/>
                <w:lang w:val="en-US" w:eastAsia="zh-CN"/>
              </w:rPr>
            </w:pPr>
            <w:r>
              <w:rPr>
                <w:rFonts w:hint="eastAsia" w:ascii="宋体" w:hAnsi="宋体" w:cs="宋体"/>
                <w:color w:val="auto"/>
                <w:szCs w:val="21"/>
                <w:highlight w:val="none"/>
                <w:lang w:val="en-US" w:eastAsia="zh-CN"/>
              </w:rPr>
              <w:t>（2）专精特新企业证书。</w:t>
            </w:r>
          </w:p>
          <w:p>
            <w:pPr>
              <w:jc w:val="left"/>
              <w:rPr>
                <w:rFonts w:hint="eastAsia"/>
                <w:lang w:val="en-US" w:eastAsia="zh-CN"/>
              </w:rPr>
            </w:pPr>
            <w:r>
              <w:rPr>
                <w:rFonts w:hint="eastAsia" w:ascii="宋体" w:hAnsi="宋体" w:eastAsia="宋体" w:cs="宋体"/>
                <w:color w:val="auto"/>
                <w:szCs w:val="21"/>
                <w:highlight w:val="none"/>
                <w:lang w:val="en-US" w:eastAsia="zh-CN"/>
              </w:rPr>
              <w:t>注：需提供证书复印件，不提供不得分。</w:t>
            </w:r>
          </w:p>
        </w:tc>
        <w:tc>
          <w:tcPr>
            <w:tcW w:w="75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74"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Cs w:val="21"/>
                <w:highlight w:val="none"/>
                <w:lang w:val="en-US" w:eastAsia="zh-CN"/>
              </w:rPr>
              <w:t>同类项目经验</w:t>
            </w:r>
          </w:p>
        </w:tc>
        <w:tc>
          <w:tcPr>
            <w:tcW w:w="7088" w:type="dxa"/>
            <w:tcBorders>
              <w:bottom w:val="single" w:color="auto" w:sz="4" w:space="0"/>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根据供应商</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年1月1日至今（以合同签订日期为准）独立承接的同类项目（同类项目指：</w:t>
            </w:r>
            <w:r>
              <w:rPr>
                <w:rFonts w:hint="eastAsia" w:ascii="宋体" w:hAnsi="宋体" w:cs="宋体"/>
                <w:color w:val="auto"/>
                <w:szCs w:val="21"/>
                <w:highlight w:val="none"/>
                <w:lang w:val="en-US" w:eastAsia="zh-CN"/>
              </w:rPr>
              <w:t>与多媒体硬件相关的供货业绩</w:t>
            </w:r>
            <w:r>
              <w:rPr>
                <w:rFonts w:hint="eastAsia" w:ascii="宋体" w:hAnsi="宋体" w:eastAsia="宋体" w:cs="宋体"/>
                <w:color w:val="auto"/>
                <w:szCs w:val="21"/>
                <w:highlight w:val="none"/>
                <w:lang w:val="en-US" w:eastAsia="zh-CN"/>
              </w:rPr>
              <w:t>）情况</w:t>
            </w:r>
            <w:r>
              <w:rPr>
                <w:rFonts w:hint="eastAsia" w:ascii="宋体" w:hAnsi="宋体" w:cs="宋体"/>
                <w:color w:val="auto"/>
                <w:szCs w:val="21"/>
                <w:highlight w:val="none"/>
                <w:lang w:val="en-US" w:eastAsia="zh-CN"/>
              </w:rPr>
              <w:t>进行评审</w:t>
            </w:r>
            <w:r>
              <w:rPr>
                <w:rFonts w:hint="eastAsia" w:ascii="宋体" w:hAnsi="宋体" w:eastAsia="宋体" w:cs="宋体"/>
                <w:color w:val="auto"/>
                <w:szCs w:val="21"/>
                <w:highlight w:val="none"/>
                <w:lang w:val="en-US" w:eastAsia="zh-CN"/>
              </w:rPr>
              <w:t>，本项最高</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合同额10万元（或以上）-50万元（不含）的同类项目，每提供一项证明材料得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2、合同额50万元（或以上）的同类项目，每提供一项证明材料得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jc w:val="left"/>
              <w:rPr>
                <w:rFonts w:hint="eastAsia" w:asciiTheme="minorEastAsia" w:hAnsiTheme="minorEastAsia" w:eastAsiaTheme="minorEastAsia" w:cstheme="minorEastAsia"/>
                <w:color w:val="auto"/>
                <w:kern w:val="0"/>
                <w:sz w:val="21"/>
                <w:szCs w:val="21"/>
                <w:highlight w:val="none"/>
                <w:lang w:bidi="ar"/>
              </w:rPr>
            </w:pPr>
            <w:bookmarkStart w:id="309" w:name="OLE_LINK7"/>
            <w:r>
              <w:rPr>
                <w:rFonts w:hint="eastAsia" w:ascii="宋体" w:hAnsi="宋体" w:eastAsia="宋体" w:cs="宋体"/>
                <w:color w:val="auto"/>
                <w:szCs w:val="21"/>
                <w:highlight w:val="none"/>
                <w:lang w:val="en-US" w:eastAsia="zh-CN"/>
              </w:rPr>
              <w:t>注:①需提供合同关键页（包括但不限于合同签订主体、合同标的、合同金额页、盖章页），如合同无法说明项目内容符合上述同类项目经验内容，可由甲方出具的相应证明文件作依据（证明文件须加盖合同甲方公司章或合同章，或甲方项目使用部门部门章）；②未按要求提供相关证明材料或证明材料内容不齐全或不清晰等导致评委无法认定的，一律不予认可。</w:t>
            </w:r>
            <w:bookmarkEnd w:id="309"/>
            <w:r>
              <w:rPr>
                <w:rFonts w:hint="eastAsia" w:ascii="宋体" w:hAnsi="宋体" w:eastAsia="宋体" w:cs="宋体"/>
                <w:color w:val="auto"/>
                <w:szCs w:val="21"/>
                <w:highlight w:val="none"/>
                <w:lang w:val="en-US" w:eastAsia="zh-CN"/>
              </w:rPr>
              <w:t>③已</w:t>
            </w:r>
            <w:r>
              <w:rPr>
                <w:rFonts w:hint="eastAsia" w:ascii="宋体" w:hAnsi="宋体" w:cs="宋体"/>
                <w:color w:val="auto"/>
                <w:szCs w:val="21"/>
                <w:highlight w:val="none"/>
                <w:lang w:val="en-US" w:eastAsia="zh-CN"/>
              </w:rPr>
              <w:t>作为合格供应商资格条件业绩要求</w:t>
            </w:r>
            <w:r>
              <w:rPr>
                <w:rFonts w:hint="eastAsia" w:ascii="宋体" w:hAnsi="宋体" w:eastAsia="宋体" w:cs="宋体"/>
                <w:color w:val="auto"/>
                <w:szCs w:val="21"/>
                <w:highlight w:val="none"/>
                <w:lang w:val="en-US" w:eastAsia="zh-CN"/>
              </w:rPr>
              <w:t>评审中的同类项目，不计入“同类项目经验”评分项得分。</w:t>
            </w:r>
          </w:p>
        </w:tc>
        <w:tc>
          <w:tcPr>
            <w:tcW w:w="758" w:type="dxa"/>
            <w:noWrap w:val="0"/>
            <w:vAlign w:val="center"/>
          </w:tcPr>
          <w:p>
            <w:pPr>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cs="宋体"/>
                <w:color w:val="auto"/>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274" w:type="dxa"/>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拟投入到本项目的服务人员情况</w:t>
            </w:r>
          </w:p>
        </w:tc>
        <w:tc>
          <w:tcPr>
            <w:tcW w:w="7088" w:type="dxa"/>
            <w:tcBorders>
              <w:bottom w:val="single" w:color="auto" w:sz="4" w:space="0"/>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根据供应商</w:t>
            </w:r>
            <w:r>
              <w:rPr>
                <w:rFonts w:hint="eastAsia" w:ascii="宋体" w:hAnsi="宋体" w:eastAsia="宋体" w:cs="宋体"/>
                <w:color w:val="auto"/>
                <w:szCs w:val="21"/>
                <w:highlight w:val="none"/>
                <w:lang w:val="en-US" w:eastAsia="zh-CN"/>
              </w:rPr>
              <w:t>拟投入到本项目的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人员情况</w:t>
            </w:r>
            <w:r>
              <w:rPr>
                <w:rFonts w:hint="eastAsia" w:ascii="宋体" w:hAnsi="宋体" w:cs="宋体"/>
                <w:color w:val="auto"/>
                <w:szCs w:val="21"/>
                <w:highlight w:val="none"/>
                <w:lang w:val="en-US" w:eastAsia="zh-CN"/>
              </w:rPr>
              <w:t>进行评审</w:t>
            </w:r>
            <w:r>
              <w:rPr>
                <w:rFonts w:hint="eastAsia" w:ascii="宋体" w:hAnsi="宋体" w:eastAsia="宋体" w:cs="宋体"/>
                <w:color w:val="auto"/>
                <w:szCs w:val="21"/>
                <w:highlight w:val="none"/>
                <w:lang w:val="en-US" w:eastAsia="zh-CN"/>
              </w:rPr>
              <w:t>：</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lang w:val="en-US" w:eastAsia="zh-CN"/>
              </w:rPr>
              <w:t>一人得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分，最高得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注：①</w:t>
            </w:r>
            <w:r>
              <w:rPr>
                <w:rFonts w:hint="eastAsia" w:ascii="宋体" w:hAnsi="宋体" w:cs="宋体"/>
                <w:color w:val="auto"/>
                <w:szCs w:val="21"/>
                <w:highlight w:val="none"/>
                <w:lang w:val="en-US" w:eastAsia="zh-CN"/>
              </w:rPr>
              <w:t>供应商需</w:t>
            </w:r>
            <w:r>
              <w:rPr>
                <w:rFonts w:hint="eastAsia" w:ascii="宋体" w:hAnsi="宋体" w:eastAsia="宋体" w:cs="宋体"/>
                <w:color w:val="auto"/>
                <w:szCs w:val="21"/>
                <w:highlight w:val="none"/>
                <w:lang w:val="en-US" w:eastAsia="zh-CN"/>
              </w:rPr>
              <w:t>提供服务人员的身份证</w:t>
            </w:r>
            <w:r>
              <w:rPr>
                <w:rFonts w:hint="eastAsia" w:ascii="宋体" w:hAnsi="宋体" w:cs="宋体"/>
                <w:color w:val="auto"/>
                <w:szCs w:val="21"/>
                <w:highlight w:val="none"/>
                <w:lang w:val="en-US" w:eastAsia="zh-CN"/>
              </w:rPr>
              <w:t>复印件</w:t>
            </w:r>
            <w:r>
              <w:rPr>
                <w:rFonts w:hint="eastAsia" w:ascii="宋体" w:hAnsi="宋体" w:eastAsia="宋体" w:cs="宋体"/>
                <w:color w:val="auto"/>
                <w:szCs w:val="21"/>
                <w:highlight w:val="none"/>
                <w:lang w:val="en-US" w:eastAsia="zh-CN"/>
              </w:rPr>
              <w:t>及202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年9月至今任意1个月在</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本单位缴纳社保的社保材料复印件，否则对应人员评审项不予得分。</w:t>
            </w:r>
          </w:p>
        </w:tc>
        <w:tc>
          <w:tcPr>
            <w:tcW w:w="758" w:type="dxa"/>
            <w:noWrap w:val="0"/>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21" w:type="dxa"/>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274" w:type="dxa"/>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Cs w:val="21"/>
                <w:highlight w:val="none"/>
                <w:lang w:val="en-US" w:eastAsia="zh-CN"/>
              </w:rPr>
              <w:t>售后服务响应</w:t>
            </w:r>
          </w:p>
        </w:tc>
        <w:tc>
          <w:tcPr>
            <w:tcW w:w="7088" w:type="dxa"/>
            <w:tcBorders>
              <w:bottom w:val="single" w:color="auto" w:sz="4" w:space="0"/>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szCs w:val="21"/>
              </w:rPr>
              <w:t>投标人在</w:t>
            </w:r>
            <w:r>
              <w:rPr>
                <w:rFonts w:hint="eastAsia" w:ascii="宋体" w:hAnsi="宋体"/>
                <w:szCs w:val="21"/>
                <w:lang w:val="en-US" w:eastAsia="zh-CN"/>
              </w:rPr>
              <w:t>广东省</w:t>
            </w:r>
            <w:r>
              <w:rPr>
                <w:rFonts w:hint="eastAsia" w:ascii="宋体" w:hAnsi="宋体"/>
                <w:szCs w:val="21"/>
              </w:rPr>
              <w:t>设有服务机构并有常驻人员</w:t>
            </w:r>
            <w:r>
              <w:rPr>
                <w:rFonts w:hint="eastAsia" w:ascii="宋体" w:hAnsi="宋体"/>
                <w:szCs w:val="21"/>
                <w:lang w:eastAsia="zh-CN"/>
              </w:rPr>
              <w:t>，</w:t>
            </w:r>
            <w:r>
              <w:rPr>
                <w:rFonts w:hint="eastAsia" w:ascii="宋体" w:hAnsi="宋体"/>
                <w:szCs w:val="21"/>
              </w:rPr>
              <w:t>或承诺中标后</w:t>
            </w:r>
            <w:r>
              <w:rPr>
                <w:rFonts w:hint="eastAsia" w:ascii="宋体" w:hAnsi="宋体"/>
                <w:color w:val="000000"/>
                <w:szCs w:val="21"/>
              </w:rPr>
              <w:t>3</w:t>
            </w:r>
            <w:r>
              <w:rPr>
                <w:rFonts w:ascii="宋体" w:hAnsi="宋体"/>
                <w:color w:val="000000"/>
                <w:szCs w:val="21"/>
              </w:rPr>
              <w:t>0</w:t>
            </w:r>
            <w:r>
              <w:rPr>
                <w:rFonts w:hint="eastAsia" w:ascii="宋体" w:hAnsi="宋体"/>
                <w:color w:val="000000"/>
                <w:szCs w:val="21"/>
              </w:rPr>
              <w:t>日内</w:t>
            </w:r>
            <w:r>
              <w:rPr>
                <w:rFonts w:hint="eastAsia" w:ascii="宋体" w:hAnsi="宋体"/>
                <w:szCs w:val="21"/>
              </w:rPr>
              <w:t>在</w:t>
            </w:r>
            <w:r>
              <w:rPr>
                <w:rFonts w:hint="eastAsia" w:ascii="宋体" w:hAnsi="宋体"/>
                <w:szCs w:val="21"/>
                <w:lang w:val="en-US" w:eastAsia="zh-CN"/>
              </w:rPr>
              <w:t>广东省</w:t>
            </w:r>
            <w:r>
              <w:rPr>
                <w:rFonts w:hint="eastAsia" w:ascii="宋体" w:hAnsi="宋体"/>
                <w:szCs w:val="21"/>
              </w:rPr>
              <w:t>设立服务机构</w:t>
            </w:r>
            <w:r>
              <w:rPr>
                <w:rFonts w:hint="eastAsia" w:ascii="宋体" w:hAnsi="宋体"/>
                <w:szCs w:val="21"/>
                <w:lang w:val="en-US" w:eastAsia="zh-CN"/>
              </w:rPr>
              <w:t>和</w:t>
            </w:r>
            <w:r>
              <w:rPr>
                <w:rFonts w:hint="eastAsia" w:ascii="宋体" w:hAnsi="宋体"/>
                <w:szCs w:val="21"/>
              </w:rPr>
              <w:t>有常驻人员</w:t>
            </w:r>
            <w:r>
              <w:rPr>
                <w:rFonts w:hint="eastAsia" w:ascii="宋体" w:hAnsi="宋体"/>
                <w:szCs w:val="21"/>
                <w:lang w:eastAsia="zh-CN"/>
              </w:rPr>
              <w:t>，</w:t>
            </w:r>
            <w:r>
              <w:rPr>
                <w:rFonts w:hint="eastAsia" w:ascii="宋体" w:hAnsi="宋体"/>
                <w:szCs w:val="21"/>
                <w:lang w:val="en-US" w:eastAsia="zh-CN"/>
              </w:rPr>
              <w:t>在满足上述条件基础上，</w:t>
            </w:r>
            <w:r>
              <w:rPr>
                <w:rFonts w:hint="eastAsia" w:ascii="宋体" w:hAnsi="宋体" w:eastAsia="宋体" w:cs="宋体"/>
                <w:color w:val="auto"/>
                <w:szCs w:val="21"/>
                <w:highlight w:val="none"/>
                <w:lang w:val="en-US" w:eastAsia="zh-CN"/>
              </w:rPr>
              <w:t>承诺遇到应急状况、设备故障或缺陷时能迅速响应，及时提供完善的解决方案及所需的备品备件，且能派足够的技术人员同时到达现场协助客户并解决问题：</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1、售后服务响应及实施时间在12小时内</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的，得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2、售后服务响应及实施时间在</w:t>
            </w:r>
            <w:r>
              <w:rPr>
                <w:rFonts w:hint="eastAsia" w:ascii="宋体" w:hAnsi="宋体" w:cs="宋体"/>
                <w:color w:val="auto"/>
                <w:szCs w:val="21"/>
                <w:highlight w:val="none"/>
                <w:lang w:val="en-US" w:eastAsia="zh-CN"/>
              </w:rPr>
              <w:t>12小时（不含）~</w:t>
            </w:r>
            <w:r>
              <w:rPr>
                <w:rFonts w:hint="eastAsia" w:ascii="宋体" w:hAnsi="宋体" w:eastAsia="宋体" w:cs="宋体"/>
                <w:color w:val="auto"/>
                <w:szCs w:val="21"/>
                <w:highlight w:val="none"/>
                <w:lang w:val="en-US" w:eastAsia="zh-CN"/>
              </w:rPr>
              <w:t>24小时内</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3、售后服务响应及实施时间在24小时</w:t>
            </w:r>
            <w:r>
              <w:rPr>
                <w:rFonts w:hint="eastAsia" w:ascii="宋体" w:hAnsi="宋体" w:cs="宋体"/>
                <w:color w:val="auto"/>
                <w:szCs w:val="21"/>
                <w:highlight w:val="none"/>
                <w:lang w:val="en-US" w:eastAsia="zh-CN"/>
              </w:rPr>
              <w:t>（不含）~</w:t>
            </w:r>
            <w:r>
              <w:rPr>
                <w:rFonts w:hint="eastAsia" w:ascii="宋体" w:hAnsi="宋体" w:eastAsia="宋体" w:cs="宋体"/>
                <w:color w:val="auto"/>
                <w:szCs w:val="21"/>
                <w:highlight w:val="none"/>
                <w:lang w:val="en-US" w:eastAsia="zh-CN"/>
              </w:rPr>
              <w:t>36小时内</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lang w:val="en-US" w:eastAsia="zh-CN"/>
              </w:rPr>
              <w:t>的，得2分；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4、售后服务响应及实施时间在36小时</w:t>
            </w:r>
            <w:r>
              <w:rPr>
                <w:rFonts w:hint="eastAsia" w:ascii="宋体" w:hAnsi="宋体" w:cs="宋体"/>
                <w:color w:val="auto"/>
                <w:szCs w:val="21"/>
                <w:highlight w:val="none"/>
                <w:lang w:val="en-US" w:eastAsia="zh-CN"/>
              </w:rPr>
              <w:t>（不含）~</w:t>
            </w:r>
            <w:r>
              <w:rPr>
                <w:rFonts w:hint="eastAsia" w:ascii="宋体" w:hAnsi="宋体" w:eastAsia="宋体" w:cs="宋体"/>
                <w:color w:val="auto"/>
                <w:szCs w:val="21"/>
                <w:highlight w:val="none"/>
                <w:lang w:val="en-US" w:eastAsia="zh-CN"/>
              </w:rPr>
              <w:t>48小时内的，得1分。</w:t>
            </w:r>
          </w:p>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5、其余情况不得分。</w:t>
            </w:r>
          </w:p>
          <w:p>
            <w:pPr>
              <w:jc w:val="left"/>
              <w:rPr>
                <w:rFonts w:hint="eastAsia" w:ascii="宋体" w:hAnsi="宋体"/>
                <w:szCs w:val="21"/>
                <w:lang w:val="en-US" w:eastAsia="zh-CN"/>
              </w:rPr>
            </w:pPr>
            <w:r>
              <w:rPr>
                <w:rFonts w:hint="eastAsia" w:ascii="宋体" w:hAnsi="宋体" w:eastAsia="宋体" w:cs="宋体"/>
                <w:color w:val="auto"/>
                <w:szCs w:val="21"/>
                <w:highlight w:val="none"/>
                <w:lang w:val="en-US" w:eastAsia="zh-CN"/>
              </w:rPr>
              <w:t>注：</w:t>
            </w:r>
            <w:r>
              <w:rPr>
                <w:rFonts w:hint="eastAsia" w:ascii="宋体" w:hAnsi="宋体" w:cs="宋体"/>
                <w:color w:val="auto"/>
                <w:szCs w:val="21"/>
                <w:highlight w:val="none"/>
                <w:lang w:val="en-US" w:eastAsia="zh-CN"/>
              </w:rPr>
              <w:t>（1）</w:t>
            </w:r>
            <w:r>
              <w:rPr>
                <w:rFonts w:hint="eastAsia" w:ascii="宋体" w:hAnsi="宋体"/>
                <w:szCs w:val="21"/>
              </w:rPr>
              <w:t>如投标人在</w:t>
            </w:r>
            <w:r>
              <w:rPr>
                <w:rFonts w:hint="eastAsia" w:ascii="宋体" w:hAnsi="宋体"/>
                <w:szCs w:val="21"/>
                <w:lang w:val="en-US" w:eastAsia="zh-CN"/>
              </w:rPr>
              <w:t>广东省</w:t>
            </w:r>
            <w:r>
              <w:rPr>
                <w:rFonts w:hint="eastAsia" w:ascii="宋体" w:hAnsi="宋体"/>
                <w:szCs w:val="21"/>
              </w:rPr>
              <w:t>设有服务机构并有常驻人员，须提供工商注册证明或办公场所租赁合同</w:t>
            </w:r>
            <w:r>
              <w:rPr>
                <w:rFonts w:hint="eastAsia" w:ascii="宋体" w:hAnsi="宋体"/>
                <w:szCs w:val="21"/>
                <w:lang w:val="en-US" w:eastAsia="zh-CN"/>
              </w:rPr>
              <w:t>和常驻人员名单</w:t>
            </w:r>
            <w:r>
              <w:rPr>
                <w:rFonts w:hint="eastAsia" w:ascii="宋体" w:hAnsi="宋体"/>
                <w:szCs w:val="21"/>
              </w:rPr>
              <w:t>作为证明材料；如投标人承诺中标后</w:t>
            </w:r>
            <w:r>
              <w:rPr>
                <w:rFonts w:hint="eastAsia" w:ascii="宋体" w:hAnsi="宋体"/>
                <w:color w:val="000000"/>
                <w:szCs w:val="21"/>
              </w:rPr>
              <w:t>3</w:t>
            </w:r>
            <w:r>
              <w:rPr>
                <w:rFonts w:ascii="宋体" w:hAnsi="宋体"/>
                <w:color w:val="000000"/>
                <w:szCs w:val="21"/>
              </w:rPr>
              <w:t>0</w:t>
            </w:r>
            <w:r>
              <w:rPr>
                <w:rFonts w:hint="eastAsia" w:ascii="宋体" w:hAnsi="宋体"/>
                <w:color w:val="000000"/>
                <w:szCs w:val="21"/>
              </w:rPr>
              <w:t>日内</w:t>
            </w:r>
            <w:r>
              <w:rPr>
                <w:rFonts w:hint="eastAsia" w:ascii="宋体" w:hAnsi="宋体"/>
                <w:szCs w:val="21"/>
              </w:rPr>
              <w:t>在</w:t>
            </w:r>
            <w:r>
              <w:rPr>
                <w:rFonts w:hint="eastAsia" w:ascii="宋体" w:hAnsi="宋体"/>
                <w:szCs w:val="21"/>
                <w:lang w:val="en-US" w:eastAsia="zh-CN"/>
              </w:rPr>
              <w:t>广东省</w:t>
            </w:r>
            <w:r>
              <w:rPr>
                <w:rFonts w:hint="eastAsia" w:ascii="宋体" w:hAnsi="宋体"/>
                <w:szCs w:val="21"/>
              </w:rPr>
              <w:t>设立服务机构</w:t>
            </w:r>
            <w:r>
              <w:rPr>
                <w:rFonts w:hint="eastAsia" w:ascii="宋体" w:hAnsi="宋体"/>
                <w:szCs w:val="21"/>
                <w:lang w:val="en-US" w:eastAsia="zh-CN"/>
              </w:rPr>
              <w:t>和</w:t>
            </w:r>
            <w:r>
              <w:rPr>
                <w:rFonts w:hint="eastAsia" w:ascii="宋体" w:hAnsi="宋体"/>
                <w:szCs w:val="21"/>
              </w:rPr>
              <w:t>常驻人员，须提供承诺函并加盖投标人公章。</w:t>
            </w:r>
            <w:r>
              <w:rPr>
                <w:rFonts w:hint="eastAsia" w:ascii="宋体" w:hAnsi="宋体"/>
                <w:szCs w:val="21"/>
                <w:lang w:val="en-US" w:eastAsia="zh-CN"/>
              </w:rPr>
              <w:t>未提供则本项不得分。</w:t>
            </w:r>
          </w:p>
          <w:p>
            <w:pPr>
              <w:jc w:val="left"/>
              <w:rPr>
                <w:rFonts w:hint="eastAsia" w:ascii="宋体" w:hAnsi="宋体" w:eastAsia="宋体" w:cs="宋体"/>
                <w:color w:val="000000"/>
                <w:kern w:val="0"/>
                <w:sz w:val="21"/>
                <w:szCs w:val="21"/>
                <w:u w:val="none"/>
                <w:lang w:val="en-US" w:bidi="ar"/>
              </w:rPr>
            </w:pPr>
            <w:r>
              <w:rPr>
                <w:rFonts w:hint="eastAsia" w:ascii="宋体" w:hAnsi="宋体"/>
                <w:szCs w:val="21"/>
                <w:lang w:val="en-US" w:eastAsia="zh-CN"/>
              </w:rPr>
              <w:t>（2）</w:t>
            </w:r>
            <w:r>
              <w:rPr>
                <w:rFonts w:hint="eastAsia" w:ascii="宋体" w:hAnsi="宋体" w:eastAsia="宋体" w:cs="宋体"/>
                <w:color w:val="auto"/>
                <w:szCs w:val="21"/>
                <w:highlight w:val="none"/>
                <w:lang w:val="en-US" w:eastAsia="zh-CN"/>
              </w:rPr>
              <w:t>需提供</w:t>
            </w:r>
            <w:r>
              <w:rPr>
                <w:rFonts w:hint="eastAsia" w:ascii="宋体" w:hAnsi="宋体" w:cs="宋体"/>
                <w:color w:val="auto"/>
                <w:szCs w:val="21"/>
                <w:highlight w:val="none"/>
                <w:lang w:val="en-US" w:eastAsia="zh-CN"/>
              </w:rPr>
              <w:t>售后服务响应</w:t>
            </w:r>
            <w:r>
              <w:rPr>
                <w:rFonts w:hint="eastAsia" w:ascii="宋体" w:hAnsi="宋体" w:eastAsia="宋体" w:cs="宋体"/>
                <w:color w:val="auto"/>
                <w:szCs w:val="21"/>
                <w:highlight w:val="none"/>
                <w:lang w:val="en-US" w:eastAsia="zh-CN"/>
              </w:rPr>
              <w:t>承诺函</w:t>
            </w:r>
            <w:r>
              <w:rPr>
                <w:rFonts w:hint="eastAsia" w:ascii="宋体" w:hAnsi="宋体" w:cs="宋体"/>
                <w:color w:val="auto"/>
                <w:szCs w:val="21"/>
                <w:highlight w:val="none"/>
                <w:lang w:val="en-US" w:eastAsia="zh-CN"/>
              </w:rPr>
              <w:t>并加盖投标人公章</w:t>
            </w:r>
            <w:r>
              <w:rPr>
                <w:rFonts w:hint="eastAsia" w:ascii="宋体" w:hAnsi="宋体" w:eastAsia="宋体" w:cs="宋体"/>
                <w:color w:val="auto"/>
                <w:szCs w:val="21"/>
                <w:highlight w:val="none"/>
                <w:lang w:val="en-US" w:eastAsia="zh-CN"/>
              </w:rPr>
              <w:t>，不提供不得分。</w:t>
            </w:r>
          </w:p>
        </w:tc>
        <w:tc>
          <w:tcPr>
            <w:tcW w:w="758" w:type="dxa"/>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宋体" w:hAnsi="宋体" w:cs="宋体"/>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983" w:type="dxa"/>
            <w:gridSpan w:val="3"/>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758" w:type="dxa"/>
            <w:noWrap w:val="0"/>
            <w:vAlign w:val="center"/>
          </w:tcPr>
          <w:p>
            <w:pPr>
              <w:keepNext w:val="0"/>
              <w:keepLines w:val="0"/>
              <w:pageBreakBefore w:val="0"/>
              <w:widowControl/>
              <w:kinsoku/>
              <w:wordWrap/>
              <w:overflowPunct/>
              <w:topLinePunct w:val="0"/>
              <w:autoSpaceDE/>
              <w:autoSpaceDN/>
              <w:bidi w:val="0"/>
              <w:adjustRightInd w:val="0"/>
              <w:spacing w:line="360" w:lineRule="auto"/>
              <w:jc w:val="center"/>
              <w:textAlignment w:val="auto"/>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lang w:val="en-US" w:eastAsia="zh-CN"/>
              </w:rPr>
              <w:t>50</w:t>
            </w:r>
          </w:p>
        </w:tc>
      </w:tr>
    </w:tbl>
    <w:p>
      <w:pPr>
        <w:pStyle w:val="17"/>
        <w:rPr>
          <w:rFonts w:hint="eastAsia" w:hAnsi="宋体"/>
          <w:b/>
          <w:bCs/>
          <w:color w:val="auto"/>
          <w:highlight w:val="none"/>
        </w:rPr>
      </w:pPr>
      <w:r>
        <w:rPr>
          <w:rFonts w:hint="eastAsia" w:hAnsi="宋体"/>
          <w:b/>
          <w:bCs/>
          <w:color w:val="auto"/>
          <w:highlight w:val="none"/>
        </w:rPr>
        <w:t>注：1、评委对各投标文件进行评审，分数精确至小数点后2位。</w:t>
      </w:r>
    </w:p>
    <w:p>
      <w:pPr>
        <w:rPr>
          <w:rFonts w:hint="eastAsia" w:hAnsi="宋体"/>
          <w:b/>
          <w:bCs/>
          <w:color w:val="auto"/>
          <w:highlight w:val="none"/>
        </w:rPr>
      </w:pPr>
      <w:r>
        <w:rPr>
          <w:rFonts w:hint="eastAsia" w:hAnsi="宋体"/>
          <w:b/>
          <w:bCs/>
          <w:color w:val="auto"/>
          <w:highlight w:val="none"/>
        </w:rPr>
        <w:br w:type="page"/>
      </w:r>
    </w:p>
    <w:p>
      <w:pPr>
        <w:pStyle w:val="2"/>
        <w:rPr>
          <w:rFonts w:hint="eastAsia" w:ascii="宋体" w:hAnsi="宋体"/>
          <w:b/>
          <w:highlight w:val="none"/>
        </w:rPr>
      </w:pPr>
      <w:r>
        <w:rPr>
          <w:rFonts w:hint="eastAsia" w:ascii="宋体" w:hAnsi="宋体"/>
          <w:b/>
          <w:highlight w:val="none"/>
        </w:rPr>
        <w:t>附表4：符合性审查表（阶段二）</w:t>
      </w:r>
    </w:p>
    <w:p>
      <w:pPr>
        <w:jc w:val="center"/>
        <w:rPr>
          <w:rFonts w:hint="eastAsia" w:ascii="宋体" w:hAnsi="宋体"/>
          <w:b/>
          <w:sz w:val="28"/>
          <w:szCs w:val="28"/>
          <w:highlight w:val="none"/>
        </w:rPr>
      </w:pPr>
      <w:r>
        <w:rPr>
          <w:rFonts w:hint="eastAsia" w:ascii="宋体" w:hAnsi="宋体"/>
          <w:b/>
          <w:sz w:val="28"/>
          <w:szCs w:val="28"/>
          <w:highlight w:val="none"/>
        </w:rPr>
        <w:t>符合性审查表（阶段二）</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适用于各子包</w:t>
      </w:r>
      <w:r>
        <w:rPr>
          <w:rFonts w:hint="eastAsia" w:ascii="宋体" w:hAnsi="宋体"/>
          <w:b/>
          <w:color w:val="auto"/>
          <w:sz w:val="28"/>
          <w:szCs w:val="28"/>
          <w:highlight w:val="none"/>
          <w:lang w:eastAsia="zh-CN"/>
        </w:rPr>
        <w:t>）</w:t>
      </w:r>
    </w:p>
    <w:tbl>
      <w:tblPr>
        <w:tblStyle w:val="31"/>
        <w:tblW w:w="5000" w:type="pct"/>
        <w:tblInd w:w="0" w:type="dxa"/>
        <w:tblLayout w:type="autofit"/>
        <w:tblCellMar>
          <w:top w:w="0" w:type="dxa"/>
          <w:left w:w="0" w:type="dxa"/>
          <w:bottom w:w="0" w:type="dxa"/>
          <w:right w:w="0" w:type="dxa"/>
        </w:tblCellMar>
      </w:tblPr>
      <w:tblGrid>
        <w:gridCol w:w="559"/>
        <w:gridCol w:w="4225"/>
        <w:gridCol w:w="746"/>
        <w:gridCol w:w="744"/>
        <w:gridCol w:w="744"/>
        <w:gridCol w:w="744"/>
        <w:gridCol w:w="744"/>
        <w:gridCol w:w="766"/>
      </w:tblGrid>
      <w:tr>
        <w:tblPrEx>
          <w:tblCellMar>
            <w:top w:w="0" w:type="dxa"/>
            <w:left w:w="0" w:type="dxa"/>
            <w:bottom w:w="0" w:type="dxa"/>
            <w:right w:w="0" w:type="dxa"/>
          </w:tblCellMar>
        </w:tblPrEx>
        <w:trPr>
          <w:trHeight w:val="90" w:hRule="atLeast"/>
        </w:trPr>
        <w:tc>
          <w:tcPr>
            <w:tcW w:w="302" w:type="pct"/>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2278" w:type="pct"/>
            <w:vMerge w:val="restart"/>
            <w:tcBorders>
              <w:top w:val="single" w:color="auto" w:sz="4" w:space="0"/>
              <w:left w:val="nil"/>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审查项目</w:t>
            </w:r>
          </w:p>
        </w:tc>
        <w:tc>
          <w:tcPr>
            <w:tcW w:w="2419" w:type="pct"/>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投标人</w:t>
            </w:r>
          </w:p>
        </w:tc>
      </w:tr>
      <w:tr>
        <w:tblPrEx>
          <w:tblCellMar>
            <w:top w:w="0" w:type="dxa"/>
            <w:left w:w="0" w:type="dxa"/>
            <w:bottom w:w="0" w:type="dxa"/>
            <w:right w:w="0" w:type="dxa"/>
          </w:tblCellMar>
        </w:tblPrEx>
        <w:trPr>
          <w:trHeight w:val="211" w:hRule="atLeast"/>
        </w:trPr>
        <w:tc>
          <w:tcPr>
            <w:tcW w:w="302" w:type="pct"/>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2278" w:type="pct"/>
            <w:vMerge w:val="continue"/>
            <w:tcBorders>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2"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A</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B</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C</w:t>
            </w: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D</w:t>
            </w:r>
          </w:p>
        </w:tc>
        <w:tc>
          <w:tcPr>
            <w:tcW w:w="401"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E</w:t>
            </w:r>
          </w:p>
        </w:tc>
        <w:tc>
          <w:tcPr>
            <w:tcW w:w="411"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bCs/>
                <w:kern w:val="0"/>
                <w:szCs w:val="21"/>
                <w:highlight w:val="none"/>
              </w:rPr>
              <w:t>...</w:t>
            </w:r>
          </w:p>
        </w:tc>
      </w:tr>
      <w:tr>
        <w:tblPrEx>
          <w:tblCellMar>
            <w:top w:w="0" w:type="dxa"/>
            <w:left w:w="0" w:type="dxa"/>
            <w:bottom w:w="0" w:type="dxa"/>
            <w:right w:w="0" w:type="dxa"/>
          </w:tblCellMar>
        </w:tblPrEx>
        <w:trPr>
          <w:trHeight w:val="609" w:hRule="atLeast"/>
        </w:trPr>
        <w:tc>
          <w:tcPr>
            <w:tcW w:w="30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2278"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szCs w:val="21"/>
                <w:highlight w:val="none"/>
              </w:rPr>
            </w:pPr>
            <w:r>
              <w:rPr>
                <w:rFonts w:hint="eastAsia" w:ascii="宋体" w:hAnsi="宋体" w:cs="宋体"/>
                <w:szCs w:val="21"/>
                <w:highlight w:val="none"/>
              </w:rPr>
              <w:t>投标人的商务评分未低于招标文件规定的商务得分比例</w:t>
            </w:r>
            <w:r>
              <w:rPr>
                <w:rFonts w:hint="eastAsia" w:ascii="宋体" w:hAnsi="宋体" w:cs="宋体"/>
                <w:kern w:val="0"/>
                <w:szCs w:val="21"/>
                <w:highlight w:val="none"/>
                <w:lang w:bidi="ar"/>
              </w:rPr>
              <w:t>；</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411" w:type="pct"/>
            <w:tcBorders>
              <w:top w:val="nil"/>
              <w:left w:val="nil"/>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609" w:hRule="atLeast"/>
        </w:trPr>
        <w:tc>
          <w:tcPr>
            <w:tcW w:w="302"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227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szCs w:val="21"/>
                <w:highlight w:val="none"/>
              </w:rPr>
            </w:pPr>
            <w:r>
              <w:rPr>
                <w:rFonts w:hint="eastAsia" w:ascii="宋体" w:hAnsi="宋体" w:cs="宋体"/>
                <w:kern w:val="0"/>
                <w:szCs w:val="21"/>
                <w:highlight w:val="none"/>
                <w:lang w:bidi="ar"/>
              </w:rPr>
              <w:t>无招标文件中规定的其他无效投标的内容。</w:t>
            </w:r>
          </w:p>
        </w:tc>
        <w:tc>
          <w:tcPr>
            <w:tcW w:w="402"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nil"/>
              <w:left w:val="nil"/>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411" w:type="pct"/>
            <w:tcBorders>
              <w:top w:val="nil"/>
              <w:left w:val="nil"/>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0" w:type="dxa"/>
            <w:bottom w:w="0" w:type="dxa"/>
            <w:right w:w="0" w:type="dxa"/>
          </w:tblCellMar>
        </w:tblPrEx>
        <w:trPr>
          <w:trHeight w:val="356" w:hRule="atLeast"/>
        </w:trPr>
        <w:tc>
          <w:tcPr>
            <w:tcW w:w="258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szCs w:val="21"/>
                <w:highlight w:val="none"/>
              </w:rPr>
            </w:pPr>
            <w:r>
              <w:rPr>
                <w:rFonts w:hint="eastAsia" w:ascii="宋体" w:hAnsi="宋体" w:cs="宋体"/>
                <w:b/>
                <w:bCs/>
                <w:szCs w:val="21"/>
                <w:highlight w:val="none"/>
              </w:rPr>
              <w:t>结      论</w:t>
            </w:r>
          </w:p>
        </w:tc>
        <w:tc>
          <w:tcPr>
            <w:tcW w:w="402"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szCs w:val="21"/>
                <w:highlight w:val="none"/>
              </w:rPr>
            </w:pPr>
          </w:p>
        </w:tc>
        <w:tc>
          <w:tcPr>
            <w:tcW w:w="40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bCs/>
                <w:szCs w:val="21"/>
                <w:highlight w:val="none"/>
              </w:rPr>
            </w:pPr>
          </w:p>
        </w:tc>
        <w:tc>
          <w:tcPr>
            <w:tcW w:w="401"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highlight w:val="none"/>
              </w:rPr>
            </w:pPr>
          </w:p>
        </w:tc>
        <w:tc>
          <w:tcPr>
            <w:tcW w:w="411"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highlight w:val="none"/>
              </w:rPr>
            </w:pPr>
          </w:p>
        </w:tc>
      </w:tr>
    </w:tbl>
    <w:p>
      <w:pPr>
        <w:rPr>
          <w:rFonts w:hint="eastAsia"/>
        </w:rPr>
      </w:pPr>
      <w:r>
        <w:rPr>
          <w:rFonts w:hint="eastAsia" w:ascii="宋体" w:hAnsi="宋体"/>
          <w:b/>
          <w:bCs/>
          <w:highlight w:val="none"/>
          <w:lang w:val="en-US" w:eastAsia="zh-CN"/>
        </w:rPr>
        <w:t>注：</w:t>
      </w:r>
      <w:r>
        <w:rPr>
          <w:rFonts w:hint="eastAsia" w:ascii="宋体" w:hAnsi="宋体"/>
          <w:b/>
          <w:bCs/>
          <w:highlight w:val="none"/>
        </w:rPr>
        <w:t>若投标人出现商务评分低于商务得分的60%，评标委员会将否决该投标人的所有投标文件。</w:t>
      </w:r>
    </w:p>
    <w:sectPr>
      <w:pgSz w:w="11907" w:h="16840"/>
      <w:pgMar w:top="1418" w:right="1304" w:bottom="1361" w:left="136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87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28700" cy="1828800"/>
                      </a:xfrm>
                      <a:prstGeom prst="rect">
                        <a:avLst/>
                      </a:prstGeom>
                      <a:noFill/>
                      <a:ln w="15875">
                        <a:noFill/>
                      </a:ln>
                    </wps:spPr>
                    <wps:txbx>
                      <w:txbxContent>
                        <w:p>
                          <w:pPr>
                            <w:pStyle w:val="1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1pt;mso-position-horizontal:center;mso-position-horizontal-relative:margin;z-index:251661312;mso-width-relative:page;mso-height-relative:page;" filled="f" stroked="f" coordsize="21600,21600" o:gfxdata="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NLxYh1AAAAAUBAAAPAAAAAAAAAAEAIAAAACIAAABkcnMv&#10;ZG93bnJldi54bWxQSwECFAAUAAAACACHTuJAiV4e9c4BAACXAwAADgAAAAAAAAABACAAAAAjAQAA&#10;ZHJzL2Uyb0RvYy54bWxQSwUGAAAAAAYABgBZAQAAYwUAAAAA&#10;">
              <v:fill on="f" focussize="0,0"/>
              <v:stroke on="f" weight="1.25pt"/>
              <v:imagedata o:title=""/>
              <o:lock v:ext="edit" aspectratio="f"/>
              <v:textbox inset="0mm,0mm,0mm,0mm" style="mso-fit-shape-to-text:t;">
                <w:txbxContent>
                  <w:p>
                    <w:pPr>
                      <w:pStyle w:val="1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w:t>
                    </w:r>
                  </w:p>
                </w:txbxContent>
              </v:textbox>
            </v:shape>
          </w:pict>
        </mc:Fallback>
      </mc:AlternateConten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r>
                      <w:rPr>
                        <w:rFonts w:hint="eastAsia"/>
                      </w:rPr>
                      <w:t xml:space="preserve"> 页</w:t>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910"/>
        <w:tab w:val="left" w:pos="1974"/>
        <w:tab w:val="left" w:pos="2702"/>
        <w:tab w:val="left" w:pos="2880"/>
        <w:tab w:val="left" w:pos="3206"/>
        <w:tab w:val="left" w:pos="3600"/>
        <w:tab w:val="left" w:pos="4088"/>
        <w:tab w:val="left" w:pos="4320"/>
        <w:tab w:val="left" w:pos="8820"/>
        <w:tab w:val="left" w:pos="9180"/>
        <w:tab w:val="clear" w:pos="4153"/>
      </w:tabs>
      <w:ind w:right="-420" w:rightChars="-20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280D"/>
    <w:multiLevelType w:val="singleLevel"/>
    <w:tmpl w:val="8728280D"/>
    <w:lvl w:ilvl="0" w:tentative="0">
      <w:start w:val="4"/>
      <w:numFmt w:val="chineseCounting"/>
      <w:suff w:val="nothing"/>
      <w:lvlText w:val="（%1）"/>
      <w:lvlJc w:val="left"/>
      <w:rPr>
        <w:rFonts w:hint="eastAsia"/>
      </w:rPr>
    </w:lvl>
  </w:abstractNum>
  <w:abstractNum w:abstractNumId="1">
    <w:nsid w:val="8A1DF9C6"/>
    <w:multiLevelType w:val="singleLevel"/>
    <w:tmpl w:val="8A1DF9C6"/>
    <w:lvl w:ilvl="0" w:tentative="0">
      <w:start w:val="3"/>
      <w:numFmt w:val="chineseCounting"/>
      <w:suff w:val="space"/>
      <w:lvlText w:val="第%1条"/>
      <w:lvlJc w:val="left"/>
      <w:rPr>
        <w:rFonts w:hint="eastAsia"/>
      </w:rPr>
    </w:lvl>
  </w:abstractNum>
  <w:abstractNum w:abstractNumId="2">
    <w:nsid w:val="A2129935"/>
    <w:multiLevelType w:val="singleLevel"/>
    <w:tmpl w:val="A2129935"/>
    <w:lvl w:ilvl="0" w:tentative="0">
      <w:start w:val="1"/>
      <w:numFmt w:val="chineseCounting"/>
      <w:suff w:val="nothing"/>
      <w:lvlText w:val="（%1）"/>
      <w:lvlJc w:val="left"/>
      <w:rPr>
        <w:rFonts w:hint="eastAsia"/>
      </w:rPr>
    </w:lvl>
  </w:abstractNum>
  <w:abstractNum w:abstractNumId="3">
    <w:nsid w:val="AC75B9EC"/>
    <w:multiLevelType w:val="singleLevel"/>
    <w:tmpl w:val="AC75B9EC"/>
    <w:lvl w:ilvl="0" w:tentative="0">
      <w:start w:val="1"/>
      <w:numFmt w:val="decimal"/>
      <w:suff w:val="nothing"/>
      <w:lvlText w:val="%1、"/>
      <w:lvlJc w:val="left"/>
    </w:lvl>
  </w:abstractNum>
  <w:abstractNum w:abstractNumId="4">
    <w:nsid w:val="E08383AD"/>
    <w:multiLevelType w:val="singleLevel"/>
    <w:tmpl w:val="E08383AD"/>
    <w:lvl w:ilvl="0" w:tentative="0">
      <w:start w:val="1"/>
      <w:numFmt w:val="chineseCounting"/>
      <w:suff w:val="nothing"/>
      <w:lvlText w:val="（%1）"/>
      <w:lvlJc w:val="left"/>
      <w:pPr>
        <w:ind w:left="210" w:firstLine="420"/>
      </w:pPr>
      <w:rPr>
        <w:rFonts w:hint="eastAsia"/>
      </w:rPr>
    </w:lvl>
  </w:abstractNum>
  <w:abstractNum w:abstractNumId="5">
    <w:nsid w:val="E95AFCF3"/>
    <w:multiLevelType w:val="singleLevel"/>
    <w:tmpl w:val="E95AFCF3"/>
    <w:lvl w:ilvl="0" w:tentative="0">
      <w:start w:val="3"/>
      <w:numFmt w:val="chineseCounting"/>
      <w:suff w:val="space"/>
      <w:lvlText w:val="第%1章"/>
      <w:lvlJc w:val="left"/>
      <w:rPr>
        <w:rFonts w:hint="eastAsia"/>
      </w:rPr>
    </w:lvl>
  </w:abstractNum>
  <w:abstractNum w:abstractNumId="6">
    <w:nsid w:val="F34205A4"/>
    <w:multiLevelType w:val="singleLevel"/>
    <w:tmpl w:val="F34205A4"/>
    <w:lvl w:ilvl="0" w:tentative="0">
      <w:start w:val="1"/>
      <w:numFmt w:val="chineseCounting"/>
      <w:suff w:val="nothing"/>
      <w:lvlText w:val="（%1）"/>
      <w:lvlJc w:val="left"/>
      <w:rPr>
        <w:rFonts w:hint="eastAsia"/>
      </w:rPr>
    </w:lvl>
  </w:abstractNum>
  <w:abstractNum w:abstractNumId="7">
    <w:nsid w:val="F4BEFECD"/>
    <w:multiLevelType w:val="singleLevel"/>
    <w:tmpl w:val="F4BEFECD"/>
    <w:lvl w:ilvl="0" w:tentative="0">
      <w:start w:val="1"/>
      <w:numFmt w:val="chineseCounting"/>
      <w:suff w:val="nothing"/>
      <w:lvlText w:val="（%1）"/>
      <w:lvlJc w:val="left"/>
      <w:pPr>
        <w:ind w:left="0" w:firstLine="420"/>
      </w:pPr>
      <w:rPr>
        <w:rFonts w:hint="eastAsia"/>
      </w:rPr>
    </w:lvl>
  </w:abstractNum>
  <w:abstractNum w:abstractNumId="8">
    <w:nsid w:val="FC36F2A5"/>
    <w:multiLevelType w:val="singleLevel"/>
    <w:tmpl w:val="FC36F2A5"/>
    <w:lvl w:ilvl="0" w:tentative="0">
      <w:start w:val="2"/>
      <w:numFmt w:val="chineseCounting"/>
      <w:suff w:val="nothing"/>
      <w:lvlText w:val="（%1）"/>
      <w:lvlJc w:val="left"/>
      <w:rPr>
        <w:rFonts w:hint="eastAsia"/>
      </w:rPr>
    </w:lvl>
  </w:abstractNum>
  <w:abstractNum w:abstractNumId="9">
    <w:nsid w:val="00000005"/>
    <w:multiLevelType w:val="multilevel"/>
    <w:tmpl w:val="00000005"/>
    <w:lvl w:ilvl="0" w:tentative="0">
      <w:start w:val="1"/>
      <w:numFmt w:val="decimal"/>
      <w:lvlText w:val="%1."/>
      <w:lvlJc w:val="left"/>
      <w:pPr>
        <w:tabs>
          <w:tab w:val="left" w:pos="851"/>
        </w:tabs>
        <w:ind w:left="851" w:hanging="851"/>
      </w:pPr>
      <w:rPr>
        <w:rFonts w:hint="default" w:ascii="宋体" w:hAnsi="宋体" w:eastAsia="宋体" w:cs="宋体"/>
        <w:b w:val="0"/>
        <w:bCs/>
        <w:i w:val="0"/>
        <w:sz w:val="21"/>
        <w:szCs w:val="21"/>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0000000A"/>
    <w:multiLevelType w:val="multilevel"/>
    <w:tmpl w:val="0000000A"/>
    <w:lvl w:ilvl="0" w:tentative="0">
      <w:start w:val="1"/>
      <w:numFmt w:val="japaneseCounting"/>
      <w:pStyle w:val="6"/>
      <w:lvlText w:val="%1、"/>
      <w:lvlJc w:val="left"/>
      <w:pPr>
        <w:tabs>
          <w:tab w:val="left" w:pos="842"/>
        </w:tabs>
        <w:ind w:left="1412" w:hanging="420"/>
      </w:pPr>
      <w:rPr>
        <w:rFonts w:hint="default"/>
      </w:rPr>
    </w:lvl>
    <w:lvl w:ilvl="1" w:tentative="0">
      <w:start w:val="1"/>
      <w:numFmt w:val="decimal"/>
      <w:lvlText w:val="（%2）"/>
      <w:lvlJc w:val="left"/>
      <w:pPr>
        <w:tabs>
          <w:tab w:val="left" w:pos="1787"/>
        </w:tabs>
        <w:ind w:left="1787" w:hanging="945"/>
      </w:pPr>
      <w:rPr>
        <w:rFonts w:hint="eastAsia" w:cs="Times New Roman"/>
      </w:rPr>
    </w:lvl>
    <w:lvl w:ilvl="2" w:tentative="0">
      <w:start w:val="1"/>
      <w:numFmt w:val="decimal"/>
      <w:lvlText w:val="%3、"/>
      <w:lvlJc w:val="left"/>
      <w:pPr>
        <w:tabs>
          <w:tab w:val="left" w:pos="1622"/>
        </w:tabs>
        <w:ind w:left="1622" w:hanging="360"/>
      </w:pPr>
      <w:rPr>
        <w:rFonts w:hint="eastAsia"/>
      </w:r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1">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ABC7B8"/>
    <w:multiLevelType w:val="singleLevel"/>
    <w:tmpl w:val="1AABC7B8"/>
    <w:lvl w:ilvl="0" w:tentative="0">
      <w:start w:val="2"/>
      <w:numFmt w:val="chineseCounting"/>
      <w:suff w:val="nothing"/>
      <w:lvlText w:val="（%1）"/>
      <w:lvlJc w:val="left"/>
      <w:rPr>
        <w:rFonts w:hint="eastAsia"/>
      </w:rPr>
    </w:lvl>
  </w:abstractNum>
  <w:abstractNum w:abstractNumId="14">
    <w:nsid w:val="259B567B"/>
    <w:multiLevelType w:val="multilevel"/>
    <w:tmpl w:val="259B56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9383066"/>
    <w:multiLevelType w:val="multilevel"/>
    <w:tmpl w:val="4938306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AE613DF"/>
    <w:multiLevelType w:val="multilevel"/>
    <w:tmpl w:val="4AE613DF"/>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7B75949"/>
    <w:multiLevelType w:val="multilevel"/>
    <w:tmpl w:val="57B759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5C5B4C1D"/>
    <w:multiLevelType w:val="multilevel"/>
    <w:tmpl w:val="5C5B4C1D"/>
    <w:lvl w:ilvl="0" w:tentative="0">
      <w:start w:val="1"/>
      <w:numFmt w:val="decimal"/>
      <w:lvlText w:val="（%1）"/>
      <w:lvlJc w:val="left"/>
      <w:pPr>
        <w:tabs>
          <w:tab w:val="left" w:pos="1365"/>
        </w:tabs>
        <w:ind w:left="1365" w:hanging="720"/>
      </w:pPr>
      <w:rPr>
        <w:rFonts w:hint="eastAsia"/>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9">
    <w:nsid w:val="78ABFC61"/>
    <w:multiLevelType w:val="singleLevel"/>
    <w:tmpl w:val="78ABFC61"/>
    <w:lvl w:ilvl="0" w:tentative="0">
      <w:start w:val="1"/>
      <w:numFmt w:val="chineseCounting"/>
      <w:suff w:val="nothing"/>
      <w:lvlText w:val="（%1）"/>
      <w:lvlJc w:val="left"/>
      <w:rPr>
        <w:rFonts w:hint="eastAsia"/>
      </w:rPr>
    </w:lvl>
  </w:abstractNum>
  <w:num w:numId="1">
    <w:abstractNumId w:val="10"/>
  </w:num>
  <w:num w:numId="2">
    <w:abstractNumId w:val="18"/>
  </w:num>
  <w:num w:numId="3">
    <w:abstractNumId w:val="5"/>
  </w:num>
  <w:num w:numId="4">
    <w:abstractNumId w:val="17"/>
  </w:num>
  <w:num w:numId="5">
    <w:abstractNumId w:val="15"/>
  </w:num>
  <w:num w:numId="6">
    <w:abstractNumId w:val="14"/>
  </w:num>
  <w:num w:numId="7">
    <w:abstractNumId w:val="0"/>
  </w:num>
  <w:num w:numId="8">
    <w:abstractNumId w:val="3"/>
  </w:num>
  <w:num w:numId="9">
    <w:abstractNumId w:val="19"/>
  </w:num>
  <w:num w:numId="10">
    <w:abstractNumId w:val="13"/>
  </w:num>
  <w:num w:numId="11">
    <w:abstractNumId w:val="4"/>
  </w:num>
  <w:num w:numId="12">
    <w:abstractNumId w:val="2"/>
  </w:num>
  <w:num w:numId="13">
    <w:abstractNumId w:val="7"/>
  </w:num>
  <w:num w:numId="14">
    <w:abstractNumId w:val="1"/>
  </w:num>
  <w:num w:numId="15">
    <w:abstractNumId w:val="6"/>
  </w:num>
  <w:num w:numId="16">
    <w:abstractNumId w:val="8"/>
  </w:num>
  <w:num w:numId="17">
    <w:abstractNumId w:val="9"/>
  </w:num>
  <w:num w:numId="18">
    <w:abstractNumId w:val="16"/>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mU4ZTA0YjI0Zjg3NjA5OWQ4ZDUyMWVkYjZkNzIifQ=="/>
  </w:docVars>
  <w:rsids>
    <w:rsidRoot w:val="00172A27"/>
    <w:rsid w:val="00066EBC"/>
    <w:rsid w:val="0048507E"/>
    <w:rsid w:val="004D08BB"/>
    <w:rsid w:val="0065590E"/>
    <w:rsid w:val="00BD3A25"/>
    <w:rsid w:val="01090CDD"/>
    <w:rsid w:val="01174C50"/>
    <w:rsid w:val="0121550C"/>
    <w:rsid w:val="012A2737"/>
    <w:rsid w:val="014E7D2C"/>
    <w:rsid w:val="0159474A"/>
    <w:rsid w:val="015A46DD"/>
    <w:rsid w:val="01A204E9"/>
    <w:rsid w:val="01C26B27"/>
    <w:rsid w:val="01C27351"/>
    <w:rsid w:val="01CA3802"/>
    <w:rsid w:val="01D76D77"/>
    <w:rsid w:val="01E7160A"/>
    <w:rsid w:val="01E90F10"/>
    <w:rsid w:val="02157E25"/>
    <w:rsid w:val="024356B4"/>
    <w:rsid w:val="0250441F"/>
    <w:rsid w:val="025A0994"/>
    <w:rsid w:val="02856759"/>
    <w:rsid w:val="02EB7FA4"/>
    <w:rsid w:val="0347360C"/>
    <w:rsid w:val="038A150C"/>
    <w:rsid w:val="03984D9A"/>
    <w:rsid w:val="03AE0B18"/>
    <w:rsid w:val="03AE23FD"/>
    <w:rsid w:val="03DA21C8"/>
    <w:rsid w:val="03E07A24"/>
    <w:rsid w:val="04017770"/>
    <w:rsid w:val="042C7C24"/>
    <w:rsid w:val="04441AFA"/>
    <w:rsid w:val="0447724E"/>
    <w:rsid w:val="045370A8"/>
    <w:rsid w:val="045E580C"/>
    <w:rsid w:val="047D5273"/>
    <w:rsid w:val="048A44A4"/>
    <w:rsid w:val="049525BD"/>
    <w:rsid w:val="049A5412"/>
    <w:rsid w:val="04F46C31"/>
    <w:rsid w:val="05080FE1"/>
    <w:rsid w:val="054F789A"/>
    <w:rsid w:val="056132C7"/>
    <w:rsid w:val="05656433"/>
    <w:rsid w:val="05841899"/>
    <w:rsid w:val="0584521B"/>
    <w:rsid w:val="05877F27"/>
    <w:rsid w:val="0591547A"/>
    <w:rsid w:val="0595638C"/>
    <w:rsid w:val="05C305B4"/>
    <w:rsid w:val="05EA4BBF"/>
    <w:rsid w:val="05F0234C"/>
    <w:rsid w:val="062D6971"/>
    <w:rsid w:val="06486513"/>
    <w:rsid w:val="06500E91"/>
    <w:rsid w:val="06647BA4"/>
    <w:rsid w:val="06A85842"/>
    <w:rsid w:val="07126147"/>
    <w:rsid w:val="074B78AB"/>
    <w:rsid w:val="07735F4D"/>
    <w:rsid w:val="07A84709"/>
    <w:rsid w:val="07D560F6"/>
    <w:rsid w:val="07E85655"/>
    <w:rsid w:val="07FE462A"/>
    <w:rsid w:val="0806489A"/>
    <w:rsid w:val="0817503B"/>
    <w:rsid w:val="089B7556"/>
    <w:rsid w:val="08D343CC"/>
    <w:rsid w:val="08F37412"/>
    <w:rsid w:val="09523C57"/>
    <w:rsid w:val="09634759"/>
    <w:rsid w:val="098918BE"/>
    <w:rsid w:val="09950C99"/>
    <w:rsid w:val="099557CE"/>
    <w:rsid w:val="09A60578"/>
    <w:rsid w:val="0A1B45C1"/>
    <w:rsid w:val="0A1C20F4"/>
    <w:rsid w:val="0A313887"/>
    <w:rsid w:val="0A4A158E"/>
    <w:rsid w:val="0A5071C3"/>
    <w:rsid w:val="0A6B4B5D"/>
    <w:rsid w:val="0A8310AB"/>
    <w:rsid w:val="0ADC375E"/>
    <w:rsid w:val="0AE12E39"/>
    <w:rsid w:val="0AE92C2F"/>
    <w:rsid w:val="0B0050EA"/>
    <w:rsid w:val="0B294C40"/>
    <w:rsid w:val="0B403CB2"/>
    <w:rsid w:val="0B5C5252"/>
    <w:rsid w:val="0B6412B3"/>
    <w:rsid w:val="0B6862A4"/>
    <w:rsid w:val="0B7E470D"/>
    <w:rsid w:val="0B90788A"/>
    <w:rsid w:val="0BD8367A"/>
    <w:rsid w:val="0BF77EA7"/>
    <w:rsid w:val="0C007176"/>
    <w:rsid w:val="0C033174"/>
    <w:rsid w:val="0C225E10"/>
    <w:rsid w:val="0C346C1E"/>
    <w:rsid w:val="0C4A6383"/>
    <w:rsid w:val="0C5A3BCF"/>
    <w:rsid w:val="0C665ADE"/>
    <w:rsid w:val="0C7927C4"/>
    <w:rsid w:val="0C7B1712"/>
    <w:rsid w:val="0C803B53"/>
    <w:rsid w:val="0CB47CA0"/>
    <w:rsid w:val="0CB525FA"/>
    <w:rsid w:val="0CC46410"/>
    <w:rsid w:val="0D0E12B7"/>
    <w:rsid w:val="0D1150F2"/>
    <w:rsid w:val="0D354AB4"/>
    <w:rsid w:val="0D437156"/>
    <w:rsid w:val="0D5025E7"/>
    <w:rsid w:val="0D635706"/>
    <w:rsid w:val="0D673EB7"/>
    <w:rsid w:val="0D681B8E"/>
    <w:rsid w:val="0D941430"/>
    <w:rsid w:val="0DBB5B1F"/>
    <w:rsid w:val="0DE82804"/>
    <w:rsid w:val="0DF24B0A"/>
    <w:rsid w:val="0DFD3046"/>
    <w:rsid w:val="0E0A0EAA"/>
    <w:rsid w:val="0E14327B"/>
    <w:rsid w:val="0E156526"/>
    <w:rsid w:val="0E1E7D1A"/>
    <w:rsid w:val="0E2A5794"/>
    <w:rsid w:val="0E7A343D"/>
    <w:rsid w:val="0E7B1CF4"/>
    <w:rsid w:val="0EA227C1"/>
    <w:rsid w:val="0EDB1514"/>
    <w:rsid w:val="0F14786D"/>
    <w:rsid w:val="0F351DDF"/>
    <w:rsid w:val="0F495FC1"/>
    <w:rsid w:val="0F4D5F65"/>
    <w:rsid w:val="0F625791"/>
    <w:rsid w:val="0F6645DB"/>
    <w:rsid w:val="0FC41FA8"/>
    <w:rsid w:val="0FCE5C9C"/>
    <w:rsid w:val="100513A4"/>
    <w:rsid w:val="10067ED8"/>
    <w:rsid w:val="102E02F4"/>
    <w:rsid w:val="106F600E"/>
    <w:rsid w:val="10774185"/>
    <w:rsid w:val="107751FA"/>
    <w:rsid w:val="10781FE1"/>
    <w:rsid w:val="10AF4A06"/>
    <w:rsid w:val="10BE3F13"/>
    <w:rsid w:val="10D35877"/>
    <w:rsid w:val="10E723F2"/>
    <w:rsid w:val="110C1CE6"/>
    <w:rsid w:val="114B0D0C"/>
    <w:rsid w:val="114E7832"/>
    <w:rsid w:val="11654CCB"/>
    <w:rsid w:val="118718C1"/>
    <w:rsid w:val="11B70B83"/>
    <w:rsid w:val="11BB443A"/>
    <w:rsid w:val="11BF336F"/>
    <w:rsid w:val="11DB0753"/>
    <w:rsid w:val="11E37B55"/>
    <w:rsid w:val="11E9219A"/>
    <w:rsid w:val="11FA79F6"/>
    <w:rsid w:val="12085C77"/>
    <w:rsid w:val="12086AC4"/>
    <w:rsid w:val="12617F82"/>
    <w:rsid w:val="126749BD"/>
    <w:rsid w:val="12905384"/>
    <w:rsid w:val="12B136AC"/>
    <w:rsid w:val="12B61985"/>
    <w:rsid w:val="12DB6BAC"/>
    <w:rsid w:val="130A02C7"/>
    <w:rsid w:val="132972A0"/>
    <w:rsid w:val="1337215F"/>
    <w:rsid w:val="13392CAD"/>
    <w:rsid w:val="13712D14"/>
    <w:rsid w:val="13E96D1A"/>
    <w:rsid w:val="13F864F7"/>
    <w:rsid w:val="14006431"/>
    <w:rsid w:val="1421166D"/>
    <w:rsid w:val="144C07BE"/>
    <w:rsid w:val="145F2BF5"/>
    <w:rsid w:val="14694189"/>
    <w:rsid w:val="14B940A6"/>
    <w:rsid w:val="14D81691"/>
    <w:rsid w:val="14FC2EAA"/>
    <w:rsid w:val="15087411"/>
    <w:rsid w:val="153F223C"/>
    <w:rsid w:val="155D3CB6"/>
    <w:rsid w:val="156947AC"/>
    <w:rsid w:val="15975A88"/>
    <w:rsid w:val="15CB1311"/>
    <w:rsid w:val="161F1346"/>
    <w:rsid w:val="164E15A7"/>
    <w:rsid w:val="16861622"/>
    <w:rsid w:val="16AD6350"/>
    <w:rsid w:val="16BC6358"/>
    <w:rsid w:val="16CE6D2A"/>
    <w:rsid w:val="16EA4CA9"/>
    <w:rsid w:val="16F01BF5"/>
    <w:rsid w:val="1739528A"/>
    <w:rsid w:val="174D4B5C"/>
    <w:rsid w:val="1750056B"/>
    <w:rsid w:val="176B2C78"/>
    <w:rsid w:val="17716EB9"/>
    <w:rsid w:val="17726A4F"/>
    <w:rsid w:val="178143D9"/>
    <w:rsid w:val="17B57BF4"/>
    <w:rsid w:val="17DB3114"/>
    <w:rsid w:val="18155F36"/>
    <w:rsid w:val="18275A73"/>
    <w:rsid w:val="18294330"/>
    <w:rsid w:val="189A4C38"/>
    <w:rsid w:val="18B90B18"/>
    <w:rsid w:val="18D22C8A"/>
    <w:rsid w:val="18F02060"/>
    <w:rsid w:val="190F5479"/>
    <w:rsid w:val="19133241"/>
    <w:rsid w:val="191D45E8"/>
    <w:rsid w:val="1936763A"/>
    <w:rsid w:val="19725B5A"/>
    <w:rsid w:val="197328E9"/>
    <w:rsid w:val="19A978C0"/>
    <w:rsid w:val="19D16BBB"/>
    <w:rsid w:val="19D8010B"/>
    <w:rsid w:val="19E949FC"/>
    <w:rsid w:val="1A0A69AC"/>
    <w:rsid w:val="1A110B6E"/>
    <w:rsid w:val="1A310042"/>
    <w:rsid w:val="1A332B00"/>
    <w:rsid w:val="1A424B3D"/>
    <w:rsid w:val="1A6F586F"/>
    <w:rsid w:val="1AEF299D"/>
    <w:rsid w:val="1B0659E2"/>
    <w:rsid w:val="1B0B3577"/>
    <w:rsid w:val="1B221916"/>
    <w:rsid w:val="1B236D56"/>
    <w:rsid w:val="1B355D52"/>
    <w:rsid w:val="1B537BF0"/>
    <w:rsid w:val="1B6E5C55"/>
    <w:rsid w:val="1B79458F"/>
    <w:rsid w:val="1B9C202B"/>
    <w:rsid w:val="1BB116FE"/>
    <w:rsid w:val="1BDD4B1E"/>
    <w:rsid w:val="1BEB6F5A"/>
    <w:rsid w:val="1C4869CE"/>
    <w:rsid w:val="1C674EE4"/>
    <w:rsid w:val="1C9363E7"/>
    <w:rsid w:val="1C9551F4"/>
    <w:rsid w:val="1CA53161"/>
    <w:rsid w:val="1CC67F2B"/>
    <w:rsid w:val="1CD31E9A"/>
    <w:rsid w:val="1CD34680"/>
    <w:rsid w:val="1CD420A9"/>
    <w:rsid w:val="1CE26164"/>
    <w:rsid w:val="1CE27103"/>
    <w:rsid w:val="1D031FA5"/>
    <w:rsid w:val="1D2B6460"/>
    <w:rsid w:val="1D41530D"/>
    <w:rsid w:val="1D5A1311"/>
    <w:rsid w:val="1D5F694F"/>
    <w:rsid w:val="1D7D6213"/>
    <w:rsid w:val="1D87367B"/>
    <w:rsid w:val="1D9A4FDF"/>
    <w:rsid w:val="1DC1499F"/>
    <w:rsid w:val="1E1F39CC"/>
    <w:rsid w:val="1E29717E"/>
    <w:rsid w:val="1E477EED"/>
    <w:rsid w:val="1E862459"/>
    <w:rsid w:val="1E8D532F"/>
    <w:rsid w:val="1EA32C7E"/>
    <w:rsid w:val="1EC84BBD"/>
    <w:rsid w:val="1ED66A28"/>
    <w:rsid w:val="1EE2244B"/>
    <w:rsid w:val="1EE67BBF"/>
    <w:rsid w:val="1F091A51"/>
    <w:rsid w:val="1F2D1F08"/>
    <w:rsid w:val="1F826F3D"/>
    <w:rsid w:val="1F8620C6"/>
    <w:rsid w:val="1F8B276E"/>
    <w:rsid w:val="1F932320"/>
    <w:rsid w:val="1FF300F9"/>
    <w:rsid w:val="1FF878F1"/>
    <w:rsid w:val="204F336F"/>
    <w:rsid w:val="20B230AF"/>
    <w:rsid w:val="20B55C45"/>
    <w:rsid w:val="20CA48D9"/>
    <w:rsid w:val="20D10E40"/>
    <w:rsid w:val="20D87472"/>
    <w:rsid w:val="21012F54"/>
    <w:rsid w:val="21222BC2"/>
    <w:rsid w:val="21394137"/>
    <w:rsid w:val="21420657"/>
    <w:rsid w:val="22086DBF"/>
    <w:rsid w:val="22367F30"/>
    <w:rsid w:val="22884B40"/>
    <w:rsid w:val="22E845A7"/>
    <w:rsid w:val="22F1744A"/>
    <w:rsid w:val="23187E14"/>
    <w:rsid w:val="23196E99"/>
    <w:rsid w:val="234D0677"/>
    <w:rsid w:val="23A14C42"/>
    <w:rsid w:val="23A654D1"/>
    <w:rsid w:val="23A81393"/>
    <w:rsid w:val="23BC26AD"/>
    <w:rsid w:val="23C421BF"/>
    <w:rsid w:val="23F61C2B"/>
    <w:rsid w:val="24131E7A"/>
    <w:rsid w:val="24206DB7"/>
    <w:rsid w:val="24734C0E"/>
    <w:rsid w:val="24CC618C"/>
    <w:rsid w:val="24E862E1"/>
    <w:rsid w:val="251A1B32"/>
    <w:rsid w:val="252C586D"/>
    <w:rsid w:val="25421646"/>
    <w:rsid w:val="25503DD1"/>
    <w:rsid w:val="256E5DBB"/>
    <w:rsid w:val="25792FC4"/>
    <w:rsid w:val="25A26260"/>
    <w:rsid w:val="25AA47BC"/>
    <w:rsid w:val="25AF4546"/>
    <w:rsid w:val="25C65F86"/>
    <w:rsid w:val="25C755E4"/>
    <w:rsid w:val="25DD6D6C"/>
    <w:rsid w:val="261A1EA9"/>
    <w:rsid w:val="263460D9"/>
    <w:rsid w:val="26461511"/>
    <w:rsid w:val="26600703"/>
    <w:rsid w:val="26BA4808"/>
    <w:rsid w:val="26C41652"/>
    <w:rsid w:val="26CA6C37"/>
    <w:rsid w:val="26CB00A2"/>
    <w:rsid w:val="27000BAB"/>
    <w:rsid w:val="270429CD"/>
    <w:rsid w:val="27127B50"/>
    <w:rsid w:val="2734580E"/>
    <w:rsid w:val="2771210E"/>
    <w:rsid w:val="2773626C"/>
    <w:rsid w:val="277B5F56"/>
    <w:rsid w:val="279F1B2D"/>
    <w:rsid w:val="27A271A1"/>
    <w:rsid w:val="27AF471F"/>
    <w:rsid w:val="27AF712B"/>
    <w:rsid w:val="27D7441D"/>
    <w:rsid w:val="27DB4DE4"/>
    <w:rsid w:val="281A67DA"/>
    <w:rsid w:val="281D1B9E"/>
    <w:rsid w:val="28277D17"/>
    <w:rsid w:val="284B1061"/>
    <w:rsid w:val="286A0D1D"/>
    <w:rsid w:val="28836F03"/>
    <w:rsid w:val="28E53263"/>
    <w:rsid w:val="28E764D1"/>
    <w:rsid w:val="296323DA"/>
    <w:rsid w:val="29674797"/>
    <w:rsid w:val="29791426"/>
    <w:rsid w:val="298E3AB4"/>
    <w:rsid w:val="29A179EA"/>
    <w:rsid w:val="29E27E42"/>
    <w:rsid w:val="29F959EB"/>
    <w:rsid w:val="2A455371"/>
    <w:rsid w:val="2A954815"/>
    <w:rsid w:val="2A994305"/>
    <w:rsid w:val="2ACF2B31"/>
    <w:rsid w:val="2AEA0B2E"/>
    <w:rsid w:val="2AEC1244"/>
    <w:rsid w:val="2AF77E8C"/>
    <w:rsid w:val="2AFD3F94"/>
    <w:rsid w:val="2B0913AA"/>
    <w:rsid w:val="2B297AE6"/>
    <w:rsid w:val="2B2E1F52"/>
    <w:rsid w:val="2B6B5746"/>
    <w:rsid w:val="2BB87F66"/>
    <w:rsid w:val="2BE12008"/>
    <w:rsid w:val="2BF30D6C"/>
    <w:rsid w:val="2BF67BA1"/>
    <w:rsid w:val="2C0F2BDD"/>
    <w:rsid w:val="2C14020A"/>
    <w:rsid w:val="2C1F0C72"/>
    <w:rsid w:val="2C371CA4"/>
    <w:rsid w:val="2C432788"/>
    <w:rsid w:val="2C564FA4"/>
    <w:rsid w:val="2C8C6E09"/>
    <w:rsid w:val="2CAC78E7"/>
    <w:rsid w:val="2CC55886"/>
    <w:rsid w:val="2D390AAB"/>
    <w:rsid w:val="2D3D45AE"/>
    <w:rsid w:val="2D4262A5"/>
    <w:rsid w:val="2D4F034D"/>
    <w:rsid w:val="2D595FCE"/>
    <w:rsid w:val="2D83221A"/>
    <w:rsid w:val="2D8C7422"/>
    <w:rsid w:val="2DBF3619"/>
    <w:rsid w:val="2E262354"/>
    <w:rsid w:val="2E2C36E3"/>
    <w:rsid w:val="2E2C5AA8"/>
    <w:rsid w:val="2E3B41A4"/>
    <w:rsid w:val="2E697834"/>
    <w:rsid w:val="2E6E6670"/>
    <w:rsid w:val="2E7B6A34"/>
    <w:rsid w:val="2E7C7DAA"/>
    <w:rsid w:val="2EFE740C"/>
    <w:rsid w:val="2F260132"/>
    <w:rsid w:val="2F2C0F82"/>
    <w:rsid w:val="2F2E6F5D"/>
    <w:rsid w:val="2F681955"/>
    <w:rsid w:val="2F7A7928"/>
    <w:rsid w:val="2F866E22"/>
    <w:rsid w:val="2FEF0BC4"/>
    <w:rsid w:val="3026520B"/>
    <w:rsid w:val="303F79C9"/>
    <w:rsid w:val="304C202D"/>
    <w:rsid w:val="305118D2"/>
    <w:rsid w:val="3069734D"/>
    <w:rsid w:val="30700374"/>
    <w:rsid w:val="30A7078B"/>
    <w:rsid w:val="30C43E10"/>
    <w:rsid w:val="30C74D94"/>
    <w:rsid w:val="30D965B7"/>
    <w:rsid w:val="30FA3624"/>
    <w:rsid w:val="310002E3"/>
    <w:rsid w:val="31020999"/>
    <w:rsid w:val="31096C92"/>
    <w:rsid w:val="310D5422"/>
    <w:rsid w:val="311313FF"/>
    <w:rsid w:val="311F48CD"/>
    <w:rsid w:val="312235E8"/>
    <w:rsid w:val="312435F1"/>
    <w:rsid w:val="31274AF1"/>
    <w:rsid w:val="313F7193"/>
    <w:rsid w:val="31755473"/>
    <w:rsid w:val="31B15569"/>
    <w:rsid w:val="322C32A2"/>
    <w:rsid w:val="323D2915"/>
    <w:rsid w:val="325839DA"/>
    <w:rsid w:val="3284056D"/>
    <w:rsid w:val="328D5E90"/>
    <w:rsid w:val="32A07AE9"/>
    <w:rsid w:val="32A56B90"/>
    <w:rsid w:val="32A73FA5"/>
    <w:rsid w:val="32B52C13"/>
    <w:rsid w:val="32D10515"/>
    <w:rsid w:val="32E35CB2"/>
    <w:rsid w:val="32EA0528"/>
    <w:rsid w:val="32F230B5"/>
    <w:rsid w:val="32F4671B"/>
    <w:rsid w:val="32FA113D"/>
    <w:rsid w:val="33003DF2"/>
    <w:rsid w:val="33452AD7"/>
    <w:rsid w:val="33647FDB"/>
    <w:rsid w:val="33662CF8"/>
    <w:rsid w:val="33726C38"/>
    <w:rsid w:val="33832101"/>
    <w:rsid w:val="33A665D2"/>
    <w:rsid w:val="33BD2FEF"/>
    <w:rsid w:val="33C05D77"/>
    <w:rsid w:val="33C06DA7"/>
    <w:rsid w:val="33CB1181"/>
    <w:rsid w:val="33DC26EE"/>
    <w:rsid w:val="340C36CD"/>
    <w:rsid w:val="34334D07"/>
    <w:rsid w:val="343A5749"/>
    <w:rsid w:val="34413162"/>
    <w:rsid w:val="3450090C"/>
    <w:rsid w:val="345F655C"/>
    <w:rsid w:val="34755553"/>
    <w:rsid w:val="34971806"/>
    <w:rsid w:val="34AC367E"/>
    <w:rsid w:val="34E3115F"/>
    <w:rsid w:val="34F568D2"/>
    <w:rsid w:val="34F76B17"/>
    <w:rsid w:val="34F82570"/>
    <w:rsid w:val="350E4088"/>
    <w:rsid w:val="351E7DBF"/>
    <w:rsid w:val="352C7961"/>
    <w:rsid w:val="35670448"/>
    <w:rsid w:val="356C7572"/>
    <w:rsid w:val="35862701"/>
    <w:rsid w:val="358D4A67"/>
    <w:rsid w:val="35901C78"/>
    <w:rsid w:val="35904557"/>
    <w:rsid w:val="35A11AEB"/>
    <w:rsid w:val="35C733B4"/>
    <w:rsid w:val="35C85B71"/>
    <w:rsid w:val="35D05B7D"/>
    <w:rsid w:val="35DA3A24"/>
    <w:rsid w:val="35E41FC2"/>
    <w:rsid w:val="36160F00"/>
    <w:rsid w:val="364315C9"/>
    <w:rsid w:val="36475BB1"/>
    <w:rsid w:val="3651018A"/>
    <w:rsid w:val="365657A0"/>
    <w:rsid w:val="365F02A2"/>
    <w:rsid w:val="3665478E"/>
    <w:rsid w:val="369A15E0"/>
    <w:rsid w:val="36B0788C"/>
    <w:rsid w:val="370451FC"/>
    <w:rsid w:val="37081E0E"/>
    <w:rsid w:val="37392A44"/>
    <w:rsid w:val="37427AD3"/>
    <w:rsid w:val="374606AE"/>
    <w:rsid w:val="374E2B08"/>
    <w:rsid w:val="376E61AF"/>
    <w:rsid w:val="377A7010"/>
    <w:rsid w:val="378B7ED8"/>
    <w:rsid w:val="37901471"/>
    <w:rsid w:val="37A76B18"/>
    <w:rsid w:val="37DC3A83"/>
    <w:rsid w:val="37E0494F"/>
    <w:rsid w:val="37F9418D"/>
    <w:rsid w:val="380A2A37"/>
    <w:rsid w:val="382D55B6"/>
    <w:rsid w:val="3834062E"/>
    <w:rsid w:val="3869321C"/>
    <w:rsid w:val="386F7475"/>
    <w:rsid w:val="387B1B96"/>
    <w:rsid w:val="3934707A"/>
    <w:rsid w:val="394E29A9"/>
    <w:rsid w:val="39680FE3"/>
    <w:rsid w:val="398C3287"/>
    <w:rsid w:val="39AD2129"/>
    <w:rsid w:val="39CD7229"/>
    <w:rsid w:val="3A0610E4"/>
    <w:rsid w:val="3A1E1155"/>
    <w:rsid w:val="3A3A4072"/>
    <w:rsid w:val="3A63223A"/>
    <w:rsid w:val="3A996059"/>
    <w:rsid w:val="3AA63234"/>
    <w:rsid w:val="3AB81C7F"/>
    <w:rsid w:val="3AC165F7"/>
    <w:rsid w:val="3B111A40"/>
    <w:rsid w:val="3B297DB3"/>
    <w:rsid w:val="3B571756"/>
    <w:rsid w:val="3BA810F0"/>
    <w:rsid w:val="3C09240E"/>
    <w:rsid w:val="3C395948"/>
    <w:rsid w:val="3C5C31A7"/>
    <w:rsid w:val="3C632750"/>
    <w:rsid w:val="3CB71C7A"/>
    <w:rsid w:val="3CB80424"/>
    <w:rsid w:val="3CB82139"/>
    <w:rsid w:val="3CC268F0"/>
    <w:rsid w:val="3CD73BC8"/>
    <w:rsid w:val="3D0574BB"/>
    <w:rsid w:val="3D0657A9"/>
    <w:rsid w:val="3D210B60"/>
    <w:rsid w:val="3D332764"/>
    <w:rsid w:val="3D4A6258"/>
    <w:rsid w:val="3D5C5741"/>
    <w:rsid w:val="3D605157"/>
    <w:rsid w:val="3D622C7D"/>
    <w:rsid w:val="3D693246"/>
    <w:rsid w:val="3D6E1622"/>
    <w:rsid w:val="3D952F8F"/>
    <w:rsid w:val="3D9C05D6"/>
    <w:rsid w:val="3DED4834"/>
    <w:rsid w:val="3DF45431"/>
    <w:rsid w:val="3E0C635B"/>
    <w:rsid w:val="3E1378B2"/>
    <w:rsid w:val="3E3875B1"/>
    <w:rsid w:val="3E4A630D"/>
    <w:rsid w:val="3E6D3687"/>
    <w:rsid w:val="3E7C1E93"/>
    <w:rsid w:val="3EBD697E"/>
    <w:rsid w:val="3EC22607"/>
    <w:rsid w:val="3EC3599D"/>
    <w:rsid w:val="3EE726CF"/>
    <w:rsid w:val="3EED390D"/>
    <w:rsid w:val="3EFE0799"/>
    <w:rsid w:val="3F107E00"/>
    <w:rsid w:val="3F3C0521"/>
    <w:rsid w:val="3F4C6DFC"/>
    <w:rsid w:val="3F5B5C7D"/>
    <w:rsid w:val="3F6C7503"/>
    <w:rsid w:val="3F7B0C87"/>
    <w:rsid w:val="3FD51C48"/>
    <w:rsid w:val="3FE20E4C"/>
    <w:rsid w:val="3FE70C9D"/>
    <w:rsid w:val="3FF542E3"/>
    <w:rsid w:val="3FF738EF"/>
    <w:rsid w:val="40183413"/>
    <w:rsid w:val="404B0A19"/>
    <w:rsid w:val="40521222"/>
    <w:rsid w:val="40955B03"/>
    <w:rsid w:val="4099374F"/>
    <w:rsid w:val="40995527"/>
    <w:rsid w:val="40D06DD0"/>
    <w:rsid w:val="41945E63"/>
    <w:rsid w:val="419967E3"/>
    <w:rsid w:val="41AA3DA6"/>
    <w:rsid w:val="42163178"/>
    <w:rsid w:val="423C138C"/>
    <w:rsid w:val="423F2AA9"/>
    <w:rsid w:val="42426B80"/>
    <w:rsid w:val="42595D9D"/>
    <w:rsid w:val="427D1E77"/>
    <w:rsid w:val="42BC318C"/>
    <w:rsid w:val="42BE04AF"/>
    <w:rsid w:val="42F51E2A"/>
    <w:rsid w:val="42F6354A"/>
    <w:rsid w:val="433D5F12"/>
    <w:rsid w:val="43993ABC"/>
    <w:rsid w:val="43A0677F"/>
    <w:rsid w:val="43B34232"/>
    <w:rsid w:val="43B44D02"/>
    <w:rsid w:val="43E066A9"/>
    <w:rsid w:val="43E2516D"/>
    <w:rsid w:val="44221B19"/>
    <w:rsid w:val="4435582D"/>
    <w:rsid w:val="446F4A5E"/>
    <w:rsid w:val="449706A5"/>
    <w:rsid w:val="449A71A0"/>
    <w:rsid w:val="44B15AC5"/>
    <w:rsid w:val="44C24C07"/>
    <w:rsid w:val="44D45A4F"/>
    <w:rsid w:val="44F52DD4"/>
    <w:rsid w:val="45366CA5"/>
    <w:rsid w:val="454910CB"/>
    <w:rsid w:val="45617CBE"/>
    <w:rsid w:val="45B4254C"/>
    <w:rsid w:val="45B90539"/>
    <w:rsid w:val="45CF5D9C"/>
    <w:rsid w:val="462F0E76"/>
    <w:rsid w:val="463644CA"/>
    <w:rsid w:val="46576745"/>
    <w:rsid w:val="466D5B1B"/>
    <w:rsid w:val="46BD3083"/>
    <w:rsid w:val="46EB1596"/>
    <w:rsid w:val="46F81F5C"/>
    <w:rsid w:val="46F843FA"/>
    <w:rsid w:val="471C47F9"/>
    <w:rsid w:val="472473B6"/>
    <w:rsid w:val="472C7916"/>
    <w:rsid w:val="477069B5"/>
    <w:rsid w:val="4794031B"/>
    <w:rsid w:val="47E93A93"/>
    <w:rsid w:val="48050DD4"/>
    <w:rsid w:val="482F2767"/>
    <w:rsid w:val="483D59B2"/>
    <w:rsid w:val="484C0BE3"/>
    <w:rsid w:val="485B78C5"/>
    <w:rsid w:val="48720BB5"/>
    <w:rsid w:val="488C1817"/>
    <w:rsid w:val="488C1EEE"/>
    <w:rsid w:val="48AE216E"/>
    <w:rsid w:val="48C0506B"/>
    <w:rsid w:val="48FF6C6E"/>
    <w:rsid w:val="49012BF0"/>
    <w:rsid w:val="492434DC"/>
    <w:rsid w:val="49386C7F"/>
    <w:rsid w:val="49426EFB"/>
    <w:rsid w:val="49486249"/>
    <w:rsid w:val="494920D5"/>
    <w:rsid w:val="4950360D"/>
    <w:rsid w:val="496163A1"/>
    <w:rsid w:val="498A77E3"/>
    <w:rsid w:val="49934318"/>
    <w:rsid w:val="49951D54"/>
    <w:rsid w:val="49B14801"/>
    <w:rsid w:val="49C202E7"/>
    <w:rsid w:val="49C94EB8"/>
    <w:rsid w:val="49F0403A"/>
    <w:rsid w:val="4A1C2405"/>
    <w:rsid w:val="4A1C41B3"/>
    <w:rsid w:val="4A2D0ACC"/>
    <w:rsid w:val="4A3C4615"/>
    <w:rsid w:val="4A3F4FB3"/>
    <w:rsid w:val="4A4011D2"/>
    <w:rsid w:val="4A672648"/>
    <w:rsid w:val="4A802994"/>
    <w:rsid w:val="4AB40569"/>
    <w:rsid w:val="4AB67EA6"/>
    <w:rsid w:val="4AD60BDD"/>
    <w:rsid w:val="4AE2174F"/>
    <w:rsid w:val="4B1A3189"/>
    <w:rsid w:val="4B207C29"/>
    <w:rsid w:val="4B257098"/>
    <w:rsid w:val="4B73621F"/>
    <w:rsid w:val="4B8800A6"/>
    <w:rsid w:val="4BAC00A4"/>
    <w:rsid w:val="4BD33374"/>
    <w:rsid w:val="4BDE3166"/>
    <w:rsid w:val="4C0473C6"/>
    <w:rsid w:val="4C102DE5"/>
    <w:rsid w:val="4C3457BD"/>
    <w:rsid w:val="4C4B0188"/>
    <w:rsid w:val="4C4D5DEC"/>
    <w:rsid w:val="4C555883"/>
    <w:rsid w:val="4C61706A"/>
    <w:rsid w:val="4C8F2854"/>
    <w:rsid w:val="4CCE6A8F"/>
    <w:rsid w:val="4CD1623A"/>
    <w:rsid w:val="4D106251"/>
    <w:rsid w:val="4D3C7BEC"/>
    <w:rsid w:val="4D481773"/>
    <w:rsid w:val="4D4C39EC"/>
    <w:rsid w:val="4D5F6524"/>
    <w:rsid w:val="4D73192D"/>
    <w:rsid w:val="4D7F6F33"/>
    <w:rsid w:val="4D9512C6"/>
    <w:rsid w:val="4DC42348"/>
    <w:rsid w:val="4DC61225"/>
    <w:rsid w:val="4DCA372B"/>
    <w:rsid w:val="4DD74D43"/>
    <w:rsid w:val="4DD831B8"/>
    <w:rsid w:val="4DE764C0"/>
    <w:rsid w:val="4DF825C6"/>
    <w:rsid w:val="4E2E44B5"/>
    <w:rsid w:val="4E626B9C"/>
    <w:rsid w:val="4E7D4B5E"/>
    <w:rsid w:val="4E86597A"/>
    <w:rsid w:val="4EE47996"/>
    <w:rsid w:val="4EE72FE2"/>
    <w:rsid w:val="4EF34CD1"/>
    <w:rsid w:val="4EF83277"/>
    <w:rsid w:val="4F2272E3"/>
    <w:rsid w:val="4F244E0B"/>
    <w:rsid w:val="4F2544C5"/>
    <w:rsid w:val="4F3F6893"/>
    <w:rsid w:val="4F531A83"/>
    <w:rsid w:val="4F5A1305"/>
    <w:rsid w:val="4F6C3FB3"/>
    <w:rsid w:val="4F8151E4"/>
    <w:rsid w:val="4FB216C3"/>
    <w:rsid w:val="4FB42606"/>
    <w:rsid w:val="4FC27D66"/>
    <w:rsid w:val="4FC46AED"/>
    <w:rsid w:val="4FCC45FC"/>
    <w:rsid w:val="4FEE65F2"/>
    <w:rsid w:val="4FF9472F"/>
    <w:rsid w:val="500C7C90"/>
    <w:rsid w:val="50413EB8"/>
    <w:rsid w:val="504C0454"/>
    <w:rsid w:val="50A3118B"/>
    <w:rsid w:val="50AE0BC7"/>
    <w:rsid w:val="50D92DFE"/>
    <w:rsid w:val="50EE0EE5"/>
    <w:rsid w:val="50F05A83"/>
    <w:rsid w:val="5128521C"/>
    <w:rsid w:val="51292C83"/>
    <w:rsid w:val="5152778C"/>
    <w:rsid w:val="515D57DD"/>
    <w:rsid w:val="518016C1"/>
    <w:rsid w:val="51B61413"/>
    <w:rsid w:val="51C21E64"/>
    <w:rsid w:val="5209050A"/>
    <w:rsid w:val="52383766"/>
    <w:rsid w:val="524D3A53"/>
    <w:rsid w:val="52546BE0"/>
    <w:rsid w:val="52715761"/>
    <w:rsid w:val="52807CB6"/>
    <w:rsid w:val="5298788F"/>
    <w:rsid w:val="529F5982"/>
    <w:rsid w:val="52BD116E"/>
    <w:rsid w:val="52BE6462"/>
    <w:rsid w:val="52C41443"/>
    <w:rsid w:val="53596223"/>
    <w:rsid w:val="53735E45"/>
    <w:rsid w:val="538462DA"/>
    <w:rsid w:val="53B759FB"/>
    <w:rsid w:val="53B90DAA"/>
    <w:rsid w:val="53BE2D49"/>
    <w:rsid w:val="53C6200F"/>
    <w:rsid w:val="53D004E8"/>
    <w:rsid w:val="53F94F7D"/>
    <w:rsid w:val="545D7C33"/>
    <w:rsid w:val="54723052"/>
    <w:rsid w:val="547C4167"/>
    <w:rsid w:val="5490775B"/>
    <w:rsid w:val="54921A9C"/>
    <w:rsid w:val="54934045"/>
    <w:rsid w:val="54D122B2"/>
    <w:rsid w:val="55012BF4"/>
    <w:rsid w:val="55443692"/>
    <w:rsid w:val="557F18A0"/>
    <w:rsid w:val="55B442A9"/>
    <w:rsid w:val="55C912CB"/>
    <w:rsid w:val="55CC1183"/>
    <w:rsid w:val="55D151C8"/>
    <w:rsid w:val="55FF5B16"/>
    <w:rsid w:val="560A0856"/>
    <w:rsid w:val="56586573"/>
    <w:rsid w:val="566B6E67"/>
    <w:rsid w:val="567F0CAF"/>
    <w:rsid w:val="56A2510A"/>
    <w:rsid w:val="56CC4374"/>
    <w:rsid w:val="57082F52"/>
    <w:rsid w:val="570A3E33"/>
    <w:rsid w:val="57344EE1"/>
    <w:rsid w:val="576D1B44"/>
    <w:rsid w:val="57715B3F"/>
    <w:rsid w:val="57D07291"/>
    <w:rsid w:val="57E75AEF"/>
    <w:rsid w:val="57FD7D2F"/>
    <w:rsid w:val="58104134"/>
    <w:rsid w:val="58443E84"/>
    <w:rsid w:val="58920462"/>
    <w:rsid w:val="58AE4B70"/>
    <w:rsid w:val="58C44EB1"/>
    <w:rsid w:val="58E86AAB"/>
    <w:rsid w:val="58F04E00"/>
    <w:rsid w:val="59280156"/>
    <w:rsid w:val="59354E6E"/>
    <w:rsid w:val="593F50F5"/>
    <w:rsid w:val="594F3C5E"/>
    <w:rsid w:val="598000B4"/>
    <w:rsid w:val="598A3140"/>
    <w:rsid w:val="59B469B8"/>
    <w:rsid w:val="59BA4E55"/>
    <w:rsid w:val="59C30A7F"/>
    <w:rsid w:val="59E93904"/>
    <w:rsid w:val="5A1A6677"/>
    <w:rsid w:val="5A27541F"/>
    <w:rsid w:val="5A8F08C2"/>
    <w:rsid w:val="5AA945FA"/>
    <w:rsid w:val="5B0F2610"/>
    <w:rsid w:val="5B662B56"/>
    <w:rsid w:val="5B710899"/>
    <w:rsid w:val="5BBE4E0A"/>
    <w:rsid w:val="5C2F0853"/>
    <w:rsid w:val="5C450A18"/>
    <w:rsid w:val="5C537F09"/>
    <w:rsid w:val="5C5A4458"/>
    <w:rsid w:val="5C95407D"/>
    <w:rsid w:val="5CA523ED"/>
    <w:rsid w:val="5D247702"/>
    <w:rsid w:val="5D2D1855"/>
    <w:rsid w:val="5D545550"/>
    <w:rsid w:val="5D5B25CD"/>
    <w:rsid w:val="5D5C70EF"/>
    <w:rsid w:val="5D8E74DC"/>
    <w:rsid w:val="5DB1255B"/>
    <w:rsid w:val="5DC13D60"/>
    <w:rsid w:val="5DCC7E0F"/>
    <w:rsid w:val="5DE6099B"/>
    <w:rsid w:val="5DE84681"/>
    <w:rsid w:val="5E0429C7"/>
    <w:rsid w:val="5E553E24"/>
    <w:rsid w:val="5E5E6646"/>
    <w:rsid w:val="5E60033A"/>
    <w:rsid w:val="5E6B571F"/>
    <w:rsid w:val="5E734A84"/>
    <w:rsid w:val="5EBC729F"/>
    <w:rsid w:val="5EDB3E95"/>
    <w:rsid w:val="5EE44E48"/>
    <w:rsid w:val="5F100333"/>
    <w:rsid w:val="5F1B3294"/>
    <w:rsid w:val="5F27742B"/>
    <w:rsid w:val="5F3833E6"/>
    <w:rsid w:val="5F444CD0"/>
    <w:rsid w:val="5F4A27E1"/>
    <w:rsid w:val="5F653030"/>
    <w:rsid w:val="5F8075EA"/>
    <w:rsid w:val="5F8416C1"/>
    <w:rsid w:val="5F8B79B9"/>
    <w:rsid w:val="5FEB167D"/>
    <w:rsid w:val="60196D73"/>
    <w:rsid w:val="601E25DC"/>
    <w:rsid w:val="60395765"/>
    <w:rsid w:val="608257F0"/>
    <w:rsid w:val="608A69F1"/>
    <w:rsid w:val="60A9467D"/>
    <w:rsid w:val="610877C7"/>
    <w:rsid w:val="610A503C"/>
    <w:rsid w:val="612123E7"/>
    <w:rsid w:val="61277F0A"/>
    <w:rsid w:val="61826B9A"/>
    <w:rsid w:val="61AC36FA"/>
    <w:rsid w:val="61E84C4F"/>
    <w:rsid w:val="623071B9"/>
    <w:rsid w:val="62310026"/>
    <w:rsid w:val="62CA5698"/>
    <w:rsid w:val="62CE1FA0"/>
    <w:rsid w:val="62D91738"/>
    <w:rsid w:val="62E245C6"/>
    <w:rsid w:val="62F56542"/>
    <w:rsid w:val="6322596E"/>
    <w:rsid w:val="632D1D71"/>
    <w:rsid w:val="63302135"/>
    <w:rsid w:val="63531638"/>
    <w:rsid w:val="63617A30"/>
    <w:rsid w:val="63F25352"/>
    <w:rsid w:val="6402249F"/>
    <w:rsid w:val="641942B1"/>
    <w:rsid w:val="642443D9"/>
    <w:rsid w:val="642E0992"/>
    <w:rsid w:val="642F0DBE"/>
    <w:rsid w:val="645E744B"/>
    <w:rsid w:val="64627AB0"/>
    <w:rsid w:val="647933E3"/>
    <w:rsid w:val="6483682D"/>
    <w:rsid w:val="64CE08EF"/>
    <w:rsid w:val="65000D44"/>
    <w:rsid w:val="65060A9E"/>
    <w:rsid w:val="650C430C"/>
    <w:rsid w:val="650F32CE"/>
    <w:rsid w:val="653E4426"/>
    <w:rsid w:val="65547E54"/>
    <w:rsid w:val="65570574"/>
    <w:rsid w:val="656136E1"/>
    <w:rsid w:val="657820BA"/>
    <w:rsid w:val="65BA707A"/>
    <w:rsid w:val="65D86DD6"/>
    <w:rsid w:val="66030B7B"/>
    <w:rsid w:val="6620736E"/>
    <w:rsid w:val="663B3FFC"/>
    <w:rsid w:val="66F80D9E"/>
    <w:rsid w:val="66FB5425"/>
    <w:rsid w:val="67230904"/>
    <w:rsid w:val="67313CE5"/>
    <w:rsid w:val="675608AD"/>
    <w:rsid w:val="677F7E04"/>
    <w:rsid w:val="67C90957"/>
    <w:rsid w:val="67E97887"/>
    <w:rsid w:val="67F624ED"/>
    <w:rsid w:val="68193361"/>
    <w:rsid w:val="68305D44"/>
    <w:rsid w:val="68394457"/>
    <w:rsid w:val="68E77BD8"/>
    <w:rsid w:val="69290C35"/>
    <w:rsid w:val="6938470E"/>
    <w:rsid w:val="69590CF4"/>
    <w:rsid w:val="695D2852"/>
    <w:rsid w:val="69787200"/>
    <w:rsid w:val="69A14510"/>
    <w:rsid w:val="69B82444"/>
    <w:rsid w:val="69CB1673"/>
    <w:rsid w:val="69DC0FD6"/>
    <w:rsid w:val="6A1D209B"/>
    <w:rsid w:val="6A4960ED"/>
    <w:rsid w:val="6A710DAA"/>
    <w:rsid w:val="6A9E2208"/>
    <w:rsid w:val="6A9E4A45"/>
    <w:rsid w:val="6AF02D3D"/>
    <w:rsid w:val="6AF427FF"/>
    <w:rsid w:val="6B157850"/>
    <w:rsid w:val="6B833C3B"/>
    <w:rsid w:val="6B8A7D7E"/>
    <w:rsid w:val="6B922E0E"/>
    <w:rsid w:val="6B9B5D74"/>
    <w:rsid w:val="6B9E2BAE"/>
    <w:rsid w:val="6BB072F6"/>
    <w:rsid w:val="6BF04FA8"/>
    <w:rsid w:val="6BFD7676"/>
    <w:rsid w:val="6C1A3A0E"/>
    <w:rsid w:val="6C273703"/>
    <w:rsid w:val="6C31137D"/>
    <w:rsid w:val="6C425EE3"/>
    <w:rsid w:val="6C554A5F"/>
    <w:rsid w:val="6C5630FD"/>
    <w:rsid w:val="6C5775A1"/>
    <w:rsid w:val="6CAE24D6"/>
    <w:rsid w:val="6CB04879"/>
    <w:rsid w:val="6CB93DB8"/>
    <w:rsid w:val="6CC369E5"/>
    <w:rsid w:val="6CDA1CE0"/>
    <w:rsid w:val="6D2177E3"/>
    <w:rsid w:val="6D3F734F"/>
    <w:rsid w:val="6D4E0391"/>
    <w:rsid w:val="6D557745"/>
    <w:rsid w:val="6DA944F5"/>
    <w:rsid w:val="6DE13966"/>
    <w:rsid w:val="6E0B0D13"/>
    <w:rsid w:val="6E1C495A"/>
    <w:rsid w:val="6E4D656C"/>
    <w:rsid w:val="6E6B2034"/>
    <w:rsid w:val="6E7A4636"/>
    <w:rsid w:val="6E7F0A92"/>
    <w:rsid w:val="6E9843A6"/>
    <w:rsid w:val="6EA2087C"/>
    <w:rsid w:val="6EE102CE"/>
    <w:rsid w:val="6F000329"/>
    <w:rsid w:val="6F614293"/>
    <w:rsid w:val="6F673130"/>
    <w:rsid w:val="6F7E4E45"/>
    <w:rsid w:val="6FAD3046"/>
    <w:rsid w:val="6FBA1CF5"/>
    <w:rsid w:val="6FEF734E"/>
    <w:rsid w:val="6FF94A06"/>
    <w:rsid w:val="70032909"/>
    <w:rsid w:val="700B4F57"/>
    <w:rsid w:val="70671AFB"/>
    <w:rsid w:val="70732B50"/>
    <w:rsid w:val="70891C98"/>
    <w:rsid w:val="70B10988"/>
    <w:rsid w:val="70C12D13"/>
    <w:rsid w:val="70E36668"/>
    <w:rsid w:val="70F2652C"/>
    <w:rsid w:val="71014B9D"/>
    <w:rsid w:val="719A5760"/>
    <w:rsid w:val="719A7C6D"/>
    <w:rsid w:val="719D4BE8"/>
    <w:rsid w:val="71A5591A"/>
    <w:rsid w:val="71B356F8"/>
    <w:rsid w:val="71E25CCD"/>
    <w:rsid w:val="71F17DFB"/>
    <w:rsid w:val="71F3746A"/>
    <w:rsid w:val="72084E9A"/>
    <w:rsid w:val="723837BE"/>
    <w:rsid w:val="72414F5B"/>
    <w:rsid w:val="724845BB"/>
    <w:rsid w:val="727859C3"/>
    <w:rsid w:val="7287235F"/>
    <w:rsid w:val="729E5F20"/>
    <w:rsid w:val="72CB18A3"/>
    <w:rsid w:val="72D31AAD"/>
    <w:rsid w:val="72E41463"/>
    <w:rsid w:val="733D5BF1"/>
    <w:rsid w:val="7350728F"/>
    <w:rsid w:val="73523045"/>
    <w:rsid w:val="73947E98"/>
    <w:rsid w:val="73B51E86"/>
    <w:rsid w:val="73E453E1"/>
    <w:rsid w:val="73F96853"/>
    <w:rsid w:val="743261FE"/>
    <w:rsid w:val="74566BED"/>
    <w:rsid w:val="745867CE"/>
    <w:rsid w:val="7469533D"/>
    <w:rsid w:val="748F44B1"/>
    <w:rsid w:val="74B36375"/>
    <w:rsid w:val="74B51F65"/>
    <w:rsid w:val="74C57D5F"/>
    <w:rsid w:val="74D1450F"/>
    <w:rsid w:val="74F523F0"/>
    <w:rsid w:val="750B79C3"/>
    <w:rsid w:val="7516167C"/>
    <w:rsid w:val="757424C7"/>
    <w:rsid w:val="75A61B6A"/>
    <w:rsid w:val="75F56CBC"/>
    <w:rsid w:val="761405A3"/>
    <w:rsid w:val="761E7D4A"/>
    <w:rsid w:val="76361681"/>
    <w:rsid w:val="769F2DA3"/>
    <w:rsid w:val="76AE63FE"/>
    <w:rsid w:val="770519A8"/>
    <w:rsid w:val="773A0E35"/>
    <w:rsid w:val="773B7A9E"/>
    <w:rsid w:val="77815F89"/>
    <w:rsid w:val="778B672F"/>
    <w:rsid w:val="778F58CA"/>
    <w:rsid w:val="77904DB5"/>
    <w:rsid w:val="77A86F03"/>
    <w:rsid w:val="77CF011D"/>
    <w:rsid w:val="77E07E30"/>
    <w:rsid w:val="784503BF"/>
    <w:rsid w:val="784734FF"/>
    <w:rsid w:val="785670FD"/>
    <w:rsid w:val="78753951"/>
    <w:rsid w:val="78986F77"/>
    <w:rsid w:val="789D3984"/>
    <w:rsid w:val="78C7160B"/>
    <w:rsid w:val="78E13977"/>
    <w:rsid w:val="7903490F"/>
    <w:rsid w:val="791365FE"/>
    <w:rsid w:val="7923403D"/>
    <w:rsid w:val="7928773F"/>
    <w:rsid w:val="7942150A"/>
    <w:rsid w:val="795D5A2B"/>
    <w:rsid w:val="799A5FB0"/>
    <w:rsid w:val="79AB64F0"/>
    <w:rsid w:val="79DD4E4F"/>
    <w:rsid w:val="79E306C6"/>
    <w:rsid w:val="79E77C10"/>
    <w:rsid w:val="79E955B1"/>
    <w:rsid w:val="7A373143"/>
    <w:rsid w:val="7A3908FA"/>
    <w:rsid w:val="7A5F753F"/>
    <w:rsid w:val="7A854E78"/>
    <w:rsid w:val="7A9276AB"/>
    <w:rsid w:val="7A966CD3"/>
    <w:rsid w:val="7A9B4E16"/>
    <w:rsid w:val="7AAE4FE3"/>
    <w:rsid w:val="7AB9046F"/>
    <w:rsid w:val="7AE41D86"/>
    <w:rsid w:val="7B2745E3"/>
    <w:rsid w:val="7B44081B"/>
    <w:rsid w:val="7B576357"/>
    <w:rsid w:val="7BA877FC"/>
    <w:rsid w:val="7BBD653F"/>
    <w:rsid w:val="7BDE0216"/>
    <w:rsid w:val="7BDE7530"/>
    <w:rsid w:val="7C1103AD"/>
    <w:rsid w:val="7C12783E"/>
    <w:rsid w:val="7C393AA3"/>
    <w:rsid w:val="7C3A17DC"/>
    <w:rsid w:val="7C562EA3"/>
    <w:rsid w:val="7C6874EE"/>
    <w:rsid w:val="7C6C3BBC"/>
    <w:rsid w:val="7C6E5D1D"/>
    <w:rsid w:val="7C874681"/>
    <w:rsid w:val="7C8C4DD2"/>
    <w:rsid w:val="7CA141E0"/>
    <w:rsid w:val="7CA34DCF"/>
    <w:rsid w:val="7CB50B1E"/>
    <w:rsid w:val="7D023B12"/>
    <w:rsid w:val="7D156780"/>
    <w:rsid w:val="7D347692"/>
    <w:rsid w:val="7D4E2898"/>
    <w:rsid w:val="7D5151D6"/>
    <w:rsid w:val="7D5A34F4"/>
    <w:rsid w:val="7D7D498E"/>
    <w:rsid w:val="7D8B1EAE"/>
    <w:rsid w:val="7E316F13"/>
    <w:rsid w:val="7E3B210B"/>
    <w:rsid w:val="7E407421"/>
    <w:rsid w:val="7E437638"/>
    <w:rsid w:val="7E723B78"/>
    <w:rsid w:val="7E805998"/>
    <w:rsid w:val="7E8215A0"/>
    <w:rsid w:val="7E8C6B49"/>
    <w:rsid w:val="7EA07D61"/>
    <w:rsid w:val="7EA323F0"/>
    <w:rsid w:val="7F2D44D0"/>
    <w:rsid w:val="7F3E0D8D"/>
    <w:rsid w:val="7F412A04"/>
    <w:rsid w:val="7F7135C7"/>
    <w:rsid w:val="7F807B21"/>
    <w:rsid w:val="7F876CCE"/>
    <w:rsid w:val="7FC32652"/>
    <w:rsid w:val="7FFD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iPriority="99"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numPr>
        <w:ilvl w:val="0"/>
        <w:numId w:val="1"/>
      </w:numPr>
      <w:tabs>
        <w:tab w:val="left" w:pos="425"/>
      </w:tabs>
      <w:adjustRightInd w:val="0"/>
      <w:snapToGrid w:val="0"/>
      <w:spacing w:line="360" w:lineRule="auto"/>
      <w:outlineLvl w:val="1"/>
    </w:pPr>
    <w:rPr>
      <w:rFonts w:ascii="宋体" w:hAnsi="Arial"/>
      <w:b/>
      <w:sz w:val="28"/>
      <w:szCs w:val="28"/>
    </w:rPr>
  </w:style>
  <w:style w:type="paragraph" w:styleId="7">
    <w:name w:val="heading 3"/>
    <w:basedOn w:val="1"/>
    <w:next w:val="1"/>
    <w:qFormat/>
    <w:uiPriority w:val="0"/>
    <w:pPr>
      <w:autoSpaceDE w:val="0"/>
      <w:autoSpaceDN w:val="0"/>
      <w:adjustRightInd w:val="0"/>
      <w:spacing w:before="120" w:after="120" w:line="416" w:lineRule="atLeast"/>
      <w:outlineLvl w:val="2"/>
    </w:pPr>
    <w:rPr>
      <w:rFonts w:ascii="黑体"/>
      <w:kern w:val="0"/>
      <w:sz w:val="28"/>
      <w:szCs w:val="20"/>
    </w:rPr>
  </w:style>
  <w:style w:type="paragraph" w:styleId="8">
    <w:name w:val="heading 4"/>
    <w:basedOn w:val="1"/>
    <w:next w:val="1"/>
    <w:qFormat/>
    <w:uiPriority w:val="0"/>
    <w:pPr>
      <w:keepNext/>
      <w:keepLines/>
      <w:widowControl/>
      <w:tabs>
        <w:tab w:val="left" w:pos="864"/>
        <w:tab w:val="left" w:pos="1680"/>
      </w:tabs>
      <w:spacing w:before="280" w:after="290" w:line="374" w:lineRule="auto"/>
      <w:ind w:left="1680" w:hanging="420"/>
      <w:jc w:val="left"/>
      <w:outlineLvl w:val="3"/>
    </w:pPr>
    <w:rPr>
      <w:rFonts w:ascii="Arial" w:hAnsi="Arial" w:eastAsia="黑体"/>
      <w:b/>
      <w:sz w:val="28"/>
      <w:szCs w:val="24"/>
    </w:rPr>
  </w:style>
  <w:style w:type="paragraph" w:styleId="9">
    <w:name w:val="heading 5"/>
    <w:basedOn w:val="1"/>
    <w:next w:val="1"/>
    <w:qFormat/>
    <w:uiPriority w:val="0"/>
    <w:pPr>
      <w:keepNext/>
      <w:keepLines/>
      <w:widowControl/>
      <w:tabs>
        <w:tab w:val="left" w:pos="1008"/>
        <w:tab w:val="left" w:pos="2100"/>
      </w:tabs>
      <w:spacing w:before="280" w:after="290" w:line="374" w:lineRule="auto"/>
      <w:ind w:left="2100" w:hanging="420"/>
      <w:jc w:val="left"/>
      <w:outlineLvl w:val="4"/>
    </w:pPr>
    <w:rPr>
      <w:b/>
      <w:sz w:val="28"/>
      <w:szCs w:val="24"/>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4"/>
    </w:rPr>
  </w:style>
  <w:style w:type="paragraph" w:styleId="3">
    <w:name w:val="Body Text Indent"/>
    <w:basedOn w:val="1"/>
    <w:next w:val="4"/>
    <w:qFormat/>
    <w:uiPriority w:val="99"/>
    <w:pPr>
      <w:spacing w:after="120"/>
      <w:ind w:left="420" w:leftChars="200"/>
    </w:pPr>
    <w:rPr>
      <w:szCs w:val="24"/>
    </w:rPr>
  </w:style>
  <w:style w:type="paragraph" w:styleId="4">
    <w:name w:val="toc 3"/>
    <w:basedOn w:val="1"/>
    <w:next w:val="1"/>
    <w:semiHidden/>
    <w:qFormat/>
    <w:uiPriority w:val="0"/>
    <w:pPr>
      <w:widowControl/>
      <w:spacing w:line="360" w:lineRule="auto"/>
      <w:ind w:left="840" w:leftChars="400"/>
    </w:pPr>
    <w:rPr>
      <w:rFonts w:ascii="Times New Roman" w:hAnsi="Times New Roman" w:eastAsia="宋体" w:cs="Times New Roman"/>
      <w:sz w:val="24"/>
      <w:szCs w:val="20"/>
    </w:rPr>
  </w:style>
  <w:style w:type="paragraph" w:styleId="10">
    <w:name w:val="table of authorities"/>
    <w:basedOn w:val="1"/>
    <w:next w:val="1"/>
    <w:unhideWhenUsed/>
    <w:qFormat/>
    <w:uiPriority w:val="99"/>
    <w:pPr>
      <w:ind w:left="420" w:leftChars="200"/>
    </w:pPr>
  </w:style>
  <w:style w:type="paragraph" w:styleId="11">
    <w:name w:val="index 8"/>
    <w:basedOn w:val="1"/>
    <w:next w:val="1"/>
    <w:qFormat/>
    <w:uiPriority w:val="0"/>
    <w:pPr>
      <w:widowControl w:val="0"/>
      <w:ind w:left="2940"/>
      <w:jc w:val="both"/>
    </w:pPr>
    <w:rPr>
      <w:rFonts w:ascii="Times New Roman" w:hAnsi="Times New Roman" w:eastAsia="宋体" w:cs="Times New Roman"/>
      <w:kern w:val="2"/>
      <w:sz w:val="21"/>
      <w:lang w:val="en-US" w:eastAsia="zh-CN" w:bidi="ar-SA"/>
    </w:rPr>
  </w:style>
  <w:style w:type="paragraph" w:styleId="12">
    <w:name w:val="Normal Indent"/>
    <w:basedOn w:val="1"/>
    <w:next w:val="1"/>
    <w:qFormat/>
    <w:uiPriority w:val="0"/>
    <w:pPr>
      <w:ind w:firstLine="420" w:firstLineChars="200"/>
    </w:pPr>
  </w:style>
  <w:style w:type="paragraph" w:styleId="13">
    <w:name w:val="toa heading"/>
    <w:basedOn w:val="1"/>
    <w:next w:val="1"/>
    <w:unhideWhenUsed/>
    <w:qFormat/>
    <w:uiPriority w:val="99"/>
    <w:pPr>
      <w:spacing w:before="120"/>
    </w:pPr>
    <w:rPr>
      <w:rFonts w:ascii="Cambria" w:hAnsi="Cambria" w:cs="Times New Roman"/>
      <w:sz w:val="24"/>
      <w:szCs w:val="24"/>
    </w:rPr>
  </w:style>
  <w:style w:type="paragraph" w:styleId="14">
    <w:name w:val="annotation text"/>
    <w:basedOn w:val="1"/>
    <w:unhideWhenUsed/>
    <w:qFormat/>
    <w:uiPriority w:val="99"/>
    <w:pPr>
      <w:jc w:val="left"/>
    </w:pPr>
    <w:rPr>
      <w:szCs w:val="24"/>
    </w:rPr>
  </w:style>
  <w:style w:type="paragraph" w:styleId="15">
    <w:name w:val="Body Text 3"/>
    <w:basedOn w:val="1"/>
    <w:qFormat/>
    <w:uiPriority w:val="99"/>
    <w:pPr>
      <w:spacing w:after="120"/>
    </w:pPr>
    <w:rPr>
      <w:sz w:val="16"/>
      <w:szCs w:val="16"/>
    </w:rPr>
  </w:style>
  <w:style w:type="paragraph" w:styleId="16">
    <w:name w:val="List 2"/>
    <w:basedOn w:val="1"/>
    <w:qFormat/>
    <w:uiPriority w:val="0"/>
    <w:pPr>
      <w:ind w:left="100" w:leftChars="200" w:hanging="200" w:hangingChars="200"/>
    </w:pPr>
  </w:style>
  <w:style w:type="paragraph" w:styleId="17">
    <w:name w:val="Plain Text"/>
    <w:basedOn w:val="1"/>
    <w:next w:val="1"/>
    <w:qFormat/>
    <w:uiPriority w:val="0"/>
    <w:rPr>
      <w:rFonts w:ascii="宋体" w:hAnsi="Courier New"/>
      <w:szCs w:val="24"/>
    </w:rPr>
  </w:style>
  <w:style w:type="paragraph" w:styleId="18">
    <w:name w:val="Body Text Indent 2"/>
    <w:basedOn w:val="1"/>
    <w:unhideWhenUsed/>
    <w:qFormat/>
    <w:uiPriority w:val="99"/>
    <w:pPr>
      <w:spacing w:after="120" w:line="480" w:lineRule="auto"/>
      <w:ind w:left="420" w:leftChars="200"/>
    </w:pPr>
    <w:rPr>
      <w:szCs w:val="24"/>
    </w:rPr>
  </w:style>
  <w:style w:type="paragraph" w:styleId="19">
    <w:name w:val="footer"/>
    <w:basedOn w:val="1"/>
    <w:next w:val="1"/>
    <w:unhideWhenUsed/>
    <w:qFormat/>
    <w:uiPriority w:val="99"/>
    <w:pPr>
      <w:tabs>
        <w:tab w:val="center" w:pos="4153"/>
        <w:tab w:val="right" w:pos="8306"/>
      </w:tabs>
      <w:snapToGrid w:val="0"/>
      <w:jc w:val="left"/>
    </w:pPr>
    <w:rPr>
      <w:sz w:val="18"/>
      <w:szCs w:val="24"/>
    </w:rPr>
  </w:style>
  <w:style w:type="paragraph" w:styleId="2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4"/>
    <w:basedOn w:val="1"/>
    <w:next w:val="1"/>
    <w:unhideWhenUsed/>
    <w:qFormat/>
    <w:uiPriority w:val="39"/>
    <w:pPr>
      <w:ind w:left="1260" w:leftChars="600"/>
    </w:pPr>
    <w:rPr>
      <w:rFonts w:ascii="Calibri" w:hAnsi="Calibri" w:eastAsia="宋体" w:cs="Times New Roman"/>
      <w:szCs w:val="22"/>
    </w:rPr>
  </w:style>
  <w:style w:type="paragraph" w:styleId="22">
    <w:name w:val="footnote text"/>
    <w:basedOn w:val="1"/>
    <w:qFormat/>
    <w:uiPriority w:val="99"/>
    <w:pPr>
      <w:snapToGrid w:val="0"/>
    </w:pPr>
    <w:rPr>
      <w:sz w:val="18"/>
      <w:szCs w:val="18"/>
    </w:rPr>
  </w:style>
  <w:style w:type="paragraph" w:styleId="23">
    <w:name w:val="toc 6"/>
    <w:basedOn w:val="1"/>
    <w:next w:val="1"/>
    <w:qFormat/>
    <w:uiPriority w:val="0"/>
    <w:pPr>
      <w:ind w:left="2100" w:leftChars="1000"/>
    </w:pPr>
    <w:rPr>
      <w:rFonts w:ascii="Calibri" w:hAnsi="Calibri" w:eastAsia="宋体" w:cs="Times New Roman"/>
      <w:szCs w:val="22"/>
    </w:rPr>
  </w:style>
  <w:style w:type="paragraph" w:styleId="24">
    <w:name w:val="Body Text Indent 3"/>
    <w:basedOn w:val="1"/>
    <w:unhideWhenUsed/>
    <w:qFormat/>
    <w:uiPriority w:val="0"/>
    <w:pPr>
      <w:spacing w:line="360" w:lineRule="auto"/>
      <w:ind w:firstLine="420"/>
    </w:pPr>
    <w:rPr>
      <w:rFonts w:ascii="宋体"/>
      <w:szCs w:val="24"/>
    </w:rPr>
  </w:style>
  <w:style w:type="paragraph" w:styleId="25">
    <w:name w:val="toc 2"/>
    <w:basedOn w:val="1"/>
    <w:next w:val="1"/>
    <w:qFormat/>
    <w:uiPriority w:val="0"/>
    <w:pPr>
      <w:ind w:left="420" w:leftChars="200"/>
    </w:pPr>
  </w:style>
  <w:style w:type="paragraph" w:styleId="26">
    <w:name w:val="Normal (Web)"/>
    <w:basedOn w:val="1"/>
    <w:qFormat/>
    <w:uiPriority w:val="0"/>
    <w:rPr>
      <w:sz w:val="24"/>
    </w:rPr>
  </w:style>
  <w:style w:type="paragraph" w:styleId="27">
    <w:name w:val="index 1"/>
    <w:basedOn w:val="1"/>
    <w:next w:val="1"/>
    <w:unhideWhenUsed/>
    <w:qFormat/>
    <w:uiPriority w:val="99"/>
    <w:pPr>
      <w:spacing w:line="200" w:lineRule="atLeast"/>
      <w:jc w:val="center"/>
    </w:pPr>
    <w:rPr>
      <w:rFonts w:ascii="宋体" w:hAnsi="宋体"/>
    </w:rPr>
  </w:style>
  <w:style w:type="paragraph" w:styleId="28">
    <w:name w:val="Title"/>
    <w:basedOn w:val="1"/>
    <w:next w:val="1"/>
    <w:qFormat/>
    <w:uiPriority w:val="0"/>
    <w:pPr>
      <w:spacing w:before="240" w:after="60"/>
      <w:jc w:val="center"/>
      <w:outlineLvl w:val="1"/>
    </w:pPr>
    <w:rPr>
      <w:rFonts w:ascii="Cambria" w:hAnsi="Cambria" w:eastAsia="宋体" w:cs="Times New Roman"/>
      <w:b/>
      <w:bCs/>
      <w:sz w:val="32"/>
      <w:szCs w:val="32"/>
    </w:rPr>
  </w:style>
  <w:style w:type="paragraph" w:styleId="29">
    <w:name w:val="Body Text First Indent"/>
    <w:basedOn w:val="2"/>
    <w:next w:val="23"/>
    <w:qFormat/>
    <w:uiPriority w:val="0"/>
    <w:pPr>
      <w:ind w:firstLine="420" w:firstLineChars="100"/>
    </w:pPr>
  </w:style>
  <w:style w:type="paragraph" w:styleId="30">
    <w:name w:val="Body Text First Indent 2"/>
    <w:basedOn w:val="3"/>
    <w:next w:val="1"/>
    <w:qFormat/>
    <w:uiPriority w:val="0"/>
    <w:pPr>
      <w:spacing w:line="360" w:lineRule="auto"/>
      <w:ind w:firstLine="420" w:firstLineChars="200"/>
    </w:pPr>
    <w:rPr>
      <w:rFonts w:ascii="Times New Roman" w:hAnsi="Times New Roman" w:eastAsia="宋体" w:cs="Times New Roman"/>
      <w:kern w:val="0"/>
      <w:sz w:val="24"/>
      <w:szCs w:val="20"/>
    </w:rPr>
  </w:style>
  <w:style w:type="table" w:styleId="32">
    <w:name w:val="Table Grid"/>
    <w:basedOn w:val="3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qFormat/>
    <w:uiPriority w:val="0"/>
    <w:rPr>
      <w:color w:val="0000FF"/>
      <w:u w:val="single"/>
    </w:rPr>
  </w:style>
  <w:style w:type="paragraph" w:customStyle="1" w:styleId="37">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8">
    <w:name w:val="正文缩进1"/>
    <w:basedOn w:val="1"/>
    <w:next w:val="1"/>
    <w:qFormat/>
    <w:uiPriority w:val="0"/>
    <w:pPr>
      <w:ind w:firstLine="420"/>
    </w:pPr>
    <w:rPr>
      <w:rFonts w:ascii="Times New Roman" w:hAnsi="Times New Roman" w:eastAsia="宋体" w:cs="Times New Roman"/>
      <w:sz w:val="24"/>
      <w:szCs w:val="20"/>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表正文"/>
    <w:basedOn w:val="1"/>
    <w:next w:val="1"/>
    <w:qFormat/>
    <w:uiPriority w:val="0"/>
    <w:rPr>
      <w:rFonts w:ascii="宋体" w:hAnsi="Courier New"/>
    </w:rPr>
  </w:style>
  <w:style w:type="paragraph" w:customStyle="1" w:styleId="41">
    <w:name w:val="pa-1"/>
    <w:basedOn w:val="1"/>
    <w:qFormat/>
    <w:uiPriority w:val="0"/>
    <w:pPr>
      <w:widowControl/>
      <w:spacing w:before="100" w:beforeAutospacing="1" w:after="100" w:afterAutospacing="1"/>
      <w:jc w:val="left"/>
    </w:pPr>
    <w:rPr>
      <w:rFonts w:ascii="宋体" w:hAnsi="宋体"/>
      <w:kern w:val="0"/>
      <w:sz w:val="24"/>
    </w:rPr>
  </w:style>
  <w:style w:type="character" w:customStyle="1" w:styleId="42">
    <w:name w:val="ca-2"/>
    <w:basedOn w:val="33"/>
    <w:qFormat/>
    <w:uiPriority w:val="0"/>
  </w:style>
  <w:style w:type="character" w:customStyle="1" w:styleId="43">
    <w:name w:val="16"/>
    <w:basedOn w:val="33"/>
    <w:qFormat/>
    <w:uiPriority w:val="0"/>
    <w:rPr>
      <w:rFonts w:hint="default" w:ascii="Times New Roman" w:hAnsi="Times New Roman" w:cs="Times New Roman"/>
    </w:rPr>
  </w:style>
  <w:style w:type="paragraph" w:styleId="44">
    <w:name w:val="List Paragraph"/>
    <w:basedOn w:val="1"/>
    <w:qFormat/>
    <w:uiPriority w:val="34"/>
    <w:pPr>
      <w:ind w:firstLine="420" w:firstLineChars="200"/>
    </w:pPr>
  </w:style>
  <w:style w:type="paragraph" w:customStyle="1" w:styleId="45">
    <w:name w:val="Table Heading"/>
    <w:basedOn w:val="46"/>
    <w:qFormat/>
    <w:uiPriority w:val="0"/>
    <w:pPr>
      <w:jc w:val="center"/>
    </w:pPr>
    <w:rPr>
      <w:b/>
      <w:bCs/>
    </w:rPr>
  </w:style>
  <w:style w:type="paragraph" w:customStyle="1" w:styleId="46">
    <w:name w:val="Table Contents"/>
    <w:basedOn w:val="1"/>
    <w:qFormat/>
    <w:uiPriority w:val="0"/>
    <w:pPr>
      <w:suppressLineNumbers/>
    </w:pPr>
  </w:style>
  <w:style w:type="paragraph" w:customStyle="1" w:styleId="47">
    <w:name w:val="正文 New New New New New New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48">
    <w:name w:val="Font Style17"/>
    <w:qFormat/>
    <w:uiPriority w:val="0"/>
    <w:rPr>
      <w:rFonts w:ascii="黑体" w:eastAsia="黑体" w:cs="黑体"/>
      <w:sz w:val="28"/>
      <w:szCs w:val="28"/>
    </w:rPr>
  </w:style>
  <w:style w:type="paragraph" w:customStyle="1" w:styleId="49">
    <w:name w:val="Table Text"/>
    <w:basedOn w:val="1"/>
    <w:semiHidden/>
    <w:qFormat/>
    <w:uiPriority w:val="0"/>
    <w:rPr>
      <w:rFonts w:ascii="宋体" w:hAnsi="宋体" w:eastAsia="宋体" w:cs="宋体"/>
      <w:sz w:val="18"/>
      <w:szCs w:val="18"/>
      <w:lang w:val="en-US" w:eastAsia="en-US" w:bidi="ar-SA"/>
    </w:rPr>
  </w:style>
  <w:style w:type="paragraph" w:customStyle="1" w:styleId="50">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1">
    <w:name w:val="null3"/>
    <w:hidden/>
    <w:qFormat/>
    <w:uiPriority w:val="0"/>
    <w:rPr>
      <w:rFonts w:hint="eastAsia" w:asciiTheme="minorHAnsi" w:hAnsiTheme="minorHAnsi" w:eastAsiaTheme="minorEastAsia" w:cstheme="minorBidi"/>
      <w:lang w:val="en-US" w:eastAsia="zh-Hans"/>
    </w:rPr>
  </w:style>
  <w:style w:type="paragraph" w:customStyle="1" w:styleId="52">
    <w:name w:val="Table Paragraph"/>
    <w:basedOn w:val="1"/>
    <w:qFormat/>
    <w:uiPriority w:val="1"/>
    <w:pPr>
      <w:widowControl w:val="0"/>
      <w:autoSpaceDE w:val="0"/>
      <w:autoSpaceDN w:val="0"/>
    </w:pPr>
    <w:rPr>
      <w:rFonts w:ascii="宋体" w:hAnsi="宋体" w:cs="宋体"/>
      <w:sz w:val="22"/>
      <w:szCs w:val="22"/>
      <w:lang w:val="zh-CN" w:bidi="zh-CN"/>
    </w:rPr>
  </w:style>
  <w:style w:type="paragraph" w:customStyle="1" w:styleId="53">
    <w:name w:val="_Style 3"/>
    <w:basedOn w:val="1"/>
    <w:qFormat/>
    <w:uiPriority w:val="0"/>
    <w:pPr>
      <w:widowControl/>
      <w:ind w:firstLine="420" w:firstLineChars="200"/>
      <w:jc w:val="left"/>
    </w:pPr>
    <w:rPr>
      <w:kern w:val="0"/>
      <w:sz w:val="20"/>
      <w:szCs w:val="20"/>
    </w:rPr>
  </w:style>
  <w:style w:type="paragraph" w:customStyle="1" w:styleId="54">
    <w:name w:val="正文00"/>
    <w:basedOn w:val="1"/>
    <w:qFormat/>
    <w:uiPriority w:val="0"/>
    <w:pPr>
      <w:topLinePunct/>
      <w:spacing w:line="360" w:lineRule="auto"/>
      <w:ind w:firstLine="200" w:firstLineChars="200"/>
    </w:pPr>
    <w:rPr>
      <w:rFonts w:ascii="Times New Roman" w:hAnsi="Times New Roman" w:eastAsia="宋体" w:cs="Times New Roman"/>
      <w:sz w:val="24"/>
      <w:szCs w:val="21"/>
    </w:rPr>
  </w:style>
  <w:style w:type="character" w:customStyle="1" w:styleId="55">
    <w:name w:val="font11"/>
    <w:basedOn w:val="33"/>
    <w:qFormat/>
    <w:uiPriority w:val="0"/>
    <w:rPr>
      <w:rFonts w:hint="eastAsia" w:ascii="宋体" w:hAnsi="宋体" w:eastAsia="宋体" w:cs="宋体"/>
      <w:color w:val="FF0000"/>
      <w:sz w:val="20"/>
      <w:szCs w:val="20"/>
      <w:u w:val="none"/>
    </w:rPr>
  </w:style>
  <w:style w:type="character" w:customStyle="1" w:styleId="56">
    <w:name w:val="font21"/>
    <w:basedOn w:val="33"/>
    <w:qFormat/>
    <w:uiPriority w:val="0"/>
    <w:rPr>
      <w:rFonts w:hint="eastAsia" w:ascii="宋体" w:hAnsi="宋体" w:eastAsia="宋体" w:cs="宋体"/>
      <w:color w:val="000000"/>
      <w:sz w:val="20"/>
      <w:szCs w:val="20"/>
      <w:u w:val="none"/>
    </w:rPr>
  </w:style>
  <w:style w:type="character" w:customStyle="1" w:styleId="57">
    <w:name w:val="font31"/>
    <w:basedOn w:val="33"/>
    <w:qFormat/>
    <w:uiPriority w:val="0"/>
    <w:rPr>
      <w:rFonts w:hint="eastAsia" w:ascii="宋体" w:hAnsi="宋体" w:eastAsia="宋体" w:cs="宋体"/>
      <w:b/>
      <w:bCs/>
      <w:color w:val="000000"/>
      <w:sz w:val="20"/>
      <w:szCs w:val="20"/>
      <w:u w:val="none"/>
    </w:rPr>
  </w:style>
  <w:style w:type="paragraph" w:customStyle="1" w:styleId="58">
    <w:name w:val="列出段落1"/>
    <w:basedOn w:val="1"/>
    <w:unhideWhenUsed/>
    <w:qFormat/>
    <w:uiPriority w:val="0"/>
    <w:pPr>
      <w:ind w:firstLine="420" w:firstLineChars="200"/>
    </w:pPr>
  </w:style>
  <w:style w:type="paragraph" w:customStyle="1" w:styleId="59">
    <w:name w:val="bt1bt1"/>
    <w:basedOn w:val="5"/>
    <w:qFormat/>
    <w:uiPriority w:val="0"/>
    <w:pPr>
      <w:spacing w:line="240" w:lineRule="auto"/>
      <w:jc w:val="center"/>
    </w:pPr>
    <w:rPr>
      <w:rFonts w:eastAsia="黑体"/>
      <w:b w:val="0"/>
      <w:sz w:val="36"/>
      <w:szCs w:val="36"/>
    </w:rPr>
  </w:style>
  <w:style w:type="paragraph" w:customStyle="1" w:styleId="60">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10346</Words>
  <Characters>11148</Characters>
  <Lines>0</Lines>
  <Paragraphs>0</Paragraphs>
  <TotalTime>6</TotalTime>
  <ScaleCrop>false</ScaleCrop>
  <LinksUpToDate>false</LinksUpToDate>
  <CharactersWithSpaces>11234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2024-12-24T07:02:00Z</dcterms:created>
  <dc:creator>MEEFOND</dc:creator>
  <cp:lastModifiedBy>south</cp:lastModifiedBy>
  <cp:lastPrinted>2025-04-24T01:21:00Z</cp:lastPrinted>
  <dcterms:modified xsi:type="dcterms:W3CDTF">2026-05-15T00:54:19Z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8BBA35F40D6C4771BB3FE22BC1D68A1C</vt:lpwstr>
  </property>
  <property fmtid="{D5CDD505-2E9C-101B-9397-08002B2CF9AE}" pid="4" name="KSOTemplateDocerSaveRecord">
    <vt:lpwstr>eyJoZGlkIjoiN2Q3YzM4N2MxZjljODZiOTQ5NGU2MDdjZGEwZGYzNTMiLCJ1c2VySWQiOiIyMzQ4Nzg3MDkifQ==</vt:lpwstr>
  </property>
</Properties>
</file>