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29103">
      <w:pPr>
        <w:pStyle w:val="3"/>
        <w:keepNext w:val="0"/>
        <w:keepLines w:val="0"/>
        <w:pageBreakBefore w:val="0"/>
        <w:widowControl w:val="0"/>
        <w:kinsoku/>
        <w:wordWrap/>
        <w:overflowPunct/>
        <w:topLinePunct w:val="0"/>
        <w:autoSpaceDE/>
        <w:autoSpaceDN/>
        <w:bidi w:val="0"/>
        <w:adjustRightInd/>
        <w:snapToGrid/>
        <w:ind w:firstLine="0"/>
        <w:jc w:val="both"/>
        <w:textAlignment w:val="auto"/>
        <w:rPr>
          <w:rFonts w:hint="eastAsia" w:ascii="宋体" w:hAnsi="宋体" w:cs="Times New Roman"/>
          <w:b/>
          <w:color w:val="000000"/>
          <w:spacing w:val="40"/>
          <w:sz w:val="40"/>
          <w:lang w:val="en-US" w:eastAsia="zh-CN"/>
        </w:rPr>
      </w:pPr>
      <w:bookmarkStart w:id="6" w:name="_GoBack"/>
      <w:bookmarkEnd w:id="6"/>
      <w:bookmarkStart w:id="0" w:name="OLE_LINK1"/>
      <w:r>
        <w:rPr>
          <w:rFonts w:hint="eastAsia" w:ascii="宋体" w:hAnsi="宋体" w:cs="宋体"/>
          <w:b/>
          <w:bCs/>
          <w:sz w:val="40"/>
          <w:szCs w:val="40"/>
          <w:highlight w:val="none"/>
          <w:shd w:val="clear" w:color="auto" w:fill="FFFFFF"/>
          <w:lang w:eastAsia="zh-CN"/>
        </w:rPr>
        <w:t>湛江热带农产品促消费活动宣传推广服务</w:t>
      </w:r>
    </w:p>
    <w:bookmarkEnd w:id="0"/>
    <w:p w14:paraId="011ADACB">
      <w:pPr>
        <w:spacing w:line="276" w:lineRule="auto"/>
        <w:jc w:val="center"/>
        <w:rPr>
          <w:rFonts w:hint="eastAsia" w:ascii="方正小标宋简体" w:hAnsi="方正小标宋简体" w:eastAsia="方正小标宋简体" w:cs="方正小标宋简体"/>
          <w:color w:val="000000"/>
          <w:spacing w:val="40"/>
          <w:sz w:val="96"/>
          <w:szCs w:val="96"/>
          <w:highlight w:val="none"/>
        </w:rPr>
      </w:pPr>
    </w:p>
    <w:p w14:paraId="2EFFF4AE">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报</w:t>
      </w:r>
    </w:p>
    <w:p w14:paraId="42184753">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0F3A4C36">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价</w:t>
      </w:r>
    </w:p>
    <w:p w14:paraId="5404E088">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41383950">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函</w:t>
      </w:r>
    </w:p>
    <w:p w14:paraId="33F7B320">
      <w:pPr>
        <w:spacing w:line="400" w:lineRule="exact"/>
        <w:jc w:val="center"/>
        <w:rPr>
          <w:rFonts w:ascii="仿宋" w:hAnsi="仿宋" w:eastAsia="仿宋" w:cs="仿宋"/>
          <w:color w:val="000000"/>
          <w:sz w:val="32"/>
          <w:szCs w:val="32"/>
          <w:highlight w:val="none"/>
        </w:rPr>
      </w:pPr>
    </w:p>
    <w:p w14:paraId="10A430C5">
      <w:pPr>
        <w:spacing w:line="400" w:lineRule="exact"/>
        <w:jc w:val="center"/>
        <w:rPr>
          <w:rFonts w:ascii="仿宋" w:hAnsi="仿宋" w:eastAsia="仿宋" w:cs="仿宋"/>
          <w:color w:val="000000"/>
          <w:sz w:val="32"/>
          <w:szCs w:val="32"/>
          <w:highlight w:val="none"/>
        </w:rPr>
      </w:pPr>
    </w:p>
    <w:p w14:paraId="3106757C">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报价供应商：</w:t>
      </w:r>
    </w:p>
    <w:p w14:paraId="5C696984">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联系人：</w:t>
      </w:r>
    </w:p>
    <w:p w14:paraId="22FB391F">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联系电话：</w:t>
      </w:r>
    </w:p>
    <w:p w14:paraId="537F7E47">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日期：  年  月  日</w:t>
      </w:r>
    </w:p>
    <w:p w14:paraId="74C9DD7F">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（加盖公章）</w:t>
      </w:r>
    </w:p>
    <w:p w14:paraId="36E30364">
      <w:pPr>
        <w:spacing w:line="480" w:lineRule="exact"/>
        <w:jc w:val="left"/>
        <w:rPr>
          <w:bCs/>
          <w:sz w:val="28"/>
          <w:szCs w:val="28"/>
          <w:highlight w:val="none"/>
        </w:rPr>
        <w:sectPr>
          <w:headerReference r:id="rId3" w:type="default"/>
          <w:footerReference r:id="rId4" w:type="default"/>
          <w:pgSz w:w="11906" w:h="16838"/>
          <w:pgMar w:top="1440" w:right="1800" w:bottom="1440" w:left="1800" w:header="851" w:footer="992" w:gutter="0"/>
          <w:cols w:space="425" w:num="1"/>
          <w:titlePg/>
          <w:docGrid w:type="lines" w:linePitch="312" w:charSpace="0"/>
        </w:sectPr>
      </w:pPr>
      <w:bookmarkStart w:id="1" w:name="_Toc1651923"/>
      <w:bookmarkStart w:id="2" w:name="_Toc54357675"/>
    </w:p>
    <w:bookmarkEnd w:id="1"/>
    <w:bookmarkEnd w:id="2"/>
    <w:p w14:paraId="77165994">
      <w:pPr>
        <w:pStyle w:val="8"/>
        <w:keepNext w:val="0"/>
        <w:keepLines w:val="0"/>
        <w:pageBreakBefore w:val="0"/>
        <w:widowControl/>
        <w:kinsoku/>
        <w:wordWrap/>
        <w:overflowPunct/>
        <w:topLinePunct w:val="0"/>
        <w:autoSpaceDE/>
        <w:autoSpaceDN/>
        <w:bidi w:val="0"/>
        <w:adjustRightInd/>
        <w:snapToGrid/>
        <w:spacing w:beforeAutospacing="0" w:afterAutospacing="0" w:line="440" w:lineRule="exact"/>
        <w:ind w:firstLine="560" w:firstLineChars="200"/>
        <w:jc w:val="both"/>
        <w:textAlignment w:val="auto"/>
        <w:rPr>
          <w:rFonts w:ascii="仿宋" w:hAnsi="仿宋" w:eastAsia="仿宋" w:cs="仿宋"/>
          <w:bCs/>
          <w:color w:val="000000"/>
          <w:kern w:val="0"/>
          <w:sz w:val="24"/>
          <w:szCs w:val="24"/>
          <w:highlight w:val="none"/>
        </w:rPr>
      </w:pPr>
      <w:r>
        <w:rPr>
          <w:rFonts w:hint="eastAsia" w:ascii="仿宋" w:hAnsi="仿宋" w:eastAsia="仿宋" w:cs="仿宋"/>
          <w:color w:val="000000"/>
          <w:sz w:val="28"/>
          <w:szCs w:val="28"/>
          <w:highlight w:val="none"/>
        </w:rPr>
        <w:t>经认真阅读“</w:t>
      </w:r>
      <w:r>
        <w:rPr>
          <w:rFonts w:hint="eastAsia" w:ascii="仿宋" w:hAnsi="仿宋" w:eastAsia="仿宋" w:cs="仿宋"/>
          <w:color w:val="000000"/>
          <w:sz w:val="28"/>
          <w:szCs w:val="28"/>
          <w:highlight w:val="none"/>
          <w:lang w:eastAsia="zh-CN"/>
        </w:rPr>
        <w:t>湛江热带农产品促消费活动宣传推广服务</w:t>
      </w:r>
      <w:r>
        <w:rPr>
          <w:rFonts w:hint="eastAsia" w:ascii="仿宋" w:hAnsi="仿宋" w:eastAsia="仿宋" w:cs="仿宋"/>
          <w:color w:val="000000"/>
          <w:sz w:val="28"/>
          <w:szCs w:val="28"/>
          <w:highlight w:val="none"/>
        </w:rPr>
        <w:t>”采购公告，我司符合本项目的资格条件，已完全了解采购公告相关内容，承诺按照采购公告的要求提供产品和服务。分项明细报价与总报价（单位：人民币元）如下：</w:t>
      </w:r>
    </w:p>
    <w:p w14:paraId="0BCE2469">
      <w:pPr>
        <w:numPr>
          <w:ilvl w:val="0"/>
          <w:numId w:val="1"/>
        </w:numPr>
        <w:spacing w:after="200" w:line="400" w:lineRule="exact"/>
        <w:jc w:val="center"/>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报价表</w:t>
      </w:r>
    </w:p>
    <w:tbl>
      <w:tblPr>
        <w:tblStyle w:val="12"/>
        <w:tblW w:w="8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85"/>
        <w:gridCol w:w="1267"/>
        <w:gridCol w:w="2890"/>
        <w:gridCol w:w="663"/>
        <w:gridCol w:w="750"/>
        <w:gridCol w:w="1300"/>
        <w:gridCol w:w="1043"/>
      </w:tblGrid>
      <w:tr w14:paraId="0B67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85" w:type="dxa"/>
            <w:shd w:val="clear" w:color="auto" w:fill="auto"/>
            <w:noWrap/>
            <w:vAlign w:val="center"/>
          </w:tcPr>
          <w:p w14:paraId="20C6DC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序号</w:t>
            </w:r>
          </w:p>
        </w:tc>
        <w:tc>
          <w:tcPr>
            <w:tcW w:w="1267" w:type="dxa"/>
            <w:shd w:val="clear" w:color="auto" w:fill="auto"/>
            <w:noWrap/>
            <w:vAlign w:val="center"/>
          </w:tcPr>
          <w:p w14:paraId="4036BE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项目类别</w:t>
            </w:r>
          </w:p>
        </w:tc>
        <w:tc>
          <w:tcPr>
            <w:tcW w:w="2890" w:type="dxa"/>
            <w:shd w:val="clear" w:color="auto" w:fill="auto"/>
            <w:noWrap/>
            <w:vAlign w:val="center"/>
          </w:tcPr>
          <w:p w14:paraId="255CF8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具体内容</w:t>
            </w:r>
          </w:p>
        </w:tc>
        <w:tc>
          <w:tcPr>
            <w:tcW w:w="663" w:type="dxa"/>
            <w:shd w:val="clear" w:color="auto" w:fill="auto"/>
            <w:noWrap/>
            <w:vAlign w:val="center"/>
          </w:tcPr>
          <w:p w14:paraId="0D83EC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数量</w:t>
            </w:r>
          </w:p>
        </w:tc>
        <w:tc>
          <w:tcPr>
            <w:tcW w:w="750" w:type="dxa"/>
            <w:shd w:val="clear" w:color="auto" w:fill="auto"/>
            <w:noWrap/>
            <w:vAlign w:val="center"/>
          </w:tcPr>
          <w:p w14:paraId="57355B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单位</w:t>
            </w:r>
          </w:p>
        </w:tc>
        <w:tc>
          <w:tcPr>
            <w:tcW w:w="1300" w:type="dxa"/>
            <w:shd w:val="clear" w:color="auto" w:fill="auto"/>
            <w:noWrap/>
            <w:vAlign w:val="center"/>
          </w:tcPr>
          <w:p w14:paraId="74C1AB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单价</w:t>
            </w:r>
            <w:r>
              <w:rPr>
                <w:rFonts w:hint="eastAsia" w:ascii="宋体" w:hAnsi="宋体" w:cs="宋体"/>
                <w:i w:val="0"/>
                <w:iCs w:val="0"/>
                <w:color w:val="000000"/>
                <w:kern w:val="0"/>
                <w:sz w:val="24"/>
                <w:szCs w:val="24"/>
                <w:u w:val="none"/>
                <w:lang w:val="en-US" w:eastAsia="zh-CN"/>
              </w:rPr>
              <w:t>（元）</w:t>
            </w:r>
          </w:p>
        </w:tc>
        <w:tc>
          <w:tcPr>
            <w:tcW w:w="1043" w:type="dxa"/>
            <w:shd w:val="clear" w:color="auto" w:fill="auto"/>
            <w:noWrap/>
            <w:vAlign w:val="center"/>
          </w:tcPr>
          <w:p w14:paraId="5355C7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总价</w:t>
            </w:r>
            <w:r>
              <w:rPr>
                <w:rFonts w:hint="eastAsia" w:ascii="宋体" w:hAnsi="宋体" w:cs="宋体"/>
                <w:i w:val="0"/>
                <w:iCs w:val="0"/>
                <w:color w:val="000000"/>
                <w:kern w:val="0"/>
                <w:sz w:val="24"/>
                <w:szCs w:val="24"/>
                <w:u w:val="none"/>
                <w:lang w:val="en-US" w:eastAsia="zh-CN"/>
              </w:rPr>
              <w:t>（元）</w:t>
            </w:r>
          </w:p>
        </w:tc>
      </w:tr>
      <w:tr w14:paraId="59C6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trPr>
        <w:tc>
          <w:tcPr>
            <w:tcW w:w="685" w:type="dxa"/>
            <w:shd w:val="clear" w:color="auto" w:fill="auto"/>
            <w:noWrap/>
            <w:vAlign w:val="center"/>
          </w:tcPr>
          <w:p w14:paraId="03C337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w:t>
            </w:r>
          </w:p>
        </w:tc>
        <w:tc>
          <w:tcPr>
            <w:tcW w:w="1267" w:type="dxa"/>
            <w:shd w:val="clear" w:color="auto" w:fill="auto"/>
            <w:noWrap/>
            <w:vAlign w:val="center"/>
          </w:tcPr>
          <w:p w14:paraId="12015953">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热促会</w:t>
            </w:r>
          </w:p>
          <w:p w14:paraId="0BF6220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宣传片</w:t>
            </w:r>
          </w:p>
        </w:tc>
        <w:tc>
          <w:tcPr>
            <w:tcW w:w="2890" w:type="dxa"/>
            <w:shd w:val="clear" w:color="auto" w:fill="auto"/>
            <w:vAlign w:val="center"/>
          </w:tcPr>
          <w:p w14:paraId="5F65AE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主宣传片成片1条（视频时长约4分钟），以“热作种业·全球协同——筑牢热带农业‘中国芯’”，推动种业振兴与国际合作为主题，含：宣传片脚本、素材购买、剪辑、后期制作。</w:t>
            </w:r>
          </w:p>
        </w:tc>
        <w:tc>
          <w:tcPr>
            <w:tcW w:w="663" w:type="dxa"/>
            <w:shd w:val="clear" w:color="auto" w:fill="auto"/>
            <w:noWrap/>
            <w:vAlign w:val="center"/>
          </w:tcPr>
          <w:p w14:paraId="2DF925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w:t>
            </w:r>
          </w:p>
        </w:tc>
        <w:tc>
          <w:tcPr>
            <w:tcW w:w="750" w:type="dxa"/>
            <w:shd w:val="clear" w:color="auto" w:fill="auto"/>
            <w:noWrap/>
            <w:vAlign w:val="center"/>
          </w:tcPr>
          <w:p w14:paraId="0DBED9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条</w:t>
            </w:r>
          </w:p>
        </w:tc>
        <w:tc>
          <w:tcPr>
            <w:tcW w:w="1300" w:type="dxa"/>
            <w:shd w:val="clear" w:color="auto" w:fill="auto"/>
            <w:noWrap/>
            <w:vAlign w:val="center"/>
          </w:tcPr>
          <w:p w14:paraId="2F0DEF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43" w:type="dxa"/>
            <w:shd w:val="clear" w:color="auto" w:fill="auto"/>
            <w:noWrap/>
            <w:vAlign w:val="center"/>
          </w:tcPr>
          <w:p w14:paraId="1D907C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1E3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2" w:hRule="atLeast"/>
        </w:trPr>
        <w:tc>
          <w:tcPr>
            <w:tcW w:w="685" w:type="dxa"/>
            <w:shd w:val="clear" w:color="auto" w:fill="auto"/>
            <w:noWrap/>
            <w:vAlign w:val="center"/>
          </w:tcPr>
          <w:p w14:paraId="00D4E4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w:t>
            </w:r>
          </w:p>
        </w:tc>
        <w:tc>
          <w:tcPr>
            <w:tcW w:w="1267" w:type="dxa"/>
            <w:shd w:val="clear" w:color="auto" w:fill="auto"/>
            <w:vAlign w:val="center"/>
          </w:tcPr>
          <w:p w14:paraId="1F974F6F">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AI创意</w:t>
            </w:r>
          </w:p>
          <w:p w14:paraId="53EAF7A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视频</w:t>
            </w:r>
          </w:p>
        </w:tc>
        <w:tc>
          <w:tcPr>
            <w:tcW w:w="2890" w:type="dxa"/>
            <w:shd w:val="clear" w:color="auto" w:fill="auto"/>
            <w:vAlign w:val="center"/>
          </w:tcPr>
          <w:p w14:paraId="7339563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AI创意视频，以“链”、“销”字体现广东特色热带作物，视觉化产品。</w:t>
            </w: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视频1：链”——展示从田间到餐桌的全产业链，强调广东热作的供应链能力。</w:t>
            </w: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视频2：“销”——展示采购商、电商平台、批发市场的成交场景，突出“促消费”主题。</w:t>
            </w:r>
          </w:p>
          <w:p w14:paraId="75C461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含：视频制作，视频脚本2条，所消耗的Token，每条视频时长15-30秒，成片分辨率不低于1080P，提供三次免费修改。</w:t>
            </w:r>
          </w:p>
        </w:tc>
        <w:tc>
          <w:tcPr>
            <w:tcW w:w="663" w:type="dxa"/>
            <w:shd w:val="clear" w:color="auto" w:fill="auto"/>
            <w:noWrap/>
            <w:vAlign w:val="center"/>
          </w:tcPr>
          <w:p w14:paraId="255C96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w:t>
            </w:r>
          </w:p>
        </w:tc>
        <w:tc>
          <w:tcPr>
            <w:tcW w:w="750" w:type="dxa"/>
            <w:shd w:val="clear" w:color="auto" w:fill="auto"/>
            <w:noWrap/>
            <w:vAlign w:val="center"/>
          </w:tcPr>
          <w:p w14:paraId="0ADC0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条</w:t>
            </w:r>
          </w:p>
        </w:tc>
        <w:tc>
          <w:tcPr>
            <w:tcW w:w="1300" w:type="dxa"/>
            <w:shd w:val="clear" w:color="auto" w:fill="auto"/>
            <w:noWrap/>
            <w:vAlign w:val="center"/>
          </w:tcPr>
          <w:p w14:paraId="0B3907C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043" w:type="dxa"/>
            <w:shd w:val="clear" w:color="auto" w:fill="auto"/>
            <w:noWrap/>
            <w:vAlign w:val="center"/>
          </w:tcPr>
          <w:p w14:paraId="22D256A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r>
      <w:tr w14:paraId="0425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685" w:type="dxa"/>
            <w:shd w:val="clear" w:color="auto" w:fill="auto"/>
            <w:noWrap/>
            <w:vAlign w:val="center"/>
          </w:tcPr>
          <w:p w14:paraId="5A1E79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w:t>
            </w:r>
          </w:p>
        </w:tc>
        <w:tc>
          <w:tcPr>
            <w:tcW w:w="1267" w:type="dxa"/>
            <w:shd w:val="clear" w:color="auto" w:fill="auto"/>
            <w:vAlign w:val="center"/>
          </w:tcPr>
          <w:p w14:paraId="1848139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“热作十二时辰”:短视频系列</w:t>
            </w:r>
          </w:p>
        </w:tc>
        <w:tc>
          <w:tcPr>
            <w:tcW w:w="2890" w:type="dxa"/>
            <w:shd w:val="clear" w:color="auto" w:fill="auto"/>
            <w:vAlign w:val="center"/>
          </w:tcPr>
          <w:p w14:paraId="488FA5C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内容：从凌晨的渔港交易、清晨的菠萝田采收、正午的预制菜车间、傍晚的月饼烘焙、深夜的冷链物流……选取12个关键场景，展现湛江热作产业的真实肌理。</w:t>
            </w:r>
          </w:p>
          <w:p w14:paraId="4D10E3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含：每条视频不同地点进行拍摄，含：视频框架脚本5条，视频剪辑，视频源素材由企业方提供，每条视频时长15-30秒，成片分辨率不低于1080P。</w:t>
            </w:r>
          </w:p>
        </w:tc>
        <w:tc>
          <w:tcPr>
            <w:tcW w:w="663" w:type="dxa"/>
            <w:shd w:val="clear" w:color="auto" w:fill="auto"/>
            <w:noWrap/>
            <w:vAlign w:val="center"/>
          </w:tcPr>
          <w:p w14:paraId="6BFAEF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w:t>
            </w:r>
          </w:p>
        </w:tc>
        <w:tc>
          <w:tcPr>
            <w:tcW w:w="750" w:type="dxa"/>
            <w:shd w:val="clear" w:color="auto" w:fill="auto"/>
            <w:noWrap/>
            <w:vAlign w:val="center"/>
          </w:tcPr>
          <w:p w14:paraId="3E6807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条</w:t>
            </w:r>
          </w:p>
        </w:tc>
        <w:tc>
          <w:tcPr>
            <w:tcW w:w="1300" w:type="dxa"/>
            <w:shd w:val="clear" w:color="auto" w:fill="auto"/>
            <w:noWrap/>
            <w:vAlign w:val="center"/>
          </w:tcPr>
          <w:p w14:paraId="7567250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043" w:type="dxa"/>
            <w:shd w:val="clear" w:color="auto" w:fill="auto"/>
            <w:noWrap/>
            <w:vAlign w:val="center"/>
          </w:tcPr>
          <w:p w14:paraId="2D06978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r>
      <w:tr w14:paraId="6D5F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685" w:type="dxa"/>
            <w:shd w:val="clear" w:color="auto" w:fill="auto"/>
            <w:noWrap/>
            <w:vAlign w:val="center"/>
          </w:tcPr>
          <w:p w14:paraId="1095D0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w:t>
            </w:r>
          </w:p>
        </w:tc>
        <w:tc>
          <w:tcPr>
            <w:tcW w:w="1267" w:type="dxa"/>
            <w:shd w:val="clear" w:color="auto" w:fill="auto"/>
            <w:noWrap/>
            <w:vAlign w:val="center"/>
          </w:tcPr>
          <w:p w14:paraId="08DC13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参展企业视频</w:t>
            </w:r>
          </w:p>
        </w:tc>
        <w:tc>
          <w:tcPr>
            <w:tcW w:w="2890" w:type="dxa"/>
            <w:shd w:val="clear" w:color="auto" w:fill="auto"/>
            <w:vAlign w:val="center"/>
          </w:tcPr>
          <w:p w14:paraId="60E13CA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参展企业定制 “一企一片” 专属短视频：以企业品牌与核心产品为主线，突出产品卖点（产地优势、品质特点、加工工艺等），融合、生产车间、结尾植入企业展位号与联系方式，兼顾展会大屏播放与线上传播，强化品牌露出与招商引流。</w:t>
            </w:r>
          </w:p>
          <w:p w14:paraId="33FF78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含：视频框架脚本1条，视频剪辑，视频源素材由企业方提供，15-30秒，成片分辨率不低于1080P。每条视频时长15-30秒，成片分辨率不低于1080P。</w:t>
            </w:r>
          </w:p>
        </w:tc>
        <w:tc>
          <w:tcPr>
            <w:tcW w:w="663" w:type="dxa"/>
            <w:shd w:val="clear" w:color="auto" w:fill="auto"/>
            <w:noWrap/>
            <w:vAlign w:val="center"/>
          </w:tcPr>
          <w:p w14:paraId="6C2532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w:t>
            </w:r>
          </w:p>
        </w:tc>
        <w:tc>
          <w:tcPr>
            <w:tcW w:w="750" w:type="dxa"/>
            <w:shd w:val="clear" w:color="auto" w:fill="auto"/>
            <w:noWrap/>
            <w:vAlign w:val="center"/>
          </w:tcPr>
          <w:p w14:paraId="729692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条</w:t>
            </w:r>
          </w:p>
        </w:tc>
        <w:tc>
          <w:tcPr>
            <w:tcW w:w="1300" w:type="dxa"/>
            <w:shd w:val="clear" w:color="auto" w:fill="auto"/>
            <w:noWrap/>
            <w:vAlign w:val="center"/>
          </w:tcPr>
          <w:p w14:paraId="59ED9F5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043" w:type="dxa"/>
            <w:shd w:val="clear" w:color="auto" w:fill="auto"/>
            <w:noWrap/>
            <w:vAlign w:val="center"/>
          </w:tcPr>
          <w:p w14:paraId="65BBBAD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r>
      <w:tr w14:paraId="5BB2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685" w:type="dxa"/>
            <w:shd w:val="clear" w:color="auto" w:fill="auto"/>
            <w:noWrap/>
            <w:vAlign w:val="center"/>
          </w:tcPr>
          <w:p w14:paraId="0EE7E7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w:t>
            </w:r>
          </w:p>
        </w:tc>
        <w:tc>
          <w:tcPr>
            <w:tcW w:w="1267" w:type="dxa"/>
            <w:shd w:val="clear" w:color="auto" w:fill="auto"/>
            <w:vAlign w:val="center"/>
          </w:tcPr>
          <w:p w14:paraId="179875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动态海报系列</w:t>
            </w:r>
          </w:p>
        </w:tc>
        <w:tc>
          <w:tcPr>
            <w:tcW w:w="2890" w:type="dxa"/>
            <w:shd w:val="clear" w:color="auto" w:fill="auto"/>
            <w:vAlign w:val="center"/>
          </w:tcPr>
          <w:p w14:paraId="59EDFB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现有动态海报6张，按品类介绍统一视觉语言为</w:t>
            </w: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“湛品色卡”——每张海报以一款产品的天然颜色为主色调（菠萝黄、红橙橘、金鲳银、对虾红、丝苗米白、南药褐），配合一句极简文案，形成视觉锤效应，适合朋友圈九宫格和抖音封面传播，含高清原视频图 GIF/MP4格式（根据具体上线平台配套输出格式）3～5秒左右循环动效，分辨率不低于1080P，提供三次免费修改。</w:t>
            </w:r>
          </w:p>
        </w:tc>
        <w:tc>
          <w:tcPr>
            <w:tcW w:w="663" w:type="dxa"/>
            <w:shd w:val="clear" w:color="auto" w:fill="auto"/>
            <w:noWrap/>
            <w:vAlign w:val="center"/>
          </w:tcPr>
          <w:p w14:paraId="6BBCEA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w:t>
            </w:r>
          </w:p>
        </w:tc>
        <w:tc>
          <w:tcPr>
            <w:tcW w:w="750" w:type="dxa"/>
            <w:shd w:val="clear" w:color="auto" w:fill="auto"/>
            <w:noWrap/>
            <w:vAlign w:val="center"/>
          </w:tcPr>
          <w:p w14:paraId="77699E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张</w:t>
            </w:r>
          </w:p>
        </w:tc>
        <w:tc>
          <w:tcPr>
            <w:tcW w:w="1300" w:type="dxa"/>
            <w:shd w:val="clear" w:color="auto" w:fill="auto"/>
            <w:noWrap/>
            <w:vAlign w:val="center"/>
          </w:tcPr>
          <w:p w14:paraId="790933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43" w:type="dxa"/>
            <w:shd w:val="clear" w:color="auto" w:fill="auto"/>
            <w:noWrap/>
            <w:vAlign w:val="center"/>
          </w:tcPr>
          <w:p w14:paraId="17DBDD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5AE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85" w:type="dxa"/>
            <w:shd w:val="clear" w:color="auto" w:fill="auto"/>
            <w:noWrap/>
            <w:vAlign w:val="center"/>
          </w:tcPr>
          <w:p w14:paraId="3E4851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w:t>
            </w:r>
          </w:p>
        </w:tc>
        <w:tc>
          <w:tcPr>
            <w:tcW w:w="1267" w:type="dxa"/>
            <w:shd w:val="clear" w:color="auto" w:fill="auto"/>
            <w:noWrap/>
            <w:vAlign w:val="center"/>
          </w:tcPr>
          <w:p w14:paraId="192F08F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会刊</w:t>
            </w:r>
          </w:p>
          <w:p w14:paraId="107860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设计</w:t>
            </w:r>
          </w:p>
        </w:tc>
        <w:tc>
          <w:tcPr>
            <w:tcW w:w="2890" w:type="dxa"/>
            <w:shd w:val="clear" w:color="auto" w:fill="auto"/>
            <w:vAlign w:val="center"/>
          </w:tcPr>
          <w:p w14:paraId="3AA30A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会刊设计服务包含基于主LV整体版式规划、图文排版、封面封底创意设计、内页栏目编排，统筹素材校对优化，打造兼具观赏性与信息展示力的活动官方刊物。</w:t>
            </w:r>
          </w:p>
        </w:tc>
        <w:tc>
          <w:tcPr>
            <w:tcW w:w="663" w:type="dxa"/>
            <w:shd w:val="clear" w:color="auto" w:fill="auto"/>
            <w:noWrap/>
            <w:vAlign w:val="center"/>
          </w:tcPr>
          <w:p w14:paraId="153AAC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w:t>
            </w:r>
          </w:p>
        </w:tc>
        <w:tc>
          <w:tcPr>
            <w:tcW w:w="750" w:type="dxa"/>
            <w:shd w:val="clear" w:color="auto" w:fill="auto"/>
            <w:noWrap/>
            <w:vAlign w:val="center"/>
          </w:tcPr>
          <w:p w14:paraId="4E7BB4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项</w:t>
            </w:r>
          </w:p>
        </w:tc>
        <w:tc>
          <w:tcPr>
            <w:tcW w:w="1300" w:type="dxa"/>
            <w:shd w:val="clear" w:color="auto" w:fill="auto"/>
            <w:noWrap/>
            <w:vAlign w:val="center"/>
          </w:tcPr>
          <w:p w14:paraId="6743FE0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043" w:type="dxa"/>
            <w:shd w:val="clear" w:color="auto" w:fill="auto"/>
            <w:noWrap/>
            <w:vAlign w:val="center"/>
          </w:tcPr>
          <w:p w14:paraId="6A48A24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r>
      <w:tr w14:paraId="7B4F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85" w:type="dxa"/>
            <w:shd w:val="clear" w:color="auto" w:fill="auto"/>
            <w:noWrap/>
            <w:vAlign w:val="center"/>
          </w:tcPr>
          <w:p w14:paraId="35F2DE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7</w:t>
            </w:r>
          </w:p>
        </w:tc>
        <w:tc>
          <w:tcPr>
            <w:tcW w:w="1267" w:type="dxa"/>
            <w:shd w:val="clear" w:color="auto" w:fill="auto"/>
            <w:noWrap/>
            <w:vAlign w:val="center"/>
          </w:tcPr>
          <w:p w14:paraId="478A57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广告投放设计</w:t>
            </w:r>
          </w:p>
        </w:tc>
        <w:tc>
          <w:tcPr>
            <w:tcW w:w="2890" w:type="dxa"/>
            <w:shd w:val="clear" w:color="auto" w:fill="auto"/>
            <w:vAlign w:val="center"/>
          </w:tcPr>
          <w:p w14:paraId="5E2249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线下广告投放设计服务，涵盖海报、展板、道旗等物料创意设计，完成画面排版、图文优化，输出适配不同线下点位的印刷文件，配合落地宣传，强化活动现场视觉曝光效果。</w:t>
            </w:r>
          </w:p>
        </w:tc>
        <w:tc>
          <w:tcPr>
            <w:tcW w:w="663" w:type="dxa"/>
            <w:shd w:val="clear" w:color="auto" w:fill="auto"/>
            <w:noWrap/>
            <w:vAlign w:val="center"/>
          </w:tcPr>
          <w:p w14:paraId="3292B6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w:t>
            </w:r>
          </w:p>
        </w:tc>
        <w:tc>
          <w:tcPr>
            <w:tcW w:w="750" w:type="dxa"/>
            <w:shd w:val="clear" w:color="auto" w:fill="auto"/>
            <w:noWrap/>
            <w:vAlign w:val="center"/>
          </w:tcPr>
          <w:p w14:paraId="2E92E9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项</w:t>
            </w:r>
          </w:p>
        </w:tc>
        <w:tc>
          <w:tcPr>
            <w:tcW w:w="1300" w:type="dxa"/>
            <w:shd w:val="clear" w:color="auto" w:fill="auto"/>
            <w:noWrap/>
            <w:vAlign w:val="center"/>
          </w:tcPr>
          <w:p w14:paraId="4B30933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043" w:type="dxa"/>
            <w:shd w:val="clear" w:color="auto" w:fill="auto"/>
            <w:noWrap/>
            <w:vAlign w:val="center"/>
          </w:tcPr>
          <w:p w14:paraId="542FEDB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r>
      <w:tr w14:paraId="3475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85" w:type="dxa"/>
            <w:shd w:val="clear" w:color="auto" w:fill="auto"/>
            <w:noWrap/>
            <w:vAlign w:val="center"/>
          </w:tcPr>
          <w:p w14:paraId="3A480F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8</w:t>
            </w:r>
          </w:p>
        </w:tc>
        <w:tc>
          <w:tcPr>
            <w:tcW w:w="1267" w:type="dxa"/>
            <w:shd w:val="clear" w:color="auto" w:fill="auto"/>
            <w:noWrap/>
            <w:vAlign w:val="center"/>
          </w:tcPr>
          <w:p w14:paraId="7C25C6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视频封面设计</w:t>
            </w:r>
          </w:p>
        </w:tc>
        <w:tc>
          <w:tcPr>
            <w:tcW w:w="2890" w:type="dxa"/>
            <w:shd w:val="clear" w:color="auto" w:fill="auto"/>
            <w:vAlign w:val="center"/>
          </w:tcPr>
          <w:p w14:paraId="7968E1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视频封面设计服务，采用 9:16 竖版规格，完成主题视觉创作、主标题文案排版、重点信息提炼，优化画面抓眼度，输出适配短视频平台封面源文件，提升视频点击率与传播效果。</w:t>
            </w:r>
          </w:p>
        </w:tc>
        <w:tc>
          <w:tcPr>
            <w:tcW w:w="663" w:type="dxa"/>
            <w:shd w:val="clear" w:color="auto" w:fill="auto"/>
            <w:noWrap/>
            <w:vAlign w:val="center"/>
          </w:tcPr>
          <w:p w14:paraId="3BDEC19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rPr>
              <w:t>37</w:t>
            </w:r>
          </w:p>
        </w:tc>
        <w:tc>
          <w:tcPr>
            <w:tcW w:w="750" w:type="dxa"/>
            <w:shd w:val="clear" w:color="auto" w:fill="auto"/>
            <w:noWrap/>
            <w:vAlign w:val="center"/>
          </w:tcPr>
          <w:p w14:paraId="67933B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张</w:t>
            </w:r>
          </w:p>
        </w:tc>
        <w:tc>
          <w:tcPr>
            <w:tcW w:w="1300" w:type="dxa"/>
            <w:shd w:val="clear" w:color="auto" w:fill="auto"/>
            <w:noWrap/>
            <w:vAlign w:val="center"/>
          </w:tcPr>
          <w:p w14:paraId="1CE8FF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43" w:type="dxa"/>
            <w:shd w:val="clear" w:color="auto" w:fill="auto"/>
            <w:noWrap/>
            <w:vAlign w:val="center"/>
          </w:tcPr>
          <w:p w14:paraId="1EA466F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r>
      <w:tr w14:paraId="0E89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85" w:type="dxa"/>
            <w:shd w:val="clear" w:color="auto" w:fill="auto"/>
            <w:noWrap/>
            <w:vAlign w:val="center"/>
          </w:tcPr>
          <w:p w14:paraId="7746DA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9</w:t>
            </w:r>
          </w:p>
        </w:tc>
        <w:tc>
          <w:tcPr>
            <w:tcW w:w="1267" w:type="dxa"/>
            <w:shd w:val="clear" w:color="auto" w:fill="auto"/>
            <w:noWrap/>
            <w:vAlign w:val="center"/>
          </w:tcPr>
          <w:p w14:paraId="72F8F0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广告</w:t>
            </w:r>
          </w:p>
          <w:p w14:paraId="32F235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投放</w:t>
            </w:r>
          </w:p>
        </w:tc>
        <w:tc>
          <w:tcPr>
            <w:tcW w:w="2890" w:type="dxa"/>
            <w:shd w:val="clear" w:color="auto" w:fill="auto"/>
            <w:vAlign w:val="center"/>
          </w:tcPr>
          <w:p w14:paraId="2FA3435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依托湛江城市核心商圈广告展示完成从泛客流覆盖到高净值业主精准触达的全链路营销。能全面放大品牌影响力，为项目快速打开市场、引爆客流提供扎实线下传播支撑。</w:t>
            </w: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湛江北站广告屏2块，投放时间不少于20天，尺寸为2.26m*6.45m，</w:t>
            </w:r>
          </w:p>
          <w:p w14:paraId="03BE40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户外LED屏，1块，投放时间不少于20天，尺寸为横屏16:9。</w:t>
            </w:r>
          </w:p>
        </w:tc>
        <w:tc>
          <w:tcPr>
            <w:tcW w:w="663" w:type="dxa"/>
            <w:shd w:val="clear" w:color="auto" w:fill="auto"/>
            <w:noWrap/>
            <w:vAlign w:val="center"/>
          </w:tcPr>
          <w:p w14:paraId="1C0FAE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w:t>
            </w:r>
          </w:p>
        </w:tc>
        <w:tc>
          <w:tcPr>
            <w:tcW w:w="750" w:type="dxa"/>
            <w:shd w:val="clear" w:color="auto" w:fill="auto"/>
            <w:noWrap/>
            <w:vAlign w:val="center"/>
          </w:tcPr>
          <w:p w14:paraId="1D2CC4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项</w:t>
            </w:r>
          </w:p>
        </w:tc>
        <w:tc>
          <w:tcPr>
            <w:tcW w:w="1300" w:type="dxa"/>
            <w:shd w:val="clear" w:color="auto" w:fill="auto"/>
            <w:noWrap/>
            <w:vAlign w:val="center"/>
          </w:tcPr>
          <w:p w14:paraId="32C7B6B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043" w:type="dxa"/>
            <w:shd w:val="clear" w:color="auto" w:fill="auto"/>
            <w:noWrap/>
            <w:vAlign w:val="center"/>
          </w:tcPr>
          <w:p w14:paraId="5799984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r>
      <w:tr w14:paraId="23634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85" w:type="dxa"/>
            <w:shd w:val="clear" w:color="auto" w:fill="auto"/>
            <w:noWrap/>
            <w:vAlign w:val="center"/>
          </w:tcPr>
          <w:p w14:paraId="2B7CD7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10</w:t>
            </w:r>
          </w:p>
        </w:tc>
        <w:tc>
          <w:tcPr>
            <w:tcW w:w="1267" w:type="dxa"/>
            <w:shd w:val="clear" w:color="auto" w:fill="auto"/>
            <w:noWrap/>
            <w:vAlign w:val="center"/>
          </w:tcPr>
          <w:p w14:paraId="7679CC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线上</w:t>
            </w:r>
          </w:p>
          <w:p w14:paraId="00A637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营销</w:t>
            </w:r>
          </w:p>
        </w:tc>
        <w:tc>
          <w:tcPr>
            <w:tcW w:w="2890" w:type="dxa"/>
            <w:shd w:val="clear" w:color="auto" w:fill="auto"/>
            <w:vAlign w:val="center"/>
          </w:tcPr>
          <w:p w14:paraId="68D859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湛江热促会全网营销服务涵盖引流、品牌、口碑、跟踪四大板块，含 SEO/GEO 优化、问答获客、百科词条、自媒体分发、新闻包装及在线客服等。</w:t>
            </w:r>
          </w:p>
        </w:tc>
        <w:tc>
          <w:tcPr>
            <w:tcW w:w="663" w:type="dxa"/>
            <w:shd w:val="clear" w:color="auto" w:fill="auto"/>
            <w:noWrap/>
            <w:vAlign w:val="center"/>
          </w:tcPr>
          <w:p w14:paraId="4583B9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w:t>
            </w:r>
          </w:p>
        </w:tc>
        <w:tc>
          <w:tcPr>
            <w:tcW w:w="750" w:type="dxa"/>
            <w:shd w:val="clear" w:color="auto" w:fill="auto"/>
            <w:noWrap/>
            <w:vAlign w:val="center"/>
          </w:tcPr>
          <w:p w14:paraId="4F9A46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项</w:t>
            </w:r>
          </w:p>
        </w:tc>
        <w:tc>
          <w:tcPr>
            <w:tcW w:w="1300" w:type="dxa"/>
            <w:shd w:val="clear" w:color="auto" w:fill="auto"/>
            <w:noWrap/>
            <w:vAlign w:val="center"/>
          </w:tcPr>
          <w:p w14:paraId="684684A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043" w:type="dxa"/>
            <w:shd w:val="clear" w:color="auto" w:fill="auto"/>
            <w:noWrap/>
            <w:vAlign w:val="center"/>
          </w:tcPr>
          <w:p w14:paraId="038C8A4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r>
      <w:tr w14:paraId="226E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85" w:type="dxa"/>
            <w:shd w:val="clear" w:color="auto" w:fill="auto"/>
            <w:noWrap/>
            <w:vAlign w:val="center"/>
          </w:tcPr>
          <w:p w14:paraId="624BD9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11</w:t>
            </w:r>
          </w:p>
        </w:tc>
        <w:tc>
          <w:tcPr>
            <w:tcW w:w="1267" w:type="dxa"/>
            <w:shd w:val="clear" w:color="auto" w:fill="auto"/>
            <w:noWrap/>
            <w:vAlign w:val="center"/>
          </w:tcPr>
          <w:p w14:paraId="264EEB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现场活动视频拍摄</w:t>
            </w:r>
          </w:p>
        </w:tc>
        <w:tc>
          <w:tcPr>
            <w:tcW w:w="2890" w:type="dxa"/>
            <w:shd w:val="clear" w:color="auto" w:fill="auto"/>
            <w:vAlign w:val="center"/>
          </w:tcPr>
          <w:p w14:paraId="557C0B0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参展企业现场热点追踪，以广货行天下“湛品”促振兴，我在湛江，我为湛江热播会点赞为开场主题，介绍参展企业产品，展会现场及企业负责人出镜等素材，强化品牌露出与招商引流。</w:t>
            </w:r>
          </w:p>
          <w:p w14:paraId="50C148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含：每天</w:t>
            </w:r>
            <w:r>
              <w:rPr>
                <w:rFonts w:hint="default" w:ascii="宋体" w:hAnsi="宋体" w:eastAsia="宋体" w:cs="宋体"/>
                <w:i w:val="0"/>
                <w:iCs w:val="0"/>
                <w:color w:val="000000"/>
                <w:kern w:val="0"/>
                <w:sz w:val="24"/>
                <w:szCs w:val="24"/>
                <w:u w:val="none"/>
                <w:lang w:val="en-US" w:eastAsia="zh-CN"/>
              </w:rPr>
              <w:t>3</w:t>
            </w:r>
            <w:r>
              <w:rPr>
                <w:rFonts w:hint="eastAsia" w:ascii="宋体" w:hAnsi="宋体" w:eastAsia="宋体" w:cs="宋体"/>
                <w:i w:val="0"/>
                <w:iCs w:val="0"/>
                <w:color w:val="000000"/>
                <w:kern w:val="0"/>
                <w:sz w:val="24"/>
                <w:szCs w:val="24"/>
                <w:u w:val="none"/>
                <w:lang w:val="en-US" w:eastAsia="zh-CN"/>
              </w:rPr>
              <w:t>人次拍摄人员，服务</w:t>
            </w:r>
            <w:r>
              <w:rPr>
                <w:rFonts w:hint="default" w:ascii="宋体" w:hAnsi="宋体" w:eastAsia="宋体" w:cs="宋体"/>
                <w:i w:val="0"/>
                <w:iCs w:val="0"/>
                <w:color w:val="000000"/>
                <w:kern w:val="0"/>
                <w:sz w:val="24"/>
                <w:szCs w:val="24"/>
                <w:u w:val="none"/>
                <w:lang w:val="en-US" w:eastAsia="zh-CN"/>
              </w:rPr>
              <w:t>4</w:t>
            </w:r>
            <w:r>
              <w:rPr>
                <w:rFonts w:hint="eastAsia" w:ascii="宋体" w:hAnsi="宋体" w:eastAsia="宋体" w:cs="宋体"/>
                <w:i w:val="0"/>
                <w:iCs w:val="0"/>
                <w:color w:val="000000"/>
                <w:kern w:val="0"/>
                <w:sz w:val="24"/>
                <w:szCs w:val="24"/>
                <w:u w:val="none"/>
                <w:lang w:val="en-US" w:eastAsia="zh-CN"/>
              </w:rPr>
              <w:t>天，共</w:t>
            </w:r>
            <w:r>
              <w:rPr>
                <w:rFonts w:hint="default" w:ascii="宋体" w:hAnsi="宋体" w:eastAsia="宋体" w:cs="宋体"/>
                <w:i w:val="0"/>
                <w:iCs w:val="0"/>
                <w:color w:val="000000"/>
                <w:kern w:val="0"/>
                <w:sz w:val="24"/>
                <w:szCs w:val="24"/>
                <w:u w:val="none"/>
                <w:lang w:val="en-US" w:eastAsia="zh-CN"/>
              </w:rPr>
              <w:t>12</w:t>
            </w:r>
            <w:r>
              <w:rPr>
                <w:rFonts w:hint="eastAsia" w:ascii="宋体" w:hAnsi="宋体" w:eastAsia="宋体" w:cs="宋体"/>
                <w:i w:val="0"/>
                <w:iCs w:val="0"/>
                <w:color w:val="000000"/>
                <w:kern w:val="0"/>
                <w:sz w:val="24"/>
                <w:szCs w:val="24"/>
                <w:u w:val="none"/>
                <w:lang w:val="en-US" w:eastAsia="zh-CN"/>
              </w:rPr>
              <w:t>人次，含食宿差旅费用。视频框架脚本1条，场景活动现场拍摄，现场剪辑，每条视频时长15-30秒，成片分辨率不低于1080P。</w:t>
            </w:r>
          </w:p>
        </w:tc>
        <w:tc>
          <w:tcPr>
            <w:tcW w:w="663" w:type="dxa"/>
            <w:shd w:val="clear" w:color="auto" w:fill="auto"/>
            <w:noWrap/>
            <w:vAlign w:val="center"/>
          </w:tcPr>
          <w:p w14:paraId="648AB02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rPr>
              <w:t>25</w:t>
            </w:r>
          </w:p>
        </w:tc>
        <w:tc>
          <w:tcPr>
            <w:tcW w:w="750" w:type="dxa"/>
            <w:shd w:val="clear" w:color="auto" w:fill="auto"/>
            <w:noWrap/>
            <w:vAlign w:val="center"/>
          </w:tcPr>
          <w:p w14:paraId="2081EC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条</w:t>
            </w:r>
          </w:p>
        </w:tc>
        <w:tc>
          <w:tcPr>
            <w:tcW w:w="1300" w:type="dxa"/>
            <w:shd w:val="clear" w:color="auto" w:fill="auto"/>
            <w:noWrap/>
            <w:vAlign w:val="center"/>
          </w:tcPr>
          <w:p w14:paraId="25B1F3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43" w:type="dxa"/>
            <w:shd w:val="clear" w:color="auto" w:fill="auto"/>
            <w:noWrap/>
            <w:vAlign w:val="center"/>
          </w:tcPr>
          <w:p w14:paraId="48786F2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r>
      <w:tr w14:paraId="226E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5" w:type="dxa"/>
            <w:shd w:val="clear" w:color="auto" w:fill="auto"/>
            <w:noWrap/>
            <w:vAlign w:val="center"/>
          </w:tcPr>
          <w:p w14:paraId="4855FB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12</w:t>
            </w:r>
          </w:p>
        </w:tc>
        <w:tc>
          <w:tcPr>
            <w:tcW w:w="1267" w:type="dxa"/>
            <w:shd w:val="clear" w:color="auto" w:fill="auto"/>
            <w:noWrap/>
            <w:vAlign w:val="center"/>
          </w:tcPr>
          <w:p w14:paraId="139D3C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执行</w:t>
            </w:r>
          </w:p>
          <w:p w14:paraId="6E87BF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服务</w:t>
            </w:r>
          </w:p>
        </w:tc>
        <w:tc>
          <w:tcPr>
            <w:tcW w:w="2890" w:type="dxa"/>
            <w:shd w:val="clear" w:color="auto" w:fill="auto"/>
            <w:vAlign w:val="center"/>
          </w:tcPr>
          <w:p w14:paraId="5D942A9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活动执行服务，线上执行团队不少于11人，包括项目负责人、统筹、设计、美工、AI视频师、编辑、剪辑、文员等服务，总服务时长不少于10天，单人单天不高于300元；</w:t>
            </w:r>
          </w:p>
          <w:p w14:paraId="069566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线下不少于6人执行（项目负责人、摄影、摄像、剪辑、助理）包括执行期间差旅，总服务时长不少于4天，单人单天不高于300元。</w:t>
            </w:r>
          </w:p>
        </w:tc>
        <w:tc>
          <w:tcPr>
            <w:tcW w:w="663" w:type="dxa"/>
            <w:shd w:val="clear" w:color="auto" w:fill="auto"/>
            <w:noWrap/>
            <w:vAlign w:val="center"/>
          </w:tcPr>
          <w:p w14:paraId="32EDEC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w:t>
            </w:r>
          </w:p>
        </w:tc>
        <w:tc>
          <w:tcPr>
            <w:tcW w:w="750" w:type="dxa"/>
            <w:shd w:val="clear" w:color="auto" w:fill="auto"/>
            <w:noWrap/>
            <w:vAlign w:val="center"/>
          </w:tcPr>
          <w:p w14:paraId="52CDD1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项</w:t>
            </w:r>
          </w:p>
        </w:tc>
        <w:tc>
          <w:tcPr>
            <w:tcW w:w="1300" w:type="dxa"/>
            <w:shd w:val="clear" w:color="auto" w:fill="auto"/>
            <w:noWrap/>
            <w:vAlign w:val="center"/>
          </w:tcPr>
          <w:p w14:paraId="0DDE59B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043" w:type="dxa"/>
            <w:shd w:val="clear" w:color="auto" w:fill="auto"/>
            <w:noWrap/>
            <w:vAlign w:val="center"/>
          </w:tcPr>
          <w:p w14:paraId="388F605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r>
      <w:tr w14:paraId="2A4E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685" w:type="dxa"/>
            <w:shd w:val="clear" w:color="auto" w:fill="auto"/>
            <w:noWrap/>
            <w:vAlign w:val="center"/>
          </w:tcPr>
          <w:p w14:paraId="3616B17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rPr>
              <w:t>1</w:t>
            </w:r>
            <w:r>
              <w:rPr>
                <w:rFonts w:hint="default" w:ascii="宋体" w:hAnsi="宋体" w:eastAsia="宋体" w:cs="宋体"/>
                <w:i w:val="0"/>
                <w:iCs w:val="0"/>
                <w:color w:val="000000"/>
                <w:kern w:val="0"/>
                <w:sz w:val="24"/>
                <w:szCs w:val="24"/>
                <w:u w:val="none"/>
                <w:lang w:val="en-US" w:eastAsia="zh-CN"/>
              </w:rPr>
              <w:t>3</w:t>
            </w:r>
          </w:p>
        </w:tc>
        <w:tc>
          <w:tcPr>
            <w:tcW w:w="1267" w:type="dxa"/>
            <w:shd w:val="clear" w:color="auto" w:fill="auto"/>
            <w:noWrap/>
            <w:vAlign w:val="center"/>
          </w:tcPr>
          <w:p w14:paraId="14646A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媒体</w:t>
            </w:r>
          </w:p>
          <w:p w14:paraId="563CB9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分发</w:t>
            </w:r>
          </w:p>
        </w:tc>
        <w:tc>
          <w:tcPr>
            <w:tcW w:w="2890" w:type="dxa"/>
            <w:shd w:val="clear" w:color="auto" w:fill="auto"/>
            <w:vAlign w:val="center"/>
          </w:tcPr>
          <w:p w14:paraId="13D322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媒体分发，合计不少于200家媒体平台宣传推广（例如新浪、网易等）</w:t>
            </w:r>
          </w:p>
        </w:tc>
        <w:tc>
          <w:tcPr>
            <w:tcW w:w="663" w:type="dxa"/>
            <w:shd w:val="clear" w:color="auto" w:fill="auto"/>
            <w:noWrap/>
            <w:vAlign w:val="center"/>
          </w:tcPr>
          <w:p w14:paraId="42C535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w:t>
            </w:r>
          </w:p>
        </w:tc>
        <w:tc>
          <w:tcPr>
            <w:tcW w:w="750" w:type="dxa"/>
            <w:shd w:val="clear" w:color="auto" w:fill="auto"/>
            <w:noWrap/>
            <w:vAlign w:val="center"/>
          </w:tcPr>
          <w:p w14:paraId="0AC539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项</w:t>
            </w:r>
          </w:p>
        </w:tc>
        <w:tc>
          <w:tcPr>
            <w:tcW w:w="1300" w:type="dxa"/>
            <w:shd w:val="clear" w:color="auto" w:fill="auto"/>
            <w:noWrap/>
            <w:vAlign w:val="center"/>
          </w:tcPr>
          <w:p w14:paraId="5E9D50E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043" w:type="dxa"/>
            <w:shd w:val="clear" w:color="auto" w:fill="auto"/>
            <w:noWrap/>
            <w:vAlign w:val="center"/>
          </w:tcPr>
          <w:p w14:paraId="6721F1F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r>
      <w:tr w14:paraId="7AD8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685" w:type="dxa"/>
            <w:shd w:val="clear" w:color="auto" w:fill="auto"/>
            <w:noWrap/>
            <w:vAlign w:val="center"/>
          </w:tcPr>
          <w:p w14:paraId="4193DABB">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rPr>
              <w:t>1</w:t>
            </w:r>
            <w:r>
              <w:rPr>
                <w:rFonts w:hint="default" w:ascii="宋体" w:hAnsi="宋体" w:eastAsia="宋体" w:cs="宋体"/>
                <w:i w:val="0"/>
                <w:iCs w:val="0"/>
                <w:color w:val="000000"/>
                <w:kern w:val="0"/>
                <w:sz w:val="24"/>
                <w:szCs w:val="24"/>
                <w:u w:val="none"/>
                <w:lang w:val="en-US" w:eastAsia="zh-CN"/>
              </w:rPr>
              <w:t>4</w:t>
            </w:r>
          </w:p>
        </w:tc>
        <w:tc>
          <w:tcPr>
            <w:tcW w:w="1267" w:type="dxa"/>
            <w:shd w:val="clear" w:color="auto" w:fill="auto"/>
            <w:noWrap/>
            <w:vAlign w:val="center"/>
          </w:tcPr>
          <w:p w14:paraId="158752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媒体</w:t>
            </w:r>
          </w:p>
          <w:p w14:paraId="5D8336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合作</w:t>
            </w:r>
          </w:p>
        </w:tc>
        <w:tc>
          <w:tcPr>
            <w:tcW w:w="2890" w:type="dxa"/>
            <w:shd w:val="clear" w:color="auto" w:fill="auto"/>
            <w:vAlign w:val="center"/>
          </w:tcPr>
          <w:p w14:paraId="0D7EB2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5家中央级媒体合作，其中不少于4家中央级媒体平台宣传推广，每家包含不少于2次专题原创。（例如中新社，人民网等）不少于1家中央级媒体现场宣传推广，包含不少于1次专题原创，含交通和</w:t>
            </w:r>
            <w:r>
              <w:rPr>
                <w:rFonts w:hint="eastAsia" w:ascii="宋体" w:hAnsi="宋体" w:cs="宋体"/>
                <w:i w:val="0"/>
                <w:iCs w:val="0"/>
                <w:color w:val="000000"/>
                <w:kern w:val="0"/>
                <w:sz w:val="24"/>
                <w:szCs w:val="24"/>
                <w:u w:val="none"/>
                <w:lang w:val="en-US" w:eastAsia="zh-CN"/>
              </w:rPr>
              <w:t>食宿</w:t>
            </w:r>
            <w:r>
              <w:rPr>
                <w:rFonts w:hint="eastAsia" w:ascii="宋体" w:hAnsi="宋体" w:eastAsia="宋体" w:cs="宋体"/>
                <w:i w:val="0"/>
                <w:iCs w:val="0"/>
                <w:color w:val="000000"/>
                <w:kern w:val="0"/>
                <w:sz w:val="24"/>
                <w:szCs w:val="24"/>
                <w:u w:val="none"/>
                <w:lang w:val="en-US" w:eastAsia="zh-CN"/>
              </w:rPr>
              <w:t>。（例如新华网等）。</w:t>
            </w:r>
          </w:p>
        </w:tc>
        <w:tc>
          <w:tcPr>
            <w:tcW w:w="663" w:type="dxa"/>
            <w:shd w:val="clear" w:color="auto" w:fill="auto"/>
            <w:noWrap/>
            <w:vAlign w:val="center"/>
          </w:tcPr>
          <w:p w14:paraId="6A231F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w:t>
            </w:r>
          </w:p>
        </w:tc>
        <w:tc>
          <w:tcPr>
            <w:tcW w:w="750" w:type="dxa"/>
            <w:shd w:val="clear" w:color="auto" w:fill="auto"/>
            <w:noWrap/>
            <w:vAlign w:val="center"/>
          </w:tcPr>
          <w:p w14:paraId="6BA146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项</w:t>
            </w:r>
          </w:p>
        </w:tc>
        <w:tc>
          <w:tcPr>
            <w:tcW w:w="1300" w:type="dxa"/>
            <w:shd w:val="clear" w:color="auto" w:fill="auto"/>
            <w:noWrap/>
            <w:vAlign w:val="center"/>
          </w:tcPr>
          <w:p w14:paraId="2EA6FBBE">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c>
          <w:tcPr>
            <w:tcW w:w="1043" w:type="dxa"/>
            <w:shd w:val="clear" w:color="auto" w:fill="auto"/>
            <w:noWrap/>
            <w:vAlign w:val="center"/>
          </w:tcPr>
          <w:p w14:paraId="24CDD40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r>
      <w:tr w14:paraId="1126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555" w:type="dxa"/>
            <w:gridSpan w:val="6"/>
            <w:shd w:val="clear" w:color="auto" w:fill="auto"/>
            <w:vAlign w:val="center"/>
          </w:tcPr>
          <w:p w14:paraId="10D5E2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合计（元）</w:t>
            </w:r>
          </w:p>
        </w:tc>
        <w:tc>
          <w:tcPr>
            <w:tcW w:w="1043" w:type="dxa"/>
            <w:shd w:val="clear" w:color="auto" w:fill="auto"/>
            <w:noWrap/>
            <w:vAlign w:val="center"/>
          </w:tcPr>
          <w:p w14:paraId="68CE481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p>
        </w:tc>
      </w:tr>
    </w:tbl>
    <w:p w14:paraId="4F051551">
      <w:pPr>
        <w:pStyle w:val="7"/>
        <w:spacing w:line="570" w:lineRule="exact"/>
        <w:jc w:val="left"/>
        <w:rPr>
          <w:rFonts w:hint="eastAsia" w:ascii="仿宋" w:hAnsi="仿宋" w:eastAsia="仿宋" w:cs="仿宋"/>
          <w:b/>
          <w:color w:val="000000"/>
          <w:kern w:val="0"/>
          <w:sz w:val="28"/>
          <w:szCs w:val="28"/>
          <w:highlight w:val="none"/>
        </w:rPr>
      </w:pPr>
    </w:p>
    <w:p w14:paraId="3309C8E9">
      <w:pPr>
        <w:pStyle w:val="7"/>
        <w:spacing w:line="570" w:lineRule="exact"/>
        <w:ind w:firstLine="562" w:firstLineChars="200"/>
        <w:jc w:val="left"/>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备注：各供应商可根据实际情况附以上报价的明细列表。</w:t>
      </w:r>
    </w:p>
    <w:p w14:paraId="246A93BE">
      <w:pPr>
        <w:snapToGrid w:val="0"/>
        <w:spacing w:line="570" w:lineRule="exact"/>
        <w:ind w:firstLine="562" w:firstLineChars="200"/>
        <w:jc w:val="left"/>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该项目总报价</w:t>
      </w:r>
      <w:r>
        <w:rPr>
          <w:rFonts w:hint="eastAsia" w:ascii="仿宋" w:hAnsi="仿宋" w:eastAsia="仿宋" w:cs="仿宋"/>
          <w:b/>
          <w:color w:val="000000"/>
          <w:kern w:val="0"/>
          <w:sz w:val="28"/>
          <w:szCs w:val="28"/>
          <w:highlight w:val="none"/>
          <w:u w:val="single"/>
        </w:rPr>
        <w:t>人民币</w:t>
      </w:r>
      <w:r>
        <w:rPr>
          <w:rFonts w:hint="eastAsia" w:ascii="仿宋" w:hAnsi="仿宋" w:eastAsia="仿宋" w:cs="仿宋"/>
          <w:b/>
          <w:color w:val="000000"/>
          <w:sz w:val="28"/>
          <w:szCs w:val="28"/>
          <w:highlight w:val="none"/>
          <w:u w:val="single"/>
        </w:rPr>
        <w:t xml:space="preserve">      圆整</w:t>
      </w:r>
      <w:r>
        <w:rPr>
          <w:rFonts w:hint="eastAsia" w:ascii="仿宋" w:hAnsi="仿宋" w:eastAsia="仿宋" w:cs="仿宋"/>
          <w:b/>
          <w:color w:val="000000"/>
          <w:kern w:val="0"/>
          <w:sz w:val="28"/>
          <w:szCs w:val="28"/>
          <w:highlight w:val="none"/>
        </w:rPr>
        <w:t>，小写：</w:t>
      </w:r>
      <w:r>
        <w:rPr>
          <w:rFonts w:hint="eastAsia" w:ascii="仿宋" w:hAnsi="仿宋" w:eastAsia="仿宋" w:cs="仿宋"/>
          <w:color w:val="000000"/>
          <w:sz w:val="28"/>
          <w:szCs w:val="28"/>
          <w:highlight w:val="none"/>
        </w:rPr>
        <w:t>（</w:t>
      </w:r>
      <w:r>
        <w:rPr>
          <w:rFonts w:hint="eastAsia" w:ascii="仿宋" w:hAnsi="仿宋" w:eastAsia="仿宋" w:cs="仿宋"/>
          <w:sz w:val="28"/>
          <w:szCs w:val="28"/>
          <w:highlight w:val="none"/>
        </w:rPr>
        <w:t xml:space="preserve">¥       </w:t>
      </w:r>
      <w:r>
        <w:rPr>
          <w:rFonts w:hint="eastAsia" w:ascii="仿宋" w:hAnsi="仿宋" w:eastAsia="仿宋" w:cs="仿宋"/>
          <w:color w:val="000000"/>
          <w:sz w:val="28"/>
          <w:szCs w:val="28"/>
          <w:highlight w:val="none"/>
        </w:rPr>
        <w:t>）</w:t>
      </w:r>
      <w:r>
        <w:rPr>
          <w:rFonts w:hint="eastAsia" w:ascii="仿宋" w:hAnsi="仿宋" w:eastAsia="仿宋" w:cs="仿宋"/>
          <w:b/>
          <w:color w:val="000000"/>
          <w:kern w:val="0"/>
          <w:sz w:val="28"/>
          <w:szCs w:val="28"/>
          <w:highlight w:val="none"/>
        </w:rPr>
        <w:t>，已包含全部税费；明细报价分项累计额如与总报价存在差额，以总报价（大写）为准，我们同意按照总报价履行应有的法律义务。</w:t>
      </w:r>
    </w:p>
    <w:p w14:paraId="75015F2F">
      <w:pPr>
        <w:spacing w:line="570" w:lineRule="exact"/>
        <w:jc w:val="left"/>
        <w:rPr>
          <w:rFonts w:ascii="仿宋" w:hAnsi="仿宋" w:eastAsia="仿宋" w:cs="仿宋"/>
          <w:bCs/>
          <w:color w:val="000000"/>
          <w:kern w:val="0"/>
          <w:sz w:val="28"/>
          <w:szCs w:val="28"/>
          <w:highlight w:val="none"/>
        </w:rPr>
      </w:pPr>
      <w:r>
        <w:rPr>
          <w:rFonts w:hint="eastAsia" w:ascii="仿宋" w:hAnsi="仿宋" w:eastAsia="仿宋" w:cs="仿宋"/>
          <w:b/>
          <w:color w:val="000000"/>
          <w:kern w:val="0"/>
          <w:sz w:val="28"/>
          <w:szCs w:val="28"/>
          <w:highlight w:val="none"/>
        </w:rPr>
        <w:t>其他情况说明：</w:t>
      </w:r>
      <w:r>
        <w:rPr>
          <w:rFonts w:hint="eastAsia" w:ascii="仿宋" w:hAnsi="仿宋" w:eastAsia="仿宋" w:cs="仿宋"/>
          <w:bCs/>
          <w:color w:val="000000"/>
          <w:kern w:val="0"/>
          <w:sz w:val="28"/>
          <w:szCs w:val="28"/>
          <w:highlight w:val="none"/>
        </w:rPr>
        <w:t>（可选填）</w:t>
      </w:r>
    </w:p>
    <w:p w14:paraId="20096B03">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w:t>
      </w:r>
      <w:r>
        <w:rPr>
          <w:rFonts w:hint="eastAsia" w:ascii="仿宋" w:hAnsi="仿宋" w:eastAsia="仿宋" w:cs="仿宋"/>
          <w:color w:val="000000"/>
          <w:sz w:val="30"/>
          <w:szCs w:val="30"/>
          <w:highlight w:val="none"/>
        </w:rPr>
        <w:t>名称（加盖公</w:t>
      </w:r>
      <w:r>
        <w:rPr>
          <w:rFonts w:hint="eastAsia" w:ascii="仿宋" w:hAnsi="仿宋" w:eastAsia="仿宋" w:cs="仿宋"/>
          <w:color w:val="000000"/>
          <w:sz w:val="28"/>
          <w:szCs w:val="28"/>
          <w:highlight w:val="none"/>
        </w:rPr>
        <w:t>章）：</w:t>
      </w:r>
    </w:p>
    <w:p w14:paraId="7F856F59">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法定代表人或其委托代理人(签字)：</w:t>
      </w:r>
    </w:p>
    <w:p w14:paraId="2FAF6B1B">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联系电话：</w:t>
      </w:r>
    </w:p>
    <w:p w14:paraId="513143FF">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报价时间：  年   月   日</w:t>
      </w:r>
    </w:p>
    <w:p w14:paraId="575E1929">
      <w:pPr>
        <w:spacing w:after="200" w:line="400" w:lineRule="exact"/>
        <w:jc w:val="center"/>
        <w:rPr>
          <w:rFonts w:hint="eastAsia" w:ascii="仿宋" w:hAnsi="仿宋" w:eastAsia="仿宋" w:cs="仿宋"/>
          <w:b/>
          <w:color w:val="000000"/>
          <w:sz w:val="28"/>
          <w:szCs w:val="28"/>
          <w:highlight w:val="none"/>
        </w:rPr>
        <w:sectPr>
          <w:pgSz w:w="11906" w:h="16838"/>
          <w:pgMar w:top="1440" w:right="1800" w:bottom="1440" w:left="1800" w:header="851" w:footer="992" w:gutter="0"/>
          <w:cols w:space="720" w:num="1"/>
          <w:docGrid w:type="lines" w:linePitch="312" w:charSpace="0"/>
        </w:sectPr>
      </w:pPr>
      <w:bookmarkStart w:id="3" w:name="_Toc34146941"/>
      <w:bookmarkStart w:id="4" w:name="_Toc475472676"/>
      <w:bookmarkStart w:id="5" w:name="_Toc1651903"/>
    </w:p>
    <w:p w14:paraId="12331C21">
      <w:pPr>
        <w:spacing w:after="200" w:line="400" w:lineRule="exact"/>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二、供应商资格证明资料</w:t>
      </w:r>
    </w:p>
    <w:p w14:paraId="452534A7">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1、具有独立承担民事责任的能力：在中华人民共和国境内注册的法人或其他组织或自然人，报价时提交有效的营业执照（或事业法人登记证或身份证等相关证明）副本复印件。</w:t>
      </w:r>
    </w:p>
    <w:p w14:paraId="3E665862">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有依法缴纳税收和社会保障资金的良好记录：提供截止日前12个月内任意1个月依法缴纳税收和社会保障资金的相关材料。如依法免税或不需要缴纳社会保障资金的，提供相应证明材料。</w:t>
      </w:r>
    </w:p>
    <w:p w14:paraId="685AFAE0">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3、参加采购活动前3年内，在经营活动中没有重大违法、失信记录：提供供应商未被列入“信用中国”（网址https://www.creditchina.gov.cn/xinyongfuwu/?navPage=4）-信用</w:t>
      </w:r>
      <w:r>
        <w:rPr>
          <w:rFonts w:hint="eastAsia" w:ascii="仿宋" w:hAnsi="仿宋" w:eastAsia="仿宋" w:cs="仿宋"/>
          <w:color w:val="000000"/>
          <w:sz w:val="28"/>
          <w:szCs w:val="28"/>
          <w:highlight w:val="none"/>
          <w:lang w:val="en-US" w:eastAsia="zh-CN"/>
        </w:rPr>
        <w:t>公示</w:t>
      </w:r>
      <w:r>
        <w:rPr>
          <w:rFonts w:hint="eastAsia" w:ascii="仿宋" w:hAnsi="仿宋" w:eastAsia="仿宋" w:cs="仿宋"/>
          <w:color w:val="000000"/>
          <w:sz w:val="28"/>
          <w:szCs w:val="28"/>
          <w:highlight w:val="none"/>
        </w:rPr>
        <w:t>中的“严重失信主体名单”“经营异常名录信息”“重大税收违法失信主体”查询截图并加盖公章。</w:t>
      </w:r>
    </w:p>
    <w:p w14:paraId="26DD43EA">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4、提供自202</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年以来同类项目（视频拍摄制作服务等）业绩两项（附合同关键页）。</w:t>
      </w:r>
    </w:p>
    <w:p w14:paraId="6142229A">
      <w:pPr>
        <w:pStyle w:val="3"/>
        <w:rPr>
          <w:rFonts w:ascii="仿宋" w:hAnsi="仿宋" w:eastAsia="仿宋" w:cs="仿宋"/>
          <w:kern w:val="0"/>
          <w:sz w:val="28"/>
          <w:szCs w:val="28"/>
          <w:highlight w:val="none"/>
        </w:rPr>
      </w:pPr>
    </w:p>
    <w:bookmarkEnd w:id="3"/>
    <w:bookmarkEnd w:id="4"/>
    <w:bookmarkEnd w:id="5"/>
    <w:p w14:paraId="11B329AE">
      <w:pPr>
        <w:rPr>
          <w:rFonts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br w:type="page"/>
      </w:r>
    </w:p>
    <w:p w14:paraId="6B441DFD">
      <w:pPr>
        <w:spacing w:after="200" w:line="276" w:lineRule="auto"/>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三、报价承诺书</w:t>
      </w:r>
    </w:p>
    <w:p w14:paraId="1D31002A">
      <w:pPr>
        <w:snapToGrid w:val="0"/>
        <w:spacing w:line="440" w:lineRule="exact"/>
        <w:jc w:val="left"/>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广东南方农村报经营有限公司：</w:t>
      </w:r>
    </w:p>
    <w:p w14:paraId="360BFB71">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我方参与本项目采购活动，承诺做到：</w:t>
      </w:r>
    </w:p>
    <w:p w14:paraId="5938C0AC">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1.我方已经详细地阅读了全部采购文件及其附件，已完全清晰理解采购文件的要求，不存在任何含糊不清和误解之处，同意放弃对这些文件所提出的异议和质疑的权利。</w:t>
      </w:r>
    </w:p>
    <w:p w14:paraId="6EC9F675">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2.我方为本次报价所提交的所有证明其合格和资格的文件是真实的和正确的，并愿为其真实性和正确性承担法律责任。</w:t>
      </w:r>
    </w:p>
    <w:p w14:paraId="7E662F6B">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3.我方为中华人民共和国境内的合法经营主体，具有独立的民事行为能力；我方具备履行合同所必需的设备和专业技术能力；我方有依法缴纳税收和社会保障资金的良好记录。</w:t>
      </w:r>
    </w:p>
    <w:p w14:paraId="3D98CCB8">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4.我方承诺不向第三方透露与本项目报价相关的所有信息。</w:t>
      </w:r>
    </w:p>
    <w:p w14:paraId="6A4DD197">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5.我方承诺不存在财产被接管或冻结或破产清算状况，遵守国家有关的法律、法令和条例。</w:t>
      </w:r>
    </w:p>
    <w:p w14:paraId="0799CF25">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6.我方承诺未与单位负责人为同一人或者具有直接控股、管理关系的不同供应商同时参加本次采购活动。</w:t>
      </w:r>
    </w:p>
    <w:p w14:paraId="61C56697">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7.我方承诺配合贵方要求及时签署合同，不分包、转包项目，为本项目开具增值税专用发票。</w:t>
      </w:r>
    </w:p>
    <w:p w14:paraId="40FD741F">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40417D8D">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384FE6DA">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575B8BEE">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供应商名称：     （加盖公章）</w:t>
      </w:r>
    </w:p>
    <w:p w14:paraId="03876A9D">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法定代表人或者其委托代理人：          （签字）</w:t>
      </w:r>
    </w:p>
    <w:p w14:paraId="1A43B297">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仿宋" w:hAnsi="仿宋" w:eastAsia="仿宋" w:cs="仿宋"/>
          <w:bCs/>
          <w:color w:val="000000"/>
          <w:sz w:val="28"/>
          <w:szCs w:val="28"/>
          <w:highlight w:val="none"/>
        </w:rPr>
      </w:pPr>
    </w:p>
    <w:p w14:paraId="6B6C460D">
      <w:pPr>
        <w:pStyle w:val="7"/>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cs="宋体"/>
          <w:sz w:val="24"/>
          <w:szCs w:val="24"/>
          <w:highlight w:val="none"/>
        </w:rPr>
      </w:pPr>
      <w:r>
        <w:rPr>
          <w:rFonts w:hint="eastAsia" w:ascii="仿宋" w:hAnsi="仿宋" w:eastAsia="仿宋" w:cs="仿宋"/>
          <w:bCs/>
          <w:color w:val="000000"/>
          <w:sz w:val="28"/>
          <w:szCs w:val="28"/>
          <w:highlight w:val="none"/>
        </w:rPr>
        <w:t>日期：    年   月   日</w:t>
      </w:r>
      <w:r>
        <w:rPr>
          <w:rFonts w:hint="eastAsia" w:ascii="仿宋" w:hAnsi="仿宋" w:eastAsia="仿宋" w:cs="仿宋"/>
          <w:bCs/>
          <w:color w:val="000000"/>
          <w:sz w:val="28"/>
          <w:szCs w:val="28"/>
          <w:highlight w:val="none"/>
        </w:rPr>
        <w:br w:type="page"/>
      </w:r>
    </w:p>
    <w:p w14:paraId="27D5E947">
      <w:pPr>
        <w:pStyle w:val="9"/>
        <w:tabs>
          <w:tab w:val="left" w:pos="588"/>
        </w:tabs>
        <w:snapToGrid w:val="0"/>
        <w:spacing w:before="0" w:after="0" w:line="440" w:lineRule="exact"/>
        <w:outlineLvl w:val="9"/>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四、法定代表人证明书</w:t>
      </w:r>
    </w:p>
    <w:p w14:paraId="595CDC35">
      <w:pPr>
        <w:spacing w:line="276" w:lineRule="auto"/>
        <w:jc w:val="center"/>
        <w:rPr>
          <w:rFonts w:ascii="宋体" w:hAnsi="宋体" w:cs="宋体"/>
          <w:b/>
          <w:sz w:val="24"/>
          <w:highlight w:val="none"/>
        </w:rPr>
      </w:pPr>
    </w:p>
    <w:p w14:paraId="5F54C7B2">
      <w:pPr>
        <w:tabs>
          <w:tab w:val="left" w:pos="8364"/>
        </w:tabs>
        <w:snapToGrid w:val="0"/>
        <w:spacing w:line="360" w:lineRule="auto"/>
        <w:ind w:right="-58"/>
        <w:rPr>
          <w:rFonts w:ascii="宋体" w:hAnsi="宋体" w:cs="宋体"/>
          <w:sz w:val="24"/>
          <w:highlight w:val="none"/>
          <w:u w:val="single"/>
        </w:rPr>
      </w:pPr>
    </w:p>
    <w:p w14:paraId="332C33F2">
      <w:pPr>
        <w:keepNext w:val="0"/>
        <w:keepLines w:val="0"/>
        <w:pageBreakBefore w:val="0"/>
        <w:widowControl w:val="0"/>
        <w:tabs>
          <w:tab w:val="left" w:pos="8364"/>
        </w:tabs>
        <w:kinsoku/>
        <w:wordWrap/>
        <w:overflowPunct/>
        <w:topLinePunct w:val="0"/>
        <w:autoSpaceDE/>
        <w:autoSpaceDN/>
        <w:bidi w:val="0"/>
        <w:adjustRightInd/>
        <w:snapToGrid w:val="0"/>
        <w:spacing w:line="480" w:lineRule="exact"/>
        <w:ind w:right="0" w:firstLine="560" w:firstLineChars="200"/>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兹证明，</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先生/女士，现任我单位</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职务，为我单位法定代表人。</w:t>
      </w:r>
    </w:p>
    <w:p w14:paraId="1B55AF00">
      <w:pPr>
        <w:tabs>
          <w:tab w:val="left" w:pos="8364"/>
        </w:tabs>
        <w:snapToGrid w:val="0"/>
        <w:spacing w:line="360" w:lineRule="auto"/>
        <w:ind w:right="-58"/>
        <w:rPr>
          <w:rFonts w:ascii="仿宋" w:hAnsi="仿宋" w:eastAsia="仿宋" w:cs="仿宋"/>
          <w:color w:val="000000"/>
          <w:sz w:val="28"/>
          <w:szCs w:val="28"/>
          <w:highlight w:val="none"/>
        </w:rPr>
      </w:pPr>
    </w:p>
    <w:p w14:paraId="034AAE6A">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签发日期：</w:t>
      </w:r>
    </w:p>
    <w:p w14:paraId="35A1F37D">
      <w:pPr>
        <w:tabs>
          <w:tab w:val="left" w:pos="8364"/>
        </w:tabs>
        <w:snapToGrid w:val="0"/>
        <w:spacing w:line="360" w:lineRule="auto"/>
        <w:ind w:right="-58"/>
        <w:rPr>
          <w:rFonts w:ascii="仿宋" w:hAnsi="仿宋" w:eastAsia="仿宋" w:cs="仿宋"/>
          <w:color w:val="000000"/>
          <w:sz w:val="28"/>
          <w:szCs w:val="28"/>
          <w:highlight w:val="none"/>
        </w:rPr>
      </w:pPr>
    </w:p>
    <w:p w14:paraId="4C077456">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单位名称：</w:t>
      </w:r>
    </w:p>
    <w:p w14:paraId="2ACC5FA2">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（加盖公章）</w:t>
      </w:r>
    </w:p>
    <w:p w14:paraId="2A443ABD">
      <w:pPr>
        <w:tabs>
          <w:tab w:val="left" w:pos="8364"/>
        </w:tabs>
        <w:snapToGrid w:val="0"/>
        <w:spacing w:line="360" w:lineRule="auto"/>
        <w:ind w:right="-58"/>
        <w:rPr>
          <w:rFonts w:ascii="仿宋" w:hAnsi="仿宋" w:eastAsia="仿宋" w:cs="仿宋"/>
          <w:color w:val="000000"/>
          <w:sz w:val="28"/>
          <w:szCs w:val="28"/>
          <w:highlight w:val="none"/>
        </w:rPr>
      </w:pPr>
    </w:p>
    <w:p w14:paraId="45DEBA74">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附：法定代表人身份证复印件(需同时提供正面及背面)</w:t>
      </w:r>
    </w:p>
    <w:p w14:paraId="3C502E1D">
      <w:pPr>
        <w:spacing w:line="500" w:lineRule="exact"/>
        <w:rPr>
          <w:rFonts w:ascii="宋体" w:hAnsi="宋体" w:cs="宋体"/>
          <w:sz w:val="24"/>
          <w:highlight w:val="none"/>
        </w:rPr>
      </w:pPr>
      <w:r>
        <w:rPr>
          <w:rFonts w:hint="eastAsia" w:ascii="宋体" w:hAnsi="宋体" w:cs="宋体"/>
          <w:sz w:val="24"/>
          <w:highlight w:val="none"/>
        </w:rPr>
        <mc:AlternateContent>
          <mc:Choice Requires="wps">
            <w:drawing>
              <wp:anchor distT="0" distB="0" distL="114300" distR="114300" simplePos="0" relativeHeight="251659264"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4" name="流程图: 可选过程 4"/>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E6439F4">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wps:txbx>
                      <wps:bodyPr upright="1"/>
                    </wps:wsp>
                  </a:graphicData>
                </a:graphic>
              </wp:anchor>
            </w:drawing>
          </mc:Choice>
          <mc:Fallback>
            <w:pict>
              <v:shape id="_x0000_s1026" o:spid="_x0000_s1026" o:spt="176" type="#_x0000_t176" style="position:absolute;left:0pt;margin-left:208.3pt;margin-top:18.8pt;height:166.45pt;width:259.65pt;z-index:251659264;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EqgoYUuAgAAXgQAAA4AAAAAAAAAAQAgAAAAJwEAAGRycy9lMm9Eb2MueG1s&#10;UEsFBgAAAAAGAAYAWQEAAMcFAAAAAA==&#10;">
                <v:fill on="t" focussize="0,0"/>
                <v:stroke color="#000000" joinstyle="miter"/>
                <v:imagedata o:title=""/>
                <o:lock v:ext="edit" aspectratio="f"/>
                <v:textbox>
                  <w:txbxContent>
                    <w:p w14:paraId="6E6439F4">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v:textbox>
              </v:shape>
            </w:pict>
          </mc:Fallback>
        </mc:AlternateContent>
      </w:r>
      <w:r>
        <w:rPr>
          <w:rFonts w:hint="eastAsia" w:ascii="宋体" w:hAnsi="宋体" w:cs="宋体"/>
          <w:sz w:val="24"/>
          <w:highlight w:val="none"/>
        </w:rPr>
        <mc:AlternateContent>
          <mc:Choice Requires="wps">
            <w:drawing>
              <wp:anchor distT="0" distB="0" distL="114300" distR="114300" simplePos="0" relativeHeight="251660288"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3" name="流程图: 可选过程 3"/>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4AA97EF">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wps:txbx>
                      <wps:bodyPr upright="1"/>
                    </wps:wsp>
                  </a:graphicData>
                </a:graphic>
              </wp:anchor>
            </w:drawing>
          </mc:Choice>
          <mc:Fallback>
            <w:pict>
              <v:shape id="_x0000_s1026" o:spid="_x0000_s1026" o:spt="176" type="#_x0000_t176" style="position:absolute;left:0pt;margin-left:-51.35pt;margin-top:18.8pt;height:166.45pt;width:259.65pt;z-index:251660288;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D54TsULgIAAF4EAAAOAAAAAAAAAAEAIAAAACgBAABkcnMvZTJvRG9jLnht&#10;bFBLBQYAAAAABgAGAFkBAADIBQAAAAA=&#10;">
                <v:fill on="t" focussize="0,0"/>
                <v:stroke color="#000000" joinstyle="miter"/>
                <v:imagedata o:title=""/>
                <o:lock v:ext="edit" aspectratio="f"/>
                <v:textbox>
                  <w:txbxContent>
                    <w:p w14:paraId="04AA97EF">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v:textbox>
              </v:shape>
            </w:pict>
          </mc:Fallback>
        </mc:AlternateContent>
      </w:r>
    </w:p>
    <w:p w14:paraId="08E9089A">
      <w:pPr>
        <w:spacing w:line="500" w:lineRule="exact"/>
        <w:rPr>
          <w:rFonts w:ascii="宋体" w:hAnsi="宋体" w:cs="宋体"/>
          <w:sz w:val="24"/>
          <w:highlight w:val="none"/>
        </w:rPr>
      </w:pPr>
    </w:p>
    <w:p w14:paraId="4EA84C0B">
      <w:pPr>
        <w:spacing w:line="440" w:lineRule="exact"/>
        <w:rPr>
          <w:rFonts w:ascii="宋体" w:hAnsi="宋体" w:cs="宋体"/>
          <w:sz w:val="24"/>
          <w:highlight w:val="none"/>
        </w:rPr>
      </w:pPr>
    </w:p>
    <w:p w14:paraId="6A347D8F">
      <w:pPr>
        <w:spacing w:line="440" w:lineRule="exact"/>
        <w:rPr>
          <w:rFonts w:ascii="宋体" w:hAnsi="宋体" w:cs="宋体"/>
          <w:sz w:val="24"/>
          <w:highlight w:val="none"/>
        </w:rPr>
      </w:pPr>
      <w:r>
        <w:rPr>
          <w:rFonts w:hint="eastAsia" w:ascii="宋体" w:hAnsi="宋体" w:cs="宋体"/>
          <w:sz w:val="24"/>
          <w:highlight w:val="none"/>
        </w:rPr>
        <w:t xml:space="preserve">                          </w:t>
      </w:r>
    </w:p>
    <w:p w14:paraId="3CDCF5A5">
      <w:pPr>
        <w:spacing w:line="500" w:lineRule="exact"/>
        <w:rPr>
          <w:rFonts w:ascii="宋体" w:hAnsi="宋体" w:cs="宋体"/>
          <w:sz w:val="24"/>
          <w:highlight w:val="none"/>
        </w:rPr>
      </w:pPr>
    </w:p>
    <w:p w14:paraId="1C97CD1F">
      <w:pPr>
        <w:spacing w:line="440" w:lineRule="exact"/>
        <w:rPr>
          <w:rFonts w:ascii="宋体" w:hAnsi="宋体" w:cs="宋体"/>
          <w:sz w:val="24"/>
          <w:highlight w:val="none"/>
        </w:rPr>
      </w:pPr>
    </w:p>
    <w:p w14:paraId="532326E9">
      <w:pPr>
        <w:spacing w:line="500" w:lineRule="exact"/>
        <w:rPr>
          <w:rFonts w:ascii="宋体" w:hAnsi="宋体" w:cs="宋体"/>
          <w:sz w:val="24"/>
          <w:highlight w:val="none"/>
        </w:rPr>
      </w:pPr>
    </w:p>
    <w:p w14:paraId="1A4ED149">
      <w:pPr>
        <w:spacing w:line="440" w:lineRule="exact"/>
        <w:rPr>
          <w:rFonts w:ascii="宋体" w:hAnsi="宋体" w:cs="宋体"/>
          <w:sz w:val="24"/>
          <w:highlight w:val="none"/>
        </w:rPr>
      </w:pPr>
    </w:p>
    <w:p w14:paraId="1928CF01">
      <w:pPr>
        <w:spacing w:line="440" w:lineRule="exact"/>
        <w:rPr>
          <w:rFonts w:ascii="宋体" w:hAnsi="宋体" w:cs="宋体"/>
          <w:sz w:val="24"/>
          <w:highlight w:val="none"/>
        </w:rPr>
      </w:pPr>
      <w:r>
        <w:rPr>
          <w:rFonts w:hint="eastAsia" w:ascii="宋体" w:hAnsi="宋体" w:cs="宋体"/>
          <w:sz w:val="24"/>
          <w:highlight w:val="none"/>
        </w:rPr>
        <w:t xml:space="preserve">                          </w:t>
      </w:r>
    </w:p>
    <w:p w14:paraId="62690E6A">
      <w:pPr>
        <w:spacing w:line="276" w:lineRule="auto"/>
        <w:jc w:val="center"/>
        <w:rPr>
          <w:rFonts w:ascii="仿宋" w:hAnsi="仿宋" w:eastAsia="仿宋" w:cs="仿宋"/>
          <w:b/>
          <w:bCs/>
          <w:color w:val="000000"/>
          <w:sz w:val="28"/>
          <w:szCs w:val="28"/>
          <w:highlight w:val="none"/>
          <w:lang w:val="en-GB"/>
        </w:rPr>
      </w:pPr>
      <w:r>
        <w:rPr>
          <w:rFonts w:hint="eastAsia" w:ascii="宋体" w:hAnsi="宋体" w:cs="宋体"/>
          <w:sz w:val="24"/>
          <w:highlight w:val="none"/>
        </w:rPr>
        <w:br w:type="page"/>
      </w:r>
      <w:r>
        <w:rPr>
          <w:rFonts w:hint="eastAsia" w:ascii="仿宋" w:hAnsi="仿宋" w:eastAsia="仿宋" w:cs="仿宋"/>
          <w:b/>
          <w:bCs/>
          <w:color w:val="000000"/>
          <w:sz w:val="28"/>
          <w:szCs w:val="28"/>
          <w:highlight w:val="none"/>
        </w:rPr>
        <w:t>五</w:t>
      </w:r>
      <w:r>
        <w:rPr>
          <w:rFonts w:hint="eastAsia" w:ascii="仿宋" w:hAnsi="仿宋" w:eastAsia="仿宋" w:cs="仿宋"/>
          <w:b/>
          <w:bCs/>
          <w:color w:val="000000"/>
          <w:sz w:val="28"/>
          <w:szCs w:val="28"/>
          <w:highlight w:val="none"/>
          <w:lang w:val="en-GB"/>
        </w:rPr>
        <w:t>、</w:t>
      </w:r>
      <w:r>
        <w:rPr>
          <w:rFonts w:hint="eastAsia" w:ascii="仿宋" w:hAnsi="仿宋" w:eastAsia="仿宋" w:cs="仿宋"/>
          <w:b/>
          <w:bCs/>
          <w:color w:val="000000"/>
          <w:sz w:val="28"/>
          <w:szCs w:val="28"/>
          <w:highlight w:val="none"/>
        </w:rPr>
        <w:t>法定代表人</w:t>
      </w:r>
      <w:r>
        <w:rPr>
          <w:rFonts w:hint="eastAsia" w:ascii="仿宋" w:hAnsi="仿宋" w:eastAsia="仿宋" w:cs="仿宋"/>
          <w:b/>
          <w:bCs/>
          <w:color w:val="000000"/>
          <w:sz w:val="28"/>
          <w:szCs w:val="28"/>
          <w:highlight w:val="none"/>
          <w:lang w:val="en-GB"/>
        </w:rPr>
        <w:t>授权委托书</w:t>
      </w:r>
    </w:p>
    <w:p w14:paraId="1493868D">
      <w:pPr>
        <w:widowControl/>
        <w:spacing w:after="200" w:line="480" w:lineRule="exact"/>
        <w:ind w:firstLine="480" w:firstLineChars="200"/>
        <w:rPr>
          <w:rFonts w:ascii="宋体" w:hAnsi="宋体" w:cs="宋体"/>
          <w:bCs/>
          <w:kern w:val="0"/>
          <w:sz w:val="24"/>
          <w:highlight w:val="none"/>
        </w:rPr>
      </w:pPr>
    </w:p>
    <w:p w14:paraId="41B4ACF1">
      <w:pPr>
        <w:pStyle w:val="8"/>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兹授权【***先生/女士，身份证号码***，职务为我单位***】为我方委托代理人，全权代表我单位办理【</w:t>
      </w:r>
      <w:r>
        <w:rPr>
          <w:rFonts w:hint="eastAsia" w:ascii="仿宋" w:hAnsi="仿宋" w:eastAsia="仿宋" w:cs="仿宋"/>
          <w:bCs/>
          <w:color w:val="000000"/>
          <w:sz w:val="28"/>
          <w:szCs w:val="28"/>
          <w:highlight w:val="none"/>
          <w:lang w:eastAsia="zh-CN"/>
        </w:rPr>
        <w:t>湛江热带农产品促消费活动宣传推广服务</w:t>
      </w:r>
      <w:r>
        <w:rPr>
          <w:rFonts w:hint="eastAsia" w:ascii="仿宋" w:hAnsi="仿宋" w:eastAsia="仿宋" w:cs="仿宋"/>
          <w:bCs/>
          <w:color w:val="000000"/>
          <w:sz w:val="28"/>
          <w:szCs w:val="28"/>
          <w:highlight w:val="none"/>
        </w:rPr>
        <w:t>】的【洽谈、签约、项目服务联络等】事宜。</w:t>
      </w:r>
    </w:p>
    <w:p w14:paraId="013F2B2C">
      <w:pPr>
        <w:pStyle w:val="8"/>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lang w:val="en-GB"/>
        </w:rPr>
      </w:pPr>
      <w:r>
        <w:rPr>
          <w:rFonts w:hint="eastAsia" w:ascii="仿宋" w:hAnsi="仿宋" w:eastAsia="仿宋" w:cs="仿宋"/>
          <w:bCs/>
          <w:color w:val="000000"/>
          <w:sz w:val="28"/>
          <w:szCs w:val="28"/>
          <w:highlight w:val="none"/>
          <w:lang w:val="en-GB"/>
        </w:rPr>
        <w:t>本</w:t>
      </w:r>
      <w:r>
        <w:rPr>
          <w:rFonts w:hint="eastAsia" w:ascii="仿宋" w:hAnsi="仿宋" w:eastAsia="仿宋" w:cs="仿宋"/>
          <w:bCs/>
          <w:color w:val="000000"/>
          <w:sz w:val="28"/>
          <w:szCs w:val="28"/>
          <w:highlight w:val="none"/>
        </w:rPr>
        <w:t>授权书在项目全周期内有效</w:t>
      </w:r>
      <w:r>
        <w:rPr>
          <w:rFonts w:hint="eastAsia" w:ascii="仿宋" w:hAnsi="仿宋" w:eastAsia="仿宋" w:cs="仿宋"/>
          <w:bCs/>
          <w:color w:val="000000"/>
          <w:sz w:val="28"/>
          <w:szCs w:val="28"/>
          <w:highlight w:val="none"/>
          <w:lang w:val="en-GB"/>
        </w:rPr>
        <w:t>，</w:t>
      </w:r>
      <w:r>
        <w:rPr>
          <w:rFonts w:hint="eastAsia" w:ascii="仿宋" w:hAnsi="仿宋" w:eastAsia="仿宋" w:cs="仿宋"/>
          <w:bCs/>
          <w:color w:val="000000"/>
          <w:sz w:val="28"/>
          <w:szCs w:val="28"/>
          <w:highlight w:val="none"/>
        </w:rPr>
        <w:t>其法律后果由我方承担，</w:t>
      </w:r>
      <w:r>
        <w:rPr>
          <w:rFonts w:hint="eastAsia" w:ascii="仿宋" w:hAnsi="仿宋" w:eastAsia="仿宋" w:cs="仿宋"/>
          <w:bCs/>
          <w:color w:val="000000"/>
          <w:sz w:val="28"/>
          <w:szCs w:val="28"/>
          <w:highlight w:val="none"/>
          <w:lang w:val="en-GB"/>
        </w:rPr>
        <w:t>自法定代表人签字之日起生效。</w:t>
      </w:r>
    </w:p>
    <w:p w14:paraId="25F53C67">
      <w:pPr>
        <w:pStyle w:val="8"/>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委托代理人无转委托权。</w:t>
      </w:r>
    </w:p>
    <w:p w14:paraId="42A82A55">
      <w:pPr>
        <w:pStyle w:val="8"/>
        <w:widowControl/>
        <w:spacing w:beforeAutospacing="0" w:after="200" w:afterAutospacing="0" w:line="480" w:lineRule="exact"/>
        <w:ind w:firstLine="560" w:firstLineChars="200"/>
        <w:jc w:val="both"/>
        <w:rPr>
          <w:rFonts w:ascii="仿宋" w:hAnsi="仿宋" w:eastAsia="仿宋" w:cs="仿宋"/>
          <w:bCs/>
          <w:color w:val="000000"/>
          <w:sz w:val="28"/>
          <w:szCs w:val="28"/>
          <w:highlight w:val="none"/>
        </w:rPr>
      </w:pPr>
    </w:p>
    <w:p w14:paraId="60ED90BA">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法定代表人（签名或盖章）：       </w:t>
      </w:r>
    </w:p>
    <w:p w14:paraId="1788C9F9">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150E1D0C">
      <w:pPr>
        <w:pStyle w:val="8"/>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52DEB848">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授权单位（加盖公章）：       </w:t>
      </w:r>
    </w:p>
    <w:p w14:paraId="514B213D">
      <w:pPr>
        <w:pStyle w:val="8"/>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34AAF962">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委托代理人：（签名或盖章）       </w:t>
      </w:r>
    </w:p>
    <w:p w14:paraId="1212C98E">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0EAA63FF">
      <w:pPr>
        <w:pStyle w:val="8"/>
        <w:widowControl/>
        <w:spacing w:beforeAutospacing="0" w:after="200" w:afterAutospacing="0" w:line="480" w:lineRule="exact"/>
        <w:ind w:firstLine="480" w:firstLineChars="200"/>
        <w:jc w:val="both"/>
        <w:rPr>
          <w:rFonts w:ascii="宋体" w:hAnsi="宋体" w:cs="宋体"/>
          <w:highlight w:val="none"/>
        </w:rPr>
      </w:pPr>
      <w:r>
        <w:rPr>
          <w:rFonts w:hint="eastAsia" w:ascii="宋体" w:hAnsi="宋体" w:cs="宋体"/>
          <w:kern w:val="2"/>
          <w:highlight w:val="none"/>
        </w:rPr>
        <mc:AlternateContent>
          <mc:Choice Requires="wps">
            <w:drawing>
              <wp:anchor distT="0" distB="0" distL="114300" distR="114300" simplePos="0" relativeHeight="251661312" behindDoc="0" locked="0" layoutInCell="1" allowOverlap="1">
                <wp:simplePos x="0" y="0"/>
                <wp:positionH relativeFrom="column">
                  <wp:posOffset>2645410</wp:posOffset>
                </wp:positionH>
                <wp:positionV relativeFrom="paragraph">
                  <wp:posOffset>464820</wp:posOffset>
                </wp:positionV>
                <wp:extent cx="3297555" cy="1864360"/>
                <wp:effectExtent l="4445" t="4445" r="12700" b="17145"/>
                <wp:wrapNone/>
                <wp:docPr id="2" name="流程图: 可选过程 2"/>
                <wp:cNvGraphicFramePr/>
                <a:graphic xmlns:a="http://schemas.openxmlformats.org/drawingml/2006/main">
                  <a:graphicData uri="http://schemas.microsoft.com/office/word/2010/wordprocessingShape">
                    <wps:wsp>
                      <wps:cNvSpPr/>
                      <wps:spPr>
                        <a:xfrm>
                          <a:off x="0" y="0"/>
                          <a:ext cx="3297555" cy="186436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7E3EA16B">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wps:txbx>
                      <wps:bodyPr upright="1"/>
                    </wps:wsp>
                  </a:graphicData>
                </a:graphic>
              </wp:anchor>
            </w:drawing>
          </mc:Choice>
          <mc:Fallback>
            <w:pict>
              <v:shape id="_x0000_s1026" o:spid="_x0000_s1026" o:spt="176" type="#_x0000_t176" style="position:absolute;left:0pt;margin-left:208.3pt;margin-top:36.6pt;height:146.8pt;width:259.65pt;z-index:251661312;mso-width-relative:page;mso-height-relative:page;" fillcolor="#FFFFFF" filled="t" stroked="t" coordsize="21600,21600" o:gfxdata="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UPQQDZAAAACgEAAA8AAAAAAAAAAQAgAAAAIgAAAGRycy9kb3ducmV2Lnht&#10;bFBLAQIUABQAAAAIAIdO4kAEhCQwMQIAAF4EAAAOAAAAAAAAAAEAIAAAACgBAABkcnMvZTJvRG9j&#10;LnhtbFBLBQYAAAAABgAGAFkBAADLBQAAAAA=&#10;">
                <v:fill on="t" focussize="0,0"/>
                <v:stroke color="#000000" joinstyle="miter"/>
                <v:imagedata o:title=""/>
                <o:lock v:ext="edit" aspectratio="f"/>
                <v:textbox>
                  <w:txbxContent>
                    <w:p w14:paraId="7E3EA16B">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v:textbox>
              </v:shape>
            </w:pict>
          </mc:Fallback>
        </mc:AlternateContent>
      </w:r>
      <w:r>
        <w:rPr>
          <w:rFonts w:hint="eastAsia" w:ascii="宋体" w:hAnsi="宋体" w:cs="宋体"/>
          <w:kern w:val="2"/>
          <w:highlight w:val="none"/>
        </w:rPr>
        <mc:AlternateContent>
          <mc:Choice Requires="wps">
            <w:drawing>
              <wp:anchor distT="0" distB="0" distL="114300" distR="114300" simplePos="0" relativeHeight="251662336" behindDoc="0" locked="0" layoutInCell="1" allowOverlap="1">
                <wp:simplePos x="0" y="0"/>
                <wp:positionH relativeFrom="column">
                  <wp:posOffset>-643890</wp:posOffset>
                </wp:positionH>
                <wp:positionV relativeFrom="paragraph">
                  <wp:posOffset>456565</wp:posOffset>
                </wp:positionV>
                <wp:extent cx="3297555" cy="1804670"/>
                <wp:effectExtent l="4445" t="4445" r="12700" b="19685"/>
                <wp:wrapNone/>
                <wp:docPr id="1" name="流程图: 可选过程 1"/>
                <wp:cNvGraphicFramePr/>
                <a:graphic xmlns:a="http://schemas.openxmlformats.org/drawingml/2006/main">
                  <a:graphicData uri="http://schemas.microsoft.com/office/word/2010/wordprocessingShape">
                    <wps:wsp>
                      <wps:cNvSpPr/>
                      <wps:spPr>
                        <a:xfrm>
                          <a:off x="0" y="0"/>
                          <a:ext cx="3297555" cy="180467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2BD3C88">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2CC35E80">
                            <w:pPr>
                              <w:spacing w:after="200" w:line="276" w:lineRule="auto"/>
                              <w:jc w:val="center"/>
                              <w:rPr>
                                <w:rFonts w:cs="宋体"/>
                              </w:rPr>
                            </w:pPr>
                          </w:p>
                        </w:txbxContent>
                      </wps:txbx>
                      <wps:bodyPr upright="1"/>
                    </wps:wsp>
                  </a:graphicData>
                </a:graphic>
              </wp:anchor>
            </w:drawing>
          </mc:Choice>
          <mc:Fallback>
            <w:pict>
              <v:shape id="_x0000_s1026" o:spid="_x0000_s1026" o:spt="176" type="#_x0000_t176" style="position:absolute;left:0pt;margin-left:-50.7pt;margin-top:35.95pt;height:142.1pt;width:259.65pt;z-index:251662336;mso-width-relative:page;mso-height-relative:page;" fillcolor="#FFFFFF" filled="t" stroked="t" coordsize="21600,21600" o:gfxdata="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1vp5LaAAAACwEAAA8AAAAAAAAAAQAgAAAAIgAAAGRycy9kb3ducmV2Lnht&#10;bFBLAQIUABQAAAAIAIdO4kCEsvkfMAIAAF4EAAAOAAAAAAAAAAEAIAAAACkBAABkcnMvZTJvRG9j&#10;LnhtbFBLBQYAAAAABgAGAFkBAADLBQAAAAA=&#10;">
                <v:fill on="t" focussize="0,0"/>
                <v:stroke color="#000000" joinstyle="miter"/>
                <v:imagedata o:title=""/>
                <o:lock v:ext="edit" aspectratio="f"/>
                <v:textbox>
                  <w:txbxContent>
                    <w:p w14:paraId="32BD3C88">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2CC35E80">
                      <w:pPr>
                        <w:spacing w:after="200" w:line="276" w:lineRule="auto"/>
                        <w:jc w:val="center"/>
                        <w:rPr>
                          <w:rFonts w:cs="宋体"/>
                        </w:rPr>
                      </w:pPr>
                    </w:p>
                  </w:txbxContent>
                </v:textbox>
              </v:shape>
            </w:pict>
          </mc:Fallback>
        </mc:AlternateContent>
      </w:r>
    </w:p>
    <w:p w14:paraId="5AEF2AB7">
      <w:pPr>
        <w:spacing w:after="200" w:line="276" w:lineRule="auto"/>
        <w:rPr>
          <w:rFonts w:ascii="宋体" w:hAnsi="宋体" w:cs="宋体"/>
          <w:sz w:val="24"/>
          <w:highlight w:val="none"/>
        </w:rPr>
      </w:pPr>
    </w:p>
    <w:p w14:paraId="53A2298F">
      <w:pPr>
        <w:spacing w:after="200" w:line="276" w:lineRule="auto"/>
        <w:rPr>
          <w:rFonts w:ascii="宋体" w:hAnsi="宋体" w:cs="宋体"/>
          <w:sz w:val="24"/>
          <w:highlight w:val="none"/>
        </w:rPr>
      </w:pPr>
    </w:p>
    <w:p w14:paraId="0CF1C8EA">
      <w:pPr>
        <w:spacing w:after="200" w:line="276" w:lineRule="auto"/>
        <w:rPr>
          <w:rFonts w:ascii="宋体" w:hAnsi="宋体" w:cs="宋体"/>
          <w:sz w:val="24"/>
          <w:highlight w:val="none"/>
        </w:rPr>
      </w:pPr>
    </w:p>
    <w:p w14:paraId="5E1A6D19">
      <w:pPr>
        <w:spacing w:after="200" w:line="276" w:lineRule="auto"/>
        <w:rPr>
          <w:rFonts w:ascii="宋体" w:hAnsi="宋体" w:cs="宋体"/>
          <w:sz w:val="24"/>
          <w:highlight w:val="none"/>
        </w:rPr>
      </w:pPr>
    </w:p>
    <w:p w14:paraId="698197F4">
      <w:pPr>
        <w:tabs>
          <w:tab w:val="left" w:pos="917"/>
        </w:tabs>
        <w:spacing w:after="200" w:line="276" w:lineRule="auto"/>
        <w:jc w:val="left"/>
        <w:rPr>
          <w:rFonts w:ascii="宋体" w:hAnsi="宋体" w:cs="宋体"/>
          <w:b/>
          <w:bCs/>
          <w:sz w:val="24"/>
          <w:highlight w:val="none"/>
        </w:rPr>
      </w:pPr>
      <w:r>
        <w:rPr>
          <w:rFonts w:hint="eastAsia" w:ascii="宋体" w:hAnsi="宋体" w:cs="宋体"/>
          <w:b/>
          <w:bCs/>
          <w:sz w:val="24"/>
          <w:highlight w:val="none"/>
        </w:rPr>
        <w:br w:type="page"/>
      </w:r>
    </w:p>
    <w:p w14:paraId="168D6795">
      <w:pPr>
        <w:spacing w:line="276"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六、公司简介</w:t>
      </w:r>
    </w:p>
    <w:p w14:paraId="10AE48B4">
      <w:pPr>
        <w:spacing w:line="276" w:lineRule="auto"/>
        <w:jc w:val="center"/>
        <w:rPr>
          <w:rFonts w:hint="eastAsia" w:ascii="仿宋" w:hAnsi="仿宋" w:eastAsia="仿宋" w:cs="仿宋"/>
          <w:b/>
          <w:bCs/>
          <w:sz w:val="28"/>
          <w:szCs w:val="28"/>
          <w:highlight w:val="none"/>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z w:val="28"/>
          <w:szCs w:val="28"/>
          <w:highlight w:val="none"/>
          <w:shd w:val="clear" w:color="auto" w:fill="FFFFFF"/>
          <w:lang w:val="en-US" w:eastAsia="zh-CN"/>
        </w:rPr>
        <w:t>（简要介绍公司基本情况、规模实力、获奖情况等）</w:t>
      </w:r>
    </w:p>
    <w:p w14:paraId="79B9AC16">
      <w:pPr>
        <w:spacing w:line="276" w:lineRule="auto"/>
        <w:jc w:val="center"/>
        <w:rPr>
          <w:highlight w:val="none"/>
        </w:rPr>
      </w:pPr>
      <w:r>
        <w:rPr>
          <w:rFonts w:hint="eastAsia" w:ascii="仿宋" w:hAnsi="仿宋" w:eastAsia="仿宋" w:cs="仿宋"/>
          <w:b/>
          <w:bCs/>
          <w:sz w:val="28"/>
          <w:szCs w:val="28"/>
          <w:highlight w:val="none"/>
          <w:lang w:val="en-US" w:eastAsia="zh-CN"/>
        </w:rPr>
        <w:t>七、</w:t>
      </w:r>
      <w:r>
        <w:rPr>
          <w:rFonts w:hint="eastAsia" w:ascii="仿宋" w:hAnsi="仿宋" w:eastAsia="仿宋" w:cs="仿宋"/>
          <w:b/>
          <w:bCs/>
          <w:sz w:val="28"/>
          <w:szCs w:val="28"/>
          <w:highlight w:val="none"/>
        </w:rPr>
        <w:t>项目人员配置表</w:t>
      </w:r>
    </w:p>
    <w:p w14:paraId="562C4020">
      <w:pPr>
        <w:pStyle w:val="4"/>
        <w:rPr>
          <w:highlight w:val="non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567"/>
        <w:gridCol w:w="2200"/>
        <w:gridCol w:w="3350"/>
      </w:tblGrid>
      <w:tr w14:paraId="7D58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78662A9D">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序号</w:t>
            </w:r>
          </w:p>
        </w:tc>
        <w:tc>
          <w:tcPr>
            <w:tcW w:w="1567" w:type="dxa"/>
          </w:tcPr>
          <w:p w14:paraId="525A76B3">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姓名</w:t>
            </w:r>
          </w:p>
        </w:tc>
        <w:tc>
          <w:tcPr>
            <w:tcW w:w="2200" w:type="dxa"/>
          </w:tcPr>
          <w:p w14:paraId="399A2B0A">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职务</w:t>
            </w:r>
          </w:p>
        </w:tc>
        <w:tc>
          <w:tcPr>
            <w:tcW w:w="3350" w:type="dxa"/>
          </w:tcPr>
          <w:p w14:paraId="7769CBA3">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职责分工</w:t>
            </w:r>
          </w:p>
        </w:tc>
      </w:tr>
      <w:tr w14:paraId="0254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489A727F">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1</w:t>
            </w:r>
          </w:p>
        </w:tc>
        <w:tc>
          <w:tcPr>
            <w:tcW w:w="1567" w:type="dxa"/>
          </w:tcPr>
          <w:p w14:paraId="713FB0A1">
            <w:pPr>
              <w:pStyle w:val="11"/>
              <w:ind w:firstLine="0"/>
              <w:jc w:val="center"/>
              <w:rPr>
                <w:rFonts w:ascii="仿宋" w:hAnsi="仿宋" w:eastAsia="仿宋" w:cs="仿宋"/>
                <w:sz w:val="28"/>
                <w:szCs w:val="28"/>
                <w:highlight w:val="none"/>
              </w:rPr>
            </w:pPr>
          </w:p>
        </w:tc>
        <w:tc>
          <w:tcPr>
            <w:tcW w:w="2200" w:type="dxa"/>
          </w:tcPr>
          <w:p w14:paraId="51EE1655">
            <w:pPr>
              <w:pStyle w:val="11"/>
              <w:ind w:firstLine="0"/>
              <w:jc w:val="center"/>
              <w:rPr>
                <w:rFonts w:ascii="仿宋" w:hAnsi="仿宋" w:eastAsia="仿宋" w:cs="仿宋"/>
                <w:sz w:val="28"/>
                <w:szCs w:val="28"/>
                <w:highlight w:val="none"/>
              </w:rPr>
            </w:pPr>
          </w:p>
        </w:tc>
        <w:tc>
          <w:tcPr>
            <w:tcW w:w="3350" w:type="dxa"/>
          </w:tcPr>
          <w:p w14:paraId="0269C784">
            <w:pPr>
              <w:pStyle w:val="11"/>
              <w:ind w:firstLine="0"/>
              <w:jc w:val="center"/>
              <w:rPr>
                <w:rFonts w:ascii="仿宋" w:hAnsi="仿宋" w:eastAsia="仿宋" w:cs="仿宋"/>
                <w:sz w:val="28"/>
                <w:szCs w:val="28"/>
                <w:highlight w:val="none"/>
              </w:rPr>
            </w:pPr>
          </w:p>
        </w:tc>
      </w:tr>
      <w:tr w14:paraId="7213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1CCDA0C1">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2</w:t>
            </w:r>
          </w:p>
        </w:tc>
        <w:tc>
          <w:tcPr>
            <w:tcW w:w="1567" w:type="dxa"/>
          </w:tcPr>
          <w:p w14:paraId="51046DE9">
            <w:pPr>
              <w:pStyle w:val="11"/>
              <w:ind w:firstLine="0"/>
              <w:jc w:val="center"/>
              <w:rPr>
                <w:rFonts w:ascii="仿宋" w:hAnsi="仿宋" w:eastAsia="仿宋" w:cs="仿宋"/>
                <w:sz w:val="28"/>
                <w:szCs w:val="28"/>
                <w:highlight w:val="none"/>
              </w:rPr>
            </w:pPr>
          </w:p>
        </w:tc>
        <w:tc>
          <w:tcPr>
            <w:tcW w:w="2200" w:type="dxa"/>
          </w:tcPr>
          <w:p w14:paraId="12B38B3B">
            <w:pPr>
              <w:pStyle w:val="11"/>
              <w:ind w:firstLine="0"/>
              <w:jc w:val="center"/>
              <w:rPr>
                <w:rFonts w:ascii="仿宋" w:hAnsi="仿宋" w:eastAsia="仿宋" w:cs="仿宋"/>
                <w:sz w:val="28"/>
                <w:szCs w:val="28"/>
                <w:highlight w:val="none"/>
              </w:rPr>
            </w:pPr>
          </w:p>
        </w:tc>
        <w:tc>
          <w:tcPr>
            <w:tcW w:w="3350" w:type="dxa"/>
          </w:tcPr>
          <w:p w14:paraId="268763D3">
            <w:pPr>
              <w:pStyle w:val="11"/>
              <w:ind w:firstLine="0"/>
              <w:jc w:val="center"/>
              <w:rPr>
                <w:rFonts w:ascii="仿宋" w:hAnsi="仿宋" w:eastAsia="仿宋" w:cs="仿宋"/>
                <w:sz w:val="28"/>
                <w:szCs w:val="28"/>
                <w:highlight w:val="none"/>
              </w:rPr>
            </w:pPr>
          </w:p>
        </w:tc>
      </w:tr>
      <w:tr w14:paraId="56D3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0D0D9AFA">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3</w:t>
            </w:r>
          </w:p>
        </w:tc>
        <w:tc>
          <w:tcPr>
            <w:tcW w:w="1567" w:type="dxa"/>
          </w:tcPr>
          <w:p w14:paraId="25829948">
            <w:pPr>
              <w:pStyle w:val="11"/>
              <w:ind w:firstLine="0"/>
              <w:jc w:val="center"/>
              <w:rPr>
                <w:rFonts w:ascii="仿宋" w:hAnsi="仿宋" w:eastAsia="仿宋" w:cs="仿宋"/>
                <w:sz w:val="28"/>
                <w:szCs w:val="28"/>
                <w:highlight w:val="none"/>
              </w:rPr>
            </w:pPr>
          </w:p>
        </w:tc>
        <w:tc>
          <w:tcPr>
            <w:tcW w:w="2200" w:type="dxa"/>
          </w:tcPr>
          <w:p w14:paraId="38D1EAF8">
            <w:pPr>
              <w:pStyle w:val="11"/>
              <w:ind w:firstLine="0"/>
              <w:jc w:val="center"/>
              <w:rPr>
                <w:rFonts w:ascii="仿宋" w:hAnsi="仿宋" w:eastAsia="仿宋" w:cs="仿宋"/>
                <w:sz w:val="28"/>
                <w:szCs w:val="28"/>
                <w:highlight w:val="none"/>
              </w:rPr>
            </w:pPr>
          </w:p>
        </w:tc>
        <w:tc>
          <w:tcPr>
            <w:tcW w:w="3350" w:type="dxa"/>
          </w:tcPr>
          <w:p w14:paraId="0E402E3E">
            <w:pPr>
              <w:pStyle w:val="11"/>
              <w:ind w:firstLine="0"/>
              <w:jc w:val="center"/>
              <w:rPr>
                <w:rFonts w:ascii="仿宋" w:hAnsi="仿宋" w:eastAsia="仿宋" w:cs="仿宋"/>
                <w:sz w:val="28"/>
                <w:szCs w:val="28"/>
                <w:highlight w:val="none"/>
              </w:rPr>
            </w:pPr>
          </w:p>
        </w:tc>
      </w:tr>
      <w:tr w14:paraId="1DA2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3625797D">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4</w:t>
            </w:r>
          </w:p>
        </w:tc>
        <w:tc>
          <w:tcPr>
            <w:tcW w:w="1567" w:type="dxa"/>
          </w:tcPr>
          <w:p w14:paraId="1BA73A5B">
            <w:pPr>
              <w:pStyle w:val="11"/>
              <w:ind w:firstLine="0"/>
              <w:jc w:val="center"/>
              <w:rPr>
                <w:rFonts w:ascii="仿宋" w:hAnsi="仿宋" w:eastAsia="仿宋" w:cs="仿宋"/>
                <w:sz w:val="28"/>
                <w:szCs w:val="28"/>
                <w:highlight w:val="none"/>
              </w:rPr>
            </w:pPr>
          </w:p>
        </w:tc>
        <w:tc>
          <w:tcPr>
            <w:tcW w:w="2200" w:type="dxa"/>
          </w:tcPr>
          <w:p w14:paraId="64853137">
            <w:pPr>
              <w:pStyle w:val="11"/>
              <w:ind w:firstLine="0"/>
              <w:jc w:val="center"/>
              <w:rPr>
                <w:rFonts w:ascii="仿宋" w:hAnsi="仿宋" w:eastAsia="仿宋" w:cs="仿宋"/>
                <w:sz w:val="28"/>
                <w:szCs w:val="28"/>
                <w:highlight w:val="none"/>
              </w:rPr>
            </w:pPr>
          </w:p>
        </w:tc>
        <w:tc>
          <w:tcPr>
            <w:tcW w:w="3350" w:type="dxa"/>
          </w:tcPr>
          <w:p w14:paraId="7D7EA3BC">
            <w:pPr>
              <w:pStyle w:val="11"/>
              <w:ind w:firstLine="0"/>
              <w:jc w:val="center"/>
              <w:rPr>
                <w:rFonts w:ascii="仿宋" w:hAnsi="仿宋" w:eastAsia="仿宋" w:cs="仿宋"/>
                <w:sz w:val="28"/>
                <w:szCs w:val="28"/>
                <w:highlight w:val="none"/>
              </w:rPr>
            </w:pPr>
          </w:p>
        </w:tc>
      </w:tr>
      <w:tr w14:paraId="4574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092A8F07">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5</w:t>
            </w:r>
          </w:p>
        </w:tc>
        <w:tc>
          <w:tcPr>
            <w:tcW w:w="1567" w:type="dxa"/>
          </w:tcPr>
          <w:p w14:paraId="5D1F3CA5">
            <w:pPr>
              <w:pStyle w:val="11"/>
              <w:ind w:firstLine="0"/>
              <w:jc w:val="center"/>
              <w:rPr>
                <w:rFonts w:ascii="仿宋" w:hAnsi="仿宋" w:eastAsia="仿宋" w:cs="仿宋"/>
                <w:sz w:val="28"/>
                <w:szCs w:val="28"/>
                <w:highlight w:val="none"/>
              </w:rPr>
            </w:pPr>
          </w:p>
        </w:tc>
        <w:tc>
          <w:tcPr>
            <w:tcW w:w="2200" w:type="dxa"/>
          </w:tcPr>
          <w:p w14:paraId="1382AB41">
            <w:pPr>
              <w:pStyle w:val="11"/>
              <w:ind w:firstLine="0"/>
              <w:jc w:val="center"/>
              <w:rPr>
                <w:rFonts w:ascii="仿宋" w:hAnsi="仿宋" w:eastAsia="仿宋" w:cs="仿宋"/>
                <w:sz w:val="28"/>
                <w:szCs w:val="28"/>
                <w:highlight w:val="none"/>
              </w:rPr>
            </w:pPr>
          </w:p>
        </w:tc>
        <w:tc>
          <w:tcPr>
            <w:tcW w:w="3350" w:type="dxa"/>
          </w:tcPr>
          <w:p w14:paraId="299EECB0">
            <w:pPr>
              <w:pStyle w:val="11"/>
              <w:ind w:firstLine="0"/>
              <w:jc w:val="center"/>
              <w:rPr>
                <w:rFonts w:ascii="仿宋" w:hAnsi="仿宋" w:eastAsia="仿宋" w:cs="仿宋"/>
                <w:sz w:val="28"/>
                <w:szCs w:val="28"/>
                <w:highlight w:val="none"/>
              </w:rPr>
            </w:pPr>
          </w:p>
        </w:tc>
      </w:tr>
      <w:tr w14:paraId="6D35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50957C44">
            <w:pPr>
              <w:pStyle w:val="11"/>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w:t>
            </w:r>
          </w:p>
        </w:tc>
        <w:tc>
          <w:tcPr>
            <w:tcW w:w="1567" w:type="dxa"/>
          </w:tcPr>
          <w:p w14:paraId="0F374406">
            <w:pPr>
              <w:pStyle w:val="11"/>
              <w:ind w:firstLine="0"/>
              <w:jc w:val="center"/>
              <w:rPr>
                <w:rFonts w:ascii="仿宋" w:hAnsi="仿宋" w:eastAsia="仿宋" w:cs="仿宋"/>
                <w:sz w:val="28"/>
                <w:szCs w:val="28"/>
                <w:highlight w:val="none"/>
              </w:rPr>
            </w:pPr>
          </w:p>
        </w:tc>
        <w:tc>
          <w:tcPr>
            <w:tcW w:w="2200" w:type="dxa"/>
          </w:tcPr>
          <w:p w14:paraId="67054B7C">
            <w:pPr>
              <w:pStyle w:val="11"/>
              <w:ind w:firstLine="0"/>
              <w:jc w:val="center"/>
              <w:rPr>
                <w:rFonts w:ascii="仿宋" w:hAnsi="仿宋" w:eastAsia="仿宋" w:cs="仿宋"/>
                <w:sz w:val="28"/>
                <w:szCs w:val="28"/>
                <w:highlight w:val="none"/>
              </w:rPr>
            </w:pPr>
          </w:p>
        </w:tc>
        <w:tc>
          <w:tcPr>
            <w:tcW w:w="3350" w:type="dxa"/>
          </w:tcPr>
          <w:p w14:paraId="20E768B1">
            <w:pPr>
              <w:pStyle w:val="11"/>
              <w:ind w:firstLine="0"/>
              <w:jc w:val="center"/>
              <w:rPr>
                <w:rFonts w:ascii="仿宋" w:hAnsi="仿宋" w:eastAsia="仿宋" w:cs="仿宋"/>
                <w:sz w:val="28"/>
                <w:szCs w:val="28"/>
                <w:highlight w:val="none"/>
              </w:rPr>
            </w:pPr>
          </w:p>
        </w:tc>
      </w:tr>
    </w:tbl>
    <w:p w14:paraId="62CFD522">
      <w:pPr>
        <w:pStyle w:val="10"/>
        <w:spacing w:after="200" w:line="276" w:lineRule="auto"/>
        <w:ind w:firstLine="0" w:firstLineChars="0"/>
        <w:jc w:val="left"/>
        <w:rPr>
          <w:rFonts w:ascii="仿宋" w:hAnsi="仿宋" w:eastAsia="仿宋" w:cs="仿宋"/>
          <w:b/>
          <w:kern w:val="0"/>
          <w:sz w:val="28"/>
          <w:szCs w:val="28"/>
          <w:highlight w:val="none"/>
        </w:rPr>
      </w:pPr>
    </w:p>
    <w:p w14:paraId="6CD98048">
      <w:pPr>
        <w:pStyle w:val="10"/>
        <w:spacing w:after="200" w:line="276" w:lineRule="auto"/>
        <w:ind w:firstLine="0" w:firstLineChars="0"/>
        <w:jc w:val="left"/>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【提供人员经社保局盖章的截止日前12个月内任意1个月的本单位缴纳社保的证明材料】</w:t>
      </w:r>
    </w:p>
    <w:p w14:paraId="0C217E5D">
      <w:pPr>
        <w:rPr>
          <w:rFonts w:ascii="宋体" w:hAnsi="宋体" w:cs="宋体"/>
          <w:b/>
          <w:bCs/>
          <w:sz w:val="24"/>
          <w:highlight w:val="none"/>
        </w:rPr>
      </w:pPr>
    </w:p>
    <w:p w14:paraId="56A8B728">
      <w:pPr>
        <w:pStyle w:val="10"/>
        <w:spacing w:after="0"/>
        <w:ind w:firstLine="0" w:firstLineChars="0"/>
        <w:jc w:val="center"/>
        <w:rPr>
          <w:rFonts w:hint="eastAsia" w:ascii="仿宋" w:hAnsi="仿宋" w:eastAsia="仿宋" w:cs="仿宋"/>
          <w:b/>
          <w:bCs/>
          <w:sz w:val="28"/>
          <w:szCs w:val="28"/>
          <w:highlight w:val="none"/>
        </w:rPr>
        <w:sectPr>
          <w:pgSz w:w="11906" w:h="16838"/>
          <w:pgMar w:top="1440" w:right="1800" w:bottom="1440" w:left="1800" w:header="851" w:footer="992" w:gutter="0"/>
          <w:cols w:space="425" w:num="1"/>
          <w:docGrid w:type="lines" w:linePitch="312" w:charSpace="0"/>
        </w:sectPr>
      </w:pPr>
    </w:p>
    <w:p w14:paraId="1F17F850">
      <w:pPr>
        <w:pStyle w:val="10"/>
        <w:spacing w:after="0"/>
        <w:ind w:firstLine="0" w:firstLineChars="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八、项目服务方案</w:t>
      </w:r>
    </w:p>
    <w:p w14:paraId="44DE85FA">
      <w:pPr>
        <w:spacing w:after="200" w:line="340" w:lineRule="exact"/>
        <w:jc w:val="center"/>
        <w:rPr>
          <w:rFonts w:ascii="仿宋" w:hAnsi="仿宋" w:eastAsia="仿宋" w:cs="仿宋"/>
          <w:bCs/>
          <w:kern w:val="0"/>
          <w:sz w:val="28"/>
          <w:szCs w:val="28"/>
          <w:highlight w:val="none"/>
        </w:rPr>
      </w:pPr>
      <w:r>
        <w:rPr>
          <w:rFonts w:hint="eastAsia" w:ascii="仿宋" w:hAnsi="仿宋" w:eastAsia="仿宋" w:cs="仿宋"/>
          <w:bCs/>
          <w:kern w:val="0"/>
          <w:sz w:val="28"/>
          <w:szCs w:val="28"/>
          <w:highlight w:val="none"/>
        </w:rPr>
        <w:t>（提供项目服务方案，格式自拟）</w:t>
      </w:r>
    </w:p>
    <w:p w14:paraId="6AC5F607">
      <w:pPr>
        <w:pStyle w:val="4"/>
        <w:rPr>
          <w:highlight w:val="none"/>
        </w:rPr>
      </w:pPr>
    </w:p>
    <w:p w14:paraId="6949BA7B">
      <w:pPr>
        <w:pStyle w:val="10"/>
        <w:spacing w:after="0"/>
        <w:ind w:firstLine="0" w:firstLineChars="0"/>
        <w:jc w:val="center"/>
      </w:pPr>
      <w:r>
        <w:rPr>
          <w:rFonts w:hint="eastAsia" w:ascii="仿宋" w:hAnsi="仿宋" w:eastAsia="仿宋" w:cs="仿宋"/>
          <w:b/>
          <w:bCs/>
          <w:sz w:val="28"/>
          <w:szCs w:val="28"/>
          <w:highlight w:val="none"/>
        </w:rPr>
        <w:t>九、报价人认为需要补充的其他资料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9B0A2">
    <w:pPr>
      <w:pStyle w:val="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7735C">
    <w:pPr>
      <w:spacing w:line="360" w:lineRule="auto"/>
      <w:jc w:val="center"/>
      <w:rPr>
        <w:rFonts w:asciiTheme="minorEastAsia" w:hAnsiTheme="minorEastAsia" w:eastAsia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872C7B"/>
    <w:multiLevelType w:val="singleLevel"/>
    <w:tmpl w:val="62872C7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3MjAwMWMwYWI3MDFhYzIwZjdiYjFjZDVmOTM1M2MifQ=="/>
    <w:docVar w:name="KSO_WPS_MARK_KEY" w:val="bb9682b2-9e9a-4f79-8ae2-b36a7f3673af"/>
  </w:docVars>
  <w:rsids>
    <w:rsidRoot w:val="2F92180C"/>
    <w:rsid w:val="01211A0C"/>
    <w:rsid w:val="078D1160"/>
    <w:rsid w:val="09254281"/>
    <w:rsid w:val="0B9F7BE3"/>
    <w:rsid w:val="25376CF9"/>
    <w:rsid w:val="267D73F3"/>
    <w:rsid w:val="2EB37960"/>
    <w:rsid w:val="2EBA2821"/>
    <w:rsid w:val="2F92180C"/>
    <w:rsid w:val="340F6778"/>
    <w:rsid w:val="37AD0BE9"/>
    <w:rsid w:val="3DBD7090"/>
    <w:rsid w:val="3FC54097"/>
    <w:rsid w:val="406F0526"/>
    <w:rsid w:val="42520FA4"/>
    <w:rsid w:val="49BC3715"/>
    <w:rsid w:val="49DA5221"/>
    <w:rsid w:val="4CAE5AEF"/>
    <w:rsid w:val="4F263A11"/>
    <w:rsid w:val="4F84767B"/>
    <w:rsid w:val="53DF7EB6"/>
    <w:rsid w:val="5783173F"/>
    <w:rsid w:val="5E594CF9"/>
    <w:rsid w:val="63A94C30"/>
    <w:rsid w:val="659F3960"/>
    <w:rsid w:val="67FC4329"/>
    <w:rsid w:val="715376CC"/>
    <w:rsid w:val="7D030E45"/>
    <w:rsid w:val="7D7E0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rPr>
      <w:rFonts w:ascii="Times New Roman" w:hAnsi="Times New Roman" w:eastAsia="宋体" w:cs="Times New Roman"/>
      <w:sz w:val="33"/>
      <w:szCs w:val="33"/>
    </w:rPr>
  </w:style>
  <w:style w:type="paragraph" w:styleId="4">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5">
    <w:name w:val="Body Text Indent"/>
    <w:basedOn w:val="1"/>
    <w:qFormat/>
    <w:uiPriority w:val="0"/>
    <w:pPr>
      <w:autoSpaceDE w:val="0"/>
      <w:autoSpaceDN w:val="0"/>
      <w:spacing w:line="360" w:lineRule="auto"/>
      <w:ind w:firstLine="420" w:firstLineChars="200"/>
    </w:pPr>
    <w:rPr>
      <w:rFonts w:ascii="宋体" w:hAnsi="宋体"/>
      <w:szCs w:val="21"/>
    </w:rPr>
  </w:style>
  <w:style w:type="paragraph" w:styleId="6">
    <w:name w:val="footer"/>
    <w:unhideWhenUsed/>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7">
    <w:name w:val="toc 1"/>
    <w:next w:val="1"/>
    <w:qFormat/>
    <w:uiPriority w:val="39"/>
    <w:pPr>
      <w:widowControl w:val="0"/>
      <w:tabs>
        <w:tab w:val="left" w:pos="567"/>
        <w:tab w:val="left" w:pos="709"/>
        <w:tab w:val="right" w:leader="dot" w:pos="8505"/>
      </w:tabs>
      <w:snapToGrid w:val="0"/>
      <w:spacing w:line="440" w:lineRule="exact"/>
      <w:jc w:val="both"/>
    </w:pPr>
    <w:rPr>
      <w:rFonts w:ascii="宋体" w:hAnsi="宋体" w:eastAsia="宋体" w:cs="Times New Roman"/>
      <w:kern w:val="2"/>
      <w:sz w:val="21"/>
      <w:szCs w:val="21"/>
      <w:lang w:val="en-US" w:eastAsia="zh-CN" w:bidi="ar-SA"/>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Title"/>
    <w:next w:val="1"/>
    <w:qFormat/>
    <w:uiPriority w:val="0"/>
    <w:pPr>
      <w:widowControl w:val="0"/>
      <w:spacing w:before="240" w:after="60" w:line="276" w:lineRule="auto"/>
      <w:jc w:val="center"/>
      <w:outlineLvl w:val="0"/>
    </w:pPr>
    <w:rPr>
      <w:rFonts w:ascii="Cambria" w:hAnsi="Cambria" w:eastAsia="宋体" w:cs="宋体"/>
      <w:b/>
      <w:bCs/>
      <w:kern w:val="2"/>
      <w:sz w:val="32"/>
      <w:szCs w:val="32"/>
      <w:lang w:val="en-US" w:eastAsia="zh-CN" w:bidi="ar-SA"/>
    </w:rPr>
  </w:style>
  <w:style w:type="paragraph" w:styleId="10">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1">
    <w:name w:val="Body Text First Indent 2"/>
    <w:basedOn w:val="5"/>
    <w:next w:val="1"/>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font51"/>
    <w:basedOn w:val="14"/>
    <w:qFormat/>
    <w:uiPriority w:val="0"/>
    <w:rPr>
      <w:rFonts w:hint="eastAsia" w:ascii="微软雅黑" w:hAnsi="微软雅黑" w:eastAsia="微软雅黑" w:cs="微软雅黑"/>
      <w:color w:val="000000"/>
      <w:sz w:val="24"/>
      <w:szCs w:val="24"/>
      <w:u w:val="none"/>
    </w:rPr>
  </w:style>
  <w:style w:type="character" w:customStyle="1" w:styleId="16">
    <w:name w:val="font41"/>
    <w:basedOn w:val="14"/>
    <w:qFormat/>
    <w:uiPriority w:val="0"/>
    <w:rPr>
      <w:rFonts w:hint="eastAsia" w:ascii="宋体" w:hAnsi="宋体" w:eastAsia="宋体" w:cs="宋体"/>
      <w:color w:val="000000"/>
      <w:sz w:val="24"/>
      <w:szCs w:val="24"/>
      <w:u w:val="none"/>
    </w:rPr>
  </w:style>
  <w:style w:type="character" w:customStyle="1" w:styleId="17">
    <w:name w:val="font31"/>
    <w:basedOn w:val="14"/>
    <w:qFormat/>
    <w:uiPriority w:val="0"/>
    <w:rPr>
      <w:rFonts w:hint="eastAsia" w:ascii="微软雅黑" w:hAnsi="微软雅黑" w:eastAsia="微软雅黑" w:cs="微软雅黑"/>
      <w:color w:val="000000"/>
      <w:sz w:val="24"/>
      <w:szCs w:val="24"/>
      <w:u w:val="none"/>
    </w:rPr>
  </w:style>
  <w:style w:type="character" w:customStyle="1" w:styleId="18">
    <w:name w:val="font71"/>
    <w:basedOn w:val="1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3115</Words>
  <Characters>3286</Characters>
  <Lines>0</Lines>
  <Paragraphs>0</Paragraphs>
  <TotalTime>2</TotalTime>
  <ScaleCrop>false</ScaleCrop>
  <LinksUpToDate>false</LinksUpToDate>
  <CharactersWithSpaces>3500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2024-09-27T09:37:00Z</dcterms:created>
  <dc:creator>玉婷</dc:creator>
  <cp:lastModifiedBy>Red ferrari .</cp:lastModifiedBy>
  <dcterms:modified xsi:type="dcterms:W3CDTF">2026-09-09T06:53:03Z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34E71F50613F4C97AB3653A6697B848F_13</vt:lpwstr>
  </property>
  <property fmtid="{D5CDD505-2E9C-101B-9397-08002B2CF9AE}" pid="4" name="KSOTemplateDocerSaveRecord">
    <vt:lpwstr>eyJoZGlkIjoiYTg0YmNiZjVlMDM1ZGUxMjM2NjExOGQyNGY3ZGE4MjgiLCJ1c2VySWQiOiIyMTQ2NTM0OTEifQ==</vt:lpwstr>
  </property>
</Properties>
</file>